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4320" w:rsidRPr="002F4320" w:rsidRDefault="002F4320" w:rsidP="002F4320">
      <w:pPr>
        <w:spacing w:line="360" w:lineRule="auto"/>
        <w:jc w:val="center"/>
        <w:rPr>
          <w:rFonts w:ascii="Arial" w:hAnsi="Arial" w:cs="Arial"/>
          <w:b/>
          <w:sz w:val="30"/>
          <w:szCs w:val="30"/>
          <w:lang w:val="es-ES"/>
        </w:rPr>
      </w:pPr>
      <w:bookmarkStart w:id="0" w:name="_GoBack"/>
      <w:bookmarkEnd w:id="0"/>
      <w:r w:rsidRPr="002F4320">
        <w:rPr>
          <w:rFonts w:ascii="Arial" w:hAnsi="Arial" w:cs="Arial"/>
          <w:b/>
          <w:sz w:val="30"/>
          <w:szCs w:val="30"/>
          <w:lang w:val="es-ES"/>
        </w:rPr>
        <w:t>PONTIFICIA UNIVERSIDAD CATÓLICA DEL ECUADOR</w:t>
      </w:r>
    </w:p>
    <w:p w:rsidR="002F4320" w:rsidRPr="002F4320" w:rsidRDefault="002F4320" w:rsidP="002F4320">
      <w:pPr>
        <w:spacing w:line="360" w:lineRule="auto"/>
        <w:jc w:val="center"/>
        <w:rPr>
          <w:rFonts w:ascii="Arial" w:hAnsi="Arial" w:cs="Arial"/>
          <w:b/>
          <w:sz w:val="30"/>
          <w:szCs w:val="30"/>
          <w:lang w:val="es-ES"/>
        </w:rPr>
      </w:pPr>
      <w:r w:rsidRPr="002F4320">
        <w:rPr>
          <w:rFonts w:ascii="Arial" w:hAnsi="Arial" w:cs="Arial"/>
          <w:b/>
          <w:sz w:val="30"/>
          <w:szCs w:val="30"/>
          <w:lang w:val="es-ES"/>
        </w:rPr>
        <w:t>FACULTAD DE JURISPRUDENCIA</w:t>
      </w:r>
    </w:p>
    <w:p w:rsidR="002F4320" w:rsidRPr="002F4320" w:rsidRDefault="002F4320" w:rsidP="002F4320">
      <w:pPr>
        <w:tabs>
          <w:tab w:val="left" w:pos="7485"/>
        </w:tabs>
        <w:spacing w:line="360" w:lineRule="auto"/>
        <w:rPr>
          <w:rFonts w:ascii="Arial" w:hAnsi="Arial" w:cs="Arial"/>
          <w:b/>
          <w:sz w:val="30"/>
          <w:szCs w:val="30"/>
          <w:lang w:val="es-ES"/>
        </w:rPr>
      </w:pPr>
      <w:r w:rsidRPr="002F4320">
        <w:rPr>
          <w:rFonts w:ascii="Arial" w:hAnsi="Arial" w:cs="Arial"/>
          <w:b/>
          <w:sz w:val="30"/>
          <w:szCs w:val="30"/>
          <w:lang w:val="es-ES"/>
        </w:rPr>
        <w:tab/>
      </w: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r w:rsidRPr="002F4320">
        <w:rPr>
          <w:rFonts w:ascii="Arial" w:hAnsi="Arial" w:cs="Arial"/>
          <w:b/>
          <w:sz w:val="30"/>
          <w:szCs w:val="30"/>
          <w:lang w:val="es-ES"/>
        </w:rPr>
        <w:t>DISERTACIÓN PREVIA A LA OBTENCIÓN DEL TÍTULO DE LICENCIADO EN CIENCIAS JURÍDICAS</w:t>
      </w: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rPr>
          <w:rFonts w:ascii="Arial" w:hAnsi="Arial" w:cs="Arial"/>
          <w:b/>
          <w:sz w:val="30"/>
          <w:szCs w:val="30"/>
          <w:lang w:val="es-ES"/>
        </w:rPr>
      </w:pPr>
    </w:p>
    <w:p w:rsidR="002F4320" w:rsidRPr="002F4320" w:rsidRDefault="002F4320" w:rsidP="002F4320">
      <w:pPr>
        <w:spacing w:line="360" w:lineRule="auto"/>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r w:rsidRPr="002F4320">
        <w:rPr>
          <w:rFonts w:ascii="Arial" w:hAnsi="Arial" w:cs="Arial"/>
          <w:b/>
          <w:sz w:val="30"/>
          <w:szCs w:val="30"/>
          <w:lang w:val="es-ES"/>
        </w:rPr>
        <w:t>LAS DIFICULTADES EN LA EJECUCIÓN DE SENTENCIAS REPARATORIAS DE LA CORTE INTERAMERICANA DE DERECHOS HUMANOS, POR PARTE DE LOS ESTADOS RESPONSABLES</w:t>
      </w: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r w:rsidRPr="002F4320">
        <w:rPr>
          <w:rFonts w:ascii="Arial" w:hAnsi="Arial" w:cs="Arial"/>
          <w:b/>
          <w:sz w:val="30"/>
          <w:szCs w:val="30"/>
          <w:lang w:val="es-ES"/>
        </w:rPr>
        <w:t>ANDRÉS ALEJANDRO MORA ARIAS</w:t>
      </w: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r w:rsidRPr="002F4320">
        <w:rPr>
          <w:rFonts w:ascii="Arial" w:hAnsi="Arial" w:cs="Arial"/>
          <w:b/>
          <w:sz w:val="30"/>
          <w:szCs w:val="30"/>
          <w:lang w:val="es-ES"/>
        </w:rPr>
        <w:t>DIRECTOR: ABG. DAVID CORDERO HEREDIA</w:t>
      </w: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p>
    <w:p w:rsidR="002F4320" w:rsidRPr="002F4320" w:rsidRDefault="002F4320" w:rsidP="002F4320">
      <w:pPr>
        <w:spacing w:line="360" w:lineRule="auto"/>
        <w:jc w:val="center"/>
        <w:rPr>
          <w:rFonts w:ascii="Arial" w:hAnsi="Arial" w:cs="Arial"/>
          <w:b/>
          <w:sz w:val="30"/>
          <w:szCs w:val="30"/>
          <w:lang w:val="es-ES"/>
        </w:rPr>
      </w:pPr>
    </w:p>
    <w:p w:rsidR="0081162D" w:rsidRDefault="00783008" w:rsidP="002F4320">
      <w:pPr>
        <w:jc w:val="center"/>
        <w:rPr>
          <w:rFonts w:ascii="Arial" w:hAnsi="Arial" w:cs="Arial"/>
          <w:b/>
          <w:sz w:val="30"/>
          <w:szCs w:val="30"/>
          <w:lang w:val="es-ES"/>
        </w:rPr>
        <w:sectPr w:rsidR="0081162D" w:rsidSect="00D75A90">
          <w:footerReference w:type="first" r:id="rId9"/>
          <w:pgSz w:w="11906" w:h="16838"/>
          <w:pgMar w:top="1701" w:right="1418" w:bottom="1418" w:left="1701" w:header="720" w:footer="720" w:gutter="0"/>
          <w:pgNumType w:fmt="numberInDash" w:start="1" w:chapStyle="4"/>
          <w:cols w:space="720"/>
          <w:titlePg/>
          <w:docGrid w:linePitch="360"/>
        </w:sectPr>
      </w:pPr>
      <w:r>
        <w:rPr>
          <w:rFonts w:ascii="Arial" w:hAnsi="Arial" w:cs="Arial"/>
          <w:b/>
          <w:sz w:val="30"/>
          <w:szCs w:val="30"/>
          <w:lang w:val="es-ES"/>
        </w:rPr>
        <w:t>QUITO</w:t>
      </w:r>
      <w:r w:rsidR="002F4320" w:rsidRPr="002F4320">
        <w:rPr>
          <w:rFonts w:ascii="Arial" w:hAnsi="Arial" w:cs="Arial"/>
          <w:b/>
          <w:sz w:val="30"/>
          <w:szCs w:val="30"/>
          <w:lang w:val="es-ES"/>
        </w:rPr>
        <w:t>, MAYO DE 2013</w:t>
      </w:r>
    </w:p>
    <w:p w:rsidR="002F4320" w:rsidRPr="002F4320" w:rsidRDefault="002F4320" w:rsidP="002F4320">
      <w:pPr>
        <w:jc w:val="center"/>
        <w:rPr>
          <w:rFonts w:ascii="Arial" w:hAnsi="Arial" w:cs="Arial"/>
          <w:b/>
          <w:sz w:val="30"/>
          <w:szCs w:val="30"/>
          <w:lang w:val="es-ES"/>
        </w:rPr>
        <w:sectPr w:rsidR="002F4320" w:rsidRPr="002F4320" w:rsidSect="0081162D">
          <w:type w:val="continuous"/>
          <w:pgSz w:w="11906" w:h="16838"/>
          <w:pgMar w:top="1701" w:right="1418" w:bottom="1418" w:left="1701" w:header="720" w:footer="720" w:gutter="0"/>
          <w:pgNumType w:fmt="numberInDash" w:start="1" w:chapStyle="4"/>
          <w:cols w:space="720"/>
          <w:titlePg/>
          <w:docGrid w:linePitch="360"/>
        </w:sectPr>
      </w:pPr>
    </w:p>
    <w:p w:rsidR="002F4320" w:rsidRDefault="002F4320" w:rsidP="00CB64C3">
      <w:pPr>
        <w:pStyle w:val="TDC2"/>
        <w:ind w:left="0"/>
        <w:jc w:val="center"/>
        <w:rPr>
          <w:rFonts w:ascii="Arial" w:hAnsi="Arial" w:cs="Arial"/>
          <w:sz w:val="22"/>
          <w:szCs w:val="22"/>
          <w:lang w:val="es-ES"/>
        </w:rPr>
      </w:pPr>
      <w:r>
        <w:rPr>
          <w:rFonts w:ascii="Arial" w:hAnsi="Arial" w:cs="Arial"/>
          <w:sz w:val="22"/>
          <w:szCs w:val="22"/>
          <w:lang w:val="es-ES"/>
        </w:rPr>
        <w:lastRenderedPageBreak/>
        <w:t>AGRADECIMIENTO</w:t>
      </w:r>
    </w:p>
    <w:p w:rsidR="00902D10" w:rsidRDefault="00902D10" w:rsidP="00CB64C3">
      <w:pPr>
        <w:spacing w:line="360" w:lineRule="auto"/>
        <w:rPr>
          <w:lang w:val="es-ES"/>
        </w:rPr>
      </w:pPr>
    </w:p>
    <w:p w:rsidR="00902D10" w:rsidRPr="00CB64C3" w:rsidRDefault="00902D10" w:rsidP="00CB64C3">
      <w:pPr>
        <w:spacing w:line="360" w:lineRule="auto"/>
        <w:jc w:val="both"/>
        <w:rPr>
          <w:rFonts w:ascii="Arial" w:hAnsi="Arial" w:cs="Arial"/>
          <w:sz w:val="22"/>
          <w:szCs w:val="22"/>
          <w:lang w:val="es-ES"/>
        </w:rPr>
      </w:pPr>
      <w:r w:rsidRPr="00CB64C3">
        <w:rPr>
          <w:rFonts w:ascii="Arial" w:hAnsi="Arial" w:cs="Arial"/>
          <w:sz w:val="22"/>
          <w:szCs w:val="22"/>
          <w:lang w:val="es-ES"/>
        </w:rPr>
        <w:t>Es para mí muy grato poder dirigir unas pocas pero significativas palabras a las personas que me han apoyado y motivado en esta etapa importante de mi vida.</w:t>
      </w:r>
    </w:p>
    <w:p w:rsidR="00902D10" w:rsidRPr="00CB64C3" w:rsidRDefault="00902D10" w:rsidP="00CB64C3">
      <w:pPr>
        <w:spacing w:line="360" w:lineRule="auto"/>
        <w:jc w:val="both"/>
        <w:rPr>
          <w:rFonts w:ascii="Arial" w:hAnsi="Arial" w:cs="Arial"/>
          <w:sz w:val="22"/>
          <w:szCs w:val="22"/>
          <w:lang w:val="es-ES"/>
        </w:rPr>
      </w:pPr>
    </w:p>
    <w:p w:rsidR="002F4320" w:rsidRPr="00CB64C3" w:rsidRDefault="00902D10" w:rsidP="00CB64C3">
      <w:pPr>
        <w:spacing w:line="360" w:lineRule="auto"/>
        <w:jc w:val="both"/>
        <w:rPr>
          <w:rFonts w:ascii="Arial" w:hAnsi="Arial" w:cs="Arial"/>
          <w:sz w:val="22"/>
          <w:szCs w:val="22"/>
          <w:lang w:val="es-ES"/>
        </w:rPr>
      </w:pPr>
      <w:r w:rsidRPr="00CB64C3">
        <w:rPr>
          <w:rFonts w:ascii="Arial" w:hAnsi="Arial" w:cs="Arial"/>
          <w:sz w:val="22"/>
          <w:szCs w:val="22"/>
          <w:lang w:val="es-ES"/>
        </w:rPr>
        <w:t>De manera especial agradezco a mis padres, que han sido un verdadero ejemplo de honestidad, trabajo, dedicación y sobre todo amor y compresión. Así mismo agradezco a mis hermanos con los que he compartido momentos muy especiales y siempr</w:t>
      </w:r>
      <w:r w:rsidR="00871E06" w:rsidRPr="00CB64C3">
        <w:rPr>
          <w:rFonts w:ascii="Arial" w:hAnsi="Arial" w:cs="Arial"/>
          <w:sz w:val="22"/>
          <w:szCs w:val="22"/>
          <w:lang w:val="es-ES"/>
        </w:rPr>
        <w:t>e han estado ahí en los</w:t>
      </w:r>
      <w:r w:rsidRPr="00CB64C3">
        <w:rPr>
          <w:rFonts w:ascii="Arial" w:hAnsi="Arial" w:cs="Arial"/>
          <w:sz w:val="22"/>
          <w:szCs w:val="22"/>
          <w:lang w:val="es-ES"/>
        </w:rPr>
        <w:t xml:space="preserve"> </w:t>
      </w:r>
      <w:r w:rsidR="00871E06" w:rsidRPr="00CB64C3">
        <w:rPr>
          <w:rFonts w:ascii="Arial" w:hAnsi="Arial" w:cs="Arial"/>
          <w:sz w:val="22"/>
          <w:szCs w:val="22"/>
          <w:lang w:val="es-ES"/>
        </w:rPr>
        <w:t xml:space="preserve">instantes </w:t>
      </w:r>
      <w:r w:rsidRPr="00CB64C3">
        <w:rPr>
          <w:rFonts w:ascii="Arial" w:hAnsi="Arial" w:cs="Arial"/>
          <w:sz w:val="22"/>
          <w:szCs w:val="22"/>
          <w:lang w:val="es-ES"/>
        </w:rPr>
        <w:t>cruciales. Extiendo además este agradecimiento al resto de mi familia</w:t>
      </w:r>
      <w:r w:rsidR="00CB64C3">
        <w:rPr>
          <w:rFonts w:ascii="Arial" w:hAnsi="Arial" w:cs="Arial"/>
          <w:sz w:val="22"/>
          <w:szCs w:val="22"/>
          <w:lang w:val="es-ES"/>
        </w:rPr>
        <w:t>,</w:t>
      </w:r>
      <w:r w:rsidRPr="00CB64C3">
        <w:rPr>
          <w:rFonts w:ascii="Arial" w:hAnsi="Arial" w:cs="Arial"/>
          <w:sz w:val="22"/>
          <w:szCs w:val="22"/>
          <w:lang w:val="es-ES"/>
        </w:rPr>
        <w:t xml:space="preserve"> ya que cada uno de ellos de forma particular</w:t>
      </w:r>
      <w:r w:rsidR="00CB64C3">
        <w:rPr>
          <w:rFonts w:ascii="Arial" w:hAnsi="Arial" w:cs="Arial"/>
          <w:sz w:val="22"/>
          <w:szCs w:val="22"/>
          <w:lang w:val="es-ES"/>
        </w:rPr>
        <w:t>,</w:t>
      </w:r>
      <w:r w:rsidRPr="00CB64C3">
        <w:rPr>
          <w:rFonts w:ascii="Arial" w:hAnsi="Arial" w:cs="Arial"/>
          <w:sz w:val="22"/>
          <w:szCs w:val="22"/>
          <w:lang w:val="es-ES"/>
        </w:rPr>
        <w:t xml:space="preserve"> ha</w:t>
      </w:r>
      <w:r w:rsidR="00871E06" w:rsidRPr="00CB64C3">
        <w:rPr>
          <w:rFonts w:ascii="Arial" w:hAnsi="Arial" w:cs="Arial"/>
          <w:sz w:val="22"/>
          <w:szCs w:val="22"/>
          <w:lang w:val="es-ES"/>
        </w:rPr>
        <w:t xml:space="preserve"> entregado valiosas lecciones a</w:t>
      </w:r>
      <w:r w:rsidRPr="00CB64C3">
        <w:rPr>
          <w:rFonts w:ascii="Arial" w:hAnsi="Arial" w:cs="Arial"/>
          <w:sz w:val="22"/>
          <w:szCs w:val="22"/>
          <w:lang w:val="es-ES"/>
        </w:rPr>
        <w:t xml:space="preserve"> mi vida.</w:t>
      </w:r>
    </w:p>
    <w:p w:rsidR="00902D10" w:rsidRPr="00CB64C3" w:rsidRDefault="00902D10" w:rsidP="00CB64C3">
      <w:pPr>
        <w:spacing w:line="360" w:lineRule="auto"/>
        <w:jc w:val="both"/>
        <w:rPr>
          <w:rFonts w:ascii="Arial" w:hAnsi="Arial" w:cs="Arial"/>
          <w:sz w:val="22"/>
          <w:szCs w:val="22"/>
          <w:lang w:val="es-ES"/>
        </w:rPr>
      </w:pPr>
    </w:p>
    <w:p w:rsidR="00902D10" w:rsidRPr="00CB64C3" w:rsidRDefault="00902D10" w:rsidP="00CB64C3">
      <w:pPr>
        <w:spacing w:line="360" w:lineRule="auto"/>
        <w:jc w:val="both"/>
        <w:rPr>
          <w:rFonts w:ascii="Arial" w:hAnsi="Arial" w:cs="Arial"/>
          <w:sz w:val="22"/>
          <w:szCs w:val="22"/>
          <w:lang w:val="es-ES"/>
        </w:rPr>
      </w:pPr>
      <w:r w:rsidRPr="00CB64C3">
        <w:rPr>
          <w:rFonts w:ascii="Arial" w:hAnsi="Arial" w:cs="Arial"/>
          <w:sz w:val="22"/>
          <w:szCs w:val="22"/>
          <w:lang w:val="es-ES"/>
        </w:rPr>
        <w:t>Expreso mis sinceros sentimientos de consideración a las instituciones de educación que me han formado académica y perso</w:t>
      </w:r>
      <w:r w:rsidR="005C25AA">
        <w:rPr>
          <w:rFonts w:ascii="Arial" w:hAnsi="Arial" w:cs="Arial"/>
          <w:sz w:val="22"/>
          <w:szCs w:val="22"/>
          <w:lang w:val="es-ES"/>
        </w:rPr>
        <w:t>na</w:t>
      </w:r>
      <w:r w:rsidRPr="00CB64C3">
        <w:rPr>
          <w:rFonts w:ascii="Arial" w:hAnsi="Arial" w:cs="Arial"/>
          <w:sz w:val="22"/>
          <w:szCs w:val="22"/>
          <w:lang w:val="es-ES"/>
        </w:rPr>
        <w:t xml:space="preserve">lmente, </w:t>
      </w:r>
      <w:r w:rsidR="00871E06" w:rsidRPr="00CB64C3">
        <w:rPr>
          <w:rFonts w:ascii="Arial" w:hAnsi="Arial" w:cs="Arial"/>
          <w:sz w:val="22"/>
          <w:szCs w:val="22"/>
          <w:lang w:val="es-ES"/>
        </w:rPr>
        <w:t xml:space="preserve">y </w:t>
      </w:r>
      <w:r w:rsidRPr="00CB64C3">
        <w:rPr>
          <w:rFonts w:ascii="Arial" w:hAnsi="Arial" w:cs="Arial"/>
          <w:sz w:val="22"/>
          <w:szCs w:val="22"/>
          <w:lang w:val="es-ES"/>
        </w:rPr>
        <w:t xml:space="preserve">de forma especial a la Pontificia Universidad Católica del Ecuador ya que </w:t>
      </w:r>
      <w:r w:rsidR="00871E06" w:rsidRPr="00CB64C3">
        <w:rPr>
          <w:rFonts w:ascii="Arial" w:hAnsi="Arial" w:cs="Arial"/>
          <w:sz w:val="22"/>
          <w:szCs w:val="22"/>
          <w:lang w:val="es-ES"/>
        </w:rPr>
        <w:t>su calidad académica me ha significado un aporte trascendental no solo en el ámbito profesional, sino también espiritual. Sin duda el prestigio de esta institución de educación superior se ha forjado y mantenido con el trabajo arduo de autoridades, docentes, y personal administrativo.</w:t>
      </w:r>
    </w:p>
    <w:p w:rsidR="00871E06" w:rsidRPr="00CB64C3" w:rsidRDefault="00871E06" w:rsidP="00CB64C3">
      <w:pPr>
        <w:spacing w:line="360" w:lineRule="auto"/>
        <w:jc w:val="both"/>
        <w:rPr>
          <w:rFonts w:ascii="Arial" w:hAnsi="Arial" w:cs="Arial"/>
          <w:sz w:val="22"/>
          <w:szCs w:val="22"/>
          <w:lang w:val="es-ES"/>
        </w:rPr>
      </w:pPr>
    </w:p>
    <w:p w:rsidR="00871E06" w:rsidRPr="00CB64C3" w:rsidRDefault="00871E06" w:rsidP="00CB64C3">
      <w:pPr>
        <w:spacing w:line="360" w:lineRule="auto"/>
        <w:jc w:val="both"/>
        <w:rPr>
          <w:rFonts w:ascii="Arial" w:hAnsi="Arial" w:cs="Arial"/>
          <w:sz w:val="22"/>
          <w:szCs w:val="22"/>
          <w:lang w:val="es-ES"/>
        </w:rPr>
      </w:pPr>
      <w:r w:rsidRPr="00CB64C3">
        <w:rPr>
          <w:rFonts w:ascii="Arial" w:hAnsi="Arial" w:cs="Arial"/>
          <w:sz w:val="22"/>
          <w:szCs w:val="22"/>
          <w:lang w:val="es-ES"/>
        </w:rPr>
        <w:t>Agradezco también a</w:t>
      </w:r>
      <w:r w:rsidR="00205D3D">
        <w:rPr>
          <w:rFonts w:ascii="Arial" w:hAnsi="Arial" w:cs="Arial"/>
          <w:sz w:val="22"/>
          <w:szCs w:val="22"/>
          <w:lang w:val="es-ES"/>
        </w:rPr>
        <w:t>l abogado</w:t>
      </w:r>
      <w:r w:rsidRPr="00CB64C3">
        <w:rPr>
          <w:rFonts w:ascii="Arial" w:hAnsi="Arial" w:cs="Arial"/>
          <w:sz w:val="22"/>
          <w:szCs w:val="22"/>
          <w:lang w:val="es-ES"/>
        </w:rPr>
        <w:t xml:space="preserve"> David Cordero, mi director de tesis que me ha guiado de forma entregada y responsable en la elaboración de esta disertación.</w:t>
      </w:r>
    </w:p>
    <w:p w:rsidR="00871E06" w:rsidRPr="00CB64C3" w:rsidRDefault="00871E06" w:rsidP="00CB64C3">
      <w:pPr>
        <w:spacing w:line="360" w:lineRule="auto"/>
        <w:jc w:val="both"/>
        <w:rPr>
          <w:rFonts w:ascii="Arial" w:hAnsi="Arial" w:cs="Arial"/>
          <w:sz w:val="22"/>
          <w:szCs w:val="22"/>
          <w:lang w:val="es-ES"/>
        </w:rPr>
      </w:pPr>
    </w:p>
    <w:p w:rsidR="00871E06" w:rsidRPr="00CB64C3" w:rsidRDefault="00871E06" w:rsidP="00CB64C3">
      <w:pPr>
        <w:spacing w:line="360" w:lineRule="auto"/>
        <w:jc w:val="both"/>
        <w:rPr>
          <w:rFonts w:ascii="Arial" w:hAnsi="Arial" w:cs="Arial"/>
          <w:sz w:val="22"/>
          <w:szCs w:val="22"/>
          <w:lang w:val="es-ES"/>
        </w:rPr>
      </w:pPr>
      <w:r w:rsidRPr="00CB64C3">
        <w:rPr>
          <w:rFonts w:ascii="Arial" w:hAnsi="Arial" w:cs="Arial"/>
          <w:sz w:val="22"/>
          <w:szCs w:val="22"/>
          <w:lang w:val="es-ES"/>
        </w:rPr>
        <w:t xml:space="preserve">Por último quiero expresar </w:t>
      </w:r>
      <w:r w:rsidR="00CB64C3" w:rsidRPr="00CB64C3">
        <w:rPr>
          <w:rFonts w:ascii="Arial" w:hAnsi="Arial" w:cs="Arial"/>
          <w:sz w:val="22"/>
          <w:szCs w:val="22"/>
          <w:lang w:val="es-ES"/>
        </w:rPr>
        <w:t>el orgullo que siento por mis compañeros de clase, amigos en esta etapa de formación, que con trabajo y dedicación han logrado sus objetivos y metas</w:t>
      </w:r>
      <w:r w:rsidR="00CB64C3">
        <w:rPr>
          <w:rFonts w:ascii="Arial" w:hAnsi="Arial" w:cs="Arial"/>
          <w:sz w:val="22"/>
          <w:szCs w:val="22"/>
          <w:lang w:val="es-ES"/>
        </w:rPr>
        <w:t>,</w:t>
      </w:r>
      <w:r w:rsidR="00CB64C3" w:rsidRPr="00CB64C3">
        <w:rPr>
          <w:rFonts w:ascii="Arial" w:hAnsi="Arial" w:cs="Arial"/>
          <w:sz w:val="22"/>
          <w:szCs w:val="22"/>
          <w:lang w:val="es-ES"/>
        </w:rPr>
        <w:t xml:space="preserve"> que afronten con la misma entrega las que se propongan en su camino.</w:t>
      </w:r>
      <w:r w:rsidRPr="00CB64C3">
        <w:rPr>
          <w:rFonts w:ascii="Arial" w:hAnsi="Arial" w:cs="Arial"/>
          <w:sz w:val="22"/>
          <w:szCs w:val="22"/>
          <w:lang w:val="es-ES"/>
        </w:rPr>
        <w:t xml:space="preserve"> </w:t>
      </w:r>
    </w:p>
    <w:p w:rsidR="002F4320" w:rsidRPr="00CB64C3" w:rsidRDefault="002F4320" w:rsidP="002F4320">
      <w:pPr>
        <w:rPr>
          <w:sz w:val="22"/>
          <w:szCs w:val="22"/>
          <w:lang w:val="es-ES"/>
        </w:rPr>
      </w:pPr>
    </w:p>
    <w:p w:rsidR="002F4320" w:rsidRDefault="002F4320" w:rsidP="002F4320">
      <w:pPr>
        <w:rPr>
          <w:lang w:val="es-ES"/>
        </w:rPr>
      </w:pPr>
    </w:p>
    <w:p w:rsidR="002F4320" w:rsidRDefault="002F4320" w:rsidP="002F4320">
      <w:pPr>
        <w:rPr>
          <w:lang w:val="es-ES"/>
        </w:rPr>
      </w:pPr>
    </w:p>
    <w:p w:rsidR="002F4320" w:rsidRDefault="002F4320" w:rsidP="002F4320">
      <w:pPr>
        <w:rPr>
          <w:lang w:val="es-ES"/>
        </w:rPr>
      </w:pPr>
    </w:p>
    <w:p w:rsidR="00CB64C3" w:rsidRDefault="00CB64C3" w:rsidP="002F4320">
      <w:pPr>
        <w:rPr>
          <w:lang w:val="es-ES"/>
        </w:rPr>
      </w:pPr>
    </w:p>
    <w:p w:rsidR="002F4320" w:rsidRDefault="002F4320" w:rsidP="002F4320">
      <w:pPr>
        <w:rPr>
          <w:lang w:val="es-ES"/>
        </w:rPr>
      </w:pPr>
    </w:p>
    <w:p w:rsidR="00902D10" w:rsidRDefault="00902D10" w:rsidP="002F4320">
      <w:pPr>
        <w:rPr>
          <w:lang w:val="es-ES"/>
        </w:rPr>
      </w:pPr>
    </w:p>
    <w:p w:rsidR="00CB64C3" w:rsidRDefault="00CB64C3" w:rsidP="002F4320">
      <w:pPr>
        <w:rPr>
          <w:lang w:val="es-ES"/>
        </w:rPr>
      </w:pPr>
    </w:p>
    <w:p w:rsidR="00CB64C3" w:rsidRDefault="00CB64C3" w:rsidP="002F4320">
      <w:pPr>
        <w:rPr>
          <w:lang w:val="es-ES"/>
        </w:rPr>
      </w:pPr>
    </w:p>
    <w:p w:rsidR="00CB64C3" w:rsidRDefault="00CB64C3" w:rsidP="002F4320">
      <w:pPr>
        <w:rPr>
          <w:lang w:val="es-ES"/>
        </w:rPr>
      </w:pPr>
    </w:p>
    <w:p w:rsidR="00CB64C3" w:rsidRDefault="00CB64C3" w:rsidP="002F4320">
      <w:pPr>
        <w:rPr>
          <w:lang w:val="es-ES"/>
        </w:rPr>
      </w:pPr>
    </w:p>
    <w:p w:rsidR="00CB64C3" w:rsidRDefault="00CB64C3" w:rsidP="002F4320">
      <w:pPr>
        <w:rPr>
          <w:lang w:val="es-ES"/>
        </w:rPr>
      </w:pPr>
    </w:p>
    <w:p w:rsidR="00CB64C3" w:rsidRDefault="00CB64C3" w:rsidP="002F4320">
      <w:pPr>
        <w:rPr>
          <w:lang w:val="es-ES"/>
        </w:rPr>
      </w:pPr>
    </w:p>
    <w:p w:rsidR="002F4320" w:rsidRPr="002F4320" w:rsidRDefault="002F4320" w:rsidP="002F4320">
      <w:pPr>
        <w:rPr>
          <w:lang w:val="es-ES"/>
        </w:rPr>
      </w:pPr>
    </w:p>
    <w:p w:rsidR="002F4320" w:rsidRPr="007671C4" w:rsidRDefault="007671C4" w:rsidP="002F4320">
      <w:pPr>
        <w:jc w:val="center"/>
        <w:rPr>
          <w:rFonts w:ascii="Arial" w:hAnsi="Arial" w:cs="Arial"/>
          <w:b/>
          <w:sz w:val="28"/>
          <w:szCs w:val="28"/>
          <w:lang w:val="es-ES"/>
        </w:rPr>
      </w:pPr>
      <w:r w:rsidRPr="007671C4">
        <w:rPr>
          <w:rFonts w:ascii="Arial" w:hAnsi="Arial" w:cs="Arial"/>
          <w:b/>
          <w:sz w:val="28"/>
          <w:szCs w:val="28"/>
          <w:lang w:val="es-ES"/>
        </w:rPr>
        <w:lastRenderedPageBreak/>
        <w:t>ÍNDICE</w:t>
      </w:r>
    </w:p>
    <w:p w:rsidR="002F4320" w:rsidRPr="002F4320" w:rsidRDefault="002F4320" w:rsidP="002F4320">
      <w:pPr>
        <w:rPr>
          <w:lang w:val="es-ES"/>
        </w:rPr>
      </w:pPr>
    </w:p>
    <w:p w:rsidR="007671C4" w:rsidRDefault="007671C4" w:rsidP="00C45A27">
      <w:pPr>
        <w:pStyle w:val="TDC2"/>
        <w:ind w:left="0"/>
        <w:rPr>
          <w:rFonts w:ascii="Arial" w:hAnsi="Arial" w:cs="Arial"/>
          <w:sz w:val="22"/>
          <w:szCs w:val="22"/>
          <w:lang w:val="es-ES"/>
        </w:rPr>
      </w:pPr>
    </w:p>
    <w:p w:rsidR="007671C4" w:rsidRDefault="007671C4" w:rsidP="00C45A27">
      <w:pPr>
        <w:pStyle w:val="TDC2"/>
        <w:ind w:left="0"/>
        <w:rPr>
          <w:rFonts w:ascii="Arial" w:hAnsi="Arial" w:cs="Arial"/>
          <w:sz w:val="22"/>
          <w:szCs w:val="22"/>
          <w:lang w:val="es-ES"/>
        </w:rPr>
      </w:pPr>
      <w:r>
        <w:rPr>
          <w:rFonts w:ascii="Arial" w:hAnsi="Arial" w:cs="Arial"/>
          <w:sz w:val="22"/>
          <w:szCs w:val="22"/>
          <w:lang w:val="es-ES"/>
        </w:rPr>
        <w:t>INTRODUCCIÓN…………………………………………………………………………………..1</w:t>
      </w:r>
    </w:p>
    <w:p w:rsidR="00C45A27" w:rsidRPr="00C45A27" w:rsidRDefault="007F76D7" w:rsidP="00C45A27">
      <w:pPr>
        <w:pStyle w:val="TDC2"/>
        <w:ind w:left="0"/>
        <w:rPr>
          <w:rFonts w:ascii="Arial" w:hAnsi="Arial" w:cs="Arial"/>
          <w:sz w:val="22"/>
          <w:szCs w:val="22"/>
          <w:lang w:val="es-ES"/>
        </w:rPr>
      </w:pPr>
      <w:r>
        <w:rPr>
          <w:rFonts w:ascii="Arial" w:hAnsi="Arial" w:cs="Arial"/>
          <w:sz w:val="22"/>
          <w:szCs w:val="22"/>
          <w:lang w:val="es-ES"/>
        </w:rPr>
        <w:t>CAPÍ</w:t>
      </w:r>
      <w:r w:rsidR="00C45A27" w:rsidRPr="00C45A27">
        <w:rPr>
          <w:rFonts w:ascii="Arial" w:hAnsi="Arial" w:cs="Arial"/>
          <w:sz w:val="22"/>
          <w:szCs w:val="22"/>
          <w:lang w:val="es-ES"/>
        </w:rPr>
        <w:t>TULO I</w:t>
      </w:r>
    </w:p>
    <w:p w:rsidR="00C45A27" w:rsidRPr="00C45A27" w:rsidRDefault="00C45A27" w:rsidP="007F76D7">
      <w:pPr>
        <w:jc w:val="both"/>
        <w:rPr>
          <w:rFonts w:ascii="Arial" w:hAnsi="Arial" w:cs="Arial"/>
          <w:sz w:val="22"/>
          <w:szCs w:val="22"/>
          <w:lang w:val="es-ES"/>
        </w:rPr>
      </w:pPr>
      <w:r w:rsidRPr="00C45A27">
        <w:rPr>
          <w:rFonts w:ascii="Arial" w:hAnsi="Arial" w:cs="Arial"/>
          <w:sz w:val="22"/>
          <w:szCs w:val="22"/>
          <w:lang w:val="es-ES"/>
        </w:rPr>
        <w:t>EL DERECHO A LA REPARACI</w:t>
      </w:r>
      <w:r>
        <w:rPr>
          <w:rFonts w:ascii="Arial" w:hAnsi="Arial" w:cs="Arial"/>
          <w:sz w:val="22"/>
          <w:szCs w:val="22"/>
          <w:lang w:val="es-ES"/>
        </w:rPr>
        <w:t>ÓN INTEGRAL DE LAS VÍCTIMAS DE VIOLACIONES DE DERECHOS HUMANO</w:t>
      </w:r>
      <w:r w:rsidR="0039784D">
        <w:rPr>
          <w:rFonts w:ascii="Arial" w:hAnsi="Arial" w:cs="Arial"/>
          <w:sz w:val="22"/>
          <w:szCs w:val="22"/>
          <w:lang w:val="es-ES"/>
        </w:rPr>
        <w:t>S</w:t>
      </w:r>
      <w:r>
        <w:rPr>
          <w:rFonts w:ascii="Arial" w:hAnsi="Arial" w:cs="Arial"/>
          <w:sz w:val="22"/>
          <w:szCs w:val="22"/>
          <w:lang w:val="es-ES"/>
        </w:rPr>
        <w:t>: ANTECEDENTES, ALCANCE, SUJETOS, ELEMENTOS Y TIPOS DE REPARACIÓN</w:t>
      </w:r>
      <w:r w:rsidR="00357F22">
        <w:rPr>
          <w:rFonts w:ascii="Arial" w:hAnsi="Arial" w:cs="Arial"/>
          <w:sz w:val="22"/>
          <w:szCs w:val="22"/>
          <w:lang w:val="es-ES"/>
        </w:rPr>
        <w:t>………………………………………………………………………..4</w:t>
      </w:r>
    </w:p>
    <w:p w:rsidR="00C45A27" w:rsidRPr="00C45A27" w:rsidRDefault="00C45A27" w:rsidP="00C45A27">
      <w:pPr>
        <w:rPr>
          <w:lang w:val="es-ES"/>
        </w:rPr>
      </w:pPr>
    </w:p>
    <w:p w:rsidR="00C45A27" w:rsidRPr="00C45A27" w:rsidRDefault="00C45A27" w:rsidP="00C45A27">
      <w:pPr>
        <w:rPr>
          <w:lang w:val="es-ES"/>
        </w:rPr>
      </w:pPr>
      <w:r w:rsidRPr="00C45A27">
        <w:rPr>
          <w:lang w:val="es-ES"/>
        </w:rPr>
        <w:tab/>
      </w:r>
    </w:p>
    <w:p w:rsidR="00C45A27" w:rsidRPr="00C45A27" w:rsidRDefault="00614081" w:rsidP="00C45A27">
      <w:pPr>
        <w:pStyle w:val="TDC2"/>
        <w:rPr>
          <w:rFonts w:eastAsiaTheme="minorEastAsia"/>
          <w:noProof/>
          <w:lang w:val="es-ES" w:eastAsia="es-ES"/>
        </w:rPr>
      </w:pPr>
      <w:r>
        <w:rPr>
          <w:b/>
          <w:sz w:val="26"/>
          <w:szCs w:val="26"/>
        </w:rPr>
        <w:fldChar w:fldCharType="begin"/>
      </w:r>
      <w:r w:rsidR="00C45A27">
        <w:rPr>
          <w:b/>
          <w:sz w:val="26"/>
          <w:szCs w:val="26"/>
        </w:rPr>
        <w:instrText xml:space="preserve"> TOC \o "2-3" \h \z \u \t "Título 1;1" </w:instrText>
      </w:r>
      <w:r>
        <w:rPr>
          <w:b/>
          <w:sz w:val="26"/>
          <w:szCs w:val="26"/>
        </w:rPr>
        <w:fldChar w:fldCharType="separate"/>
      </w:r>
      <w:hyperlink w:anchor="_Toc356432238" w:history="1">
        <w:r w:rsidR="00C45A27" w:rsidRPr="00C45A27">
          <w:rPr>
            <w:rStyle w:val="Hipervnculo"/>
            <w:rFonts w:ascii="Arial" w:hAnsi="Arial" w:cs="Arial"/>
            <w:noProof/>
            <w:sz w:val="22"/>
            <w:szCs w:val="22"/>
            <w:u w:color="000000"/>
          </w:rPr>
          <w:t>1.1.</w:t>
        </w:r>
        <w:r w:rsidR="00C45A27" w:rsidRPr="00C45A27">
          <w:rPr>
            <w:rFonts w:eastAsiaTheme="minorEastAsia"/>
            <w:noProof/>
            <w:lang w:val="es-ES" w:eastAsia="es-ES"/>
          </w:rPr>
          <w:tab/>
        </w:r>
        <w:r w:rsidR="00C45A27" w:rsidRPr="00C45A27">
          <w:rPr>
            <w:rStyle w:val="Hipervnculo"/>
            <w:rFonts w:ascii="Arial" w:hAnsi="Arial" w:cs="Arial"/>
            <w:noProof/>
            <w:sz w:val="22"/>
            <w:szCs w:val="22"/>
            <w:u w:color="000000"/>
          </w:rPr>
          <w:t>Antecedentes del surgimiento del derecho a la reparación integral</w:t>
        </w:r>
        <w:r w:rsidR="00C45A27" w:rsidRPr="00C45A27">
          <w:rPr>
            <w:noProof/>
            <w:webHidden/>
          </w:rPr>
          <w:tab/>
        </w:r>
        <w:r w:rsidRPr="00C45A27">
          <w:rPr>
            <w:noProof/>
            <w:webHidden/>
          </w:rPr>
          <w:fldChar w:fldCharType="begin"/>
        </w:r>
        <w:r w:rsidR="00C45A27" w:rsidRPr="00C45A27">
          <w:rPr>
            <w:noProof/>
            <w:webHidden/>
          </w:rPr>
          <w:instrText xml:space="preserve"> PAGEREF _Toc356432238 \h </w:instrText>
        </w:r>
        <w:r w:rsidRPr="00C45A27">
          <w:rPr>
            <w:noProof/>
            <w:webHidden/>
          </w:rPr>
        </w:r>
        <w:r w:rsidRPr="00C45A27">
          <w:rPr>
            <w:noProof/>
            <w:webHidden/>
          </w:rPr>
          <w:fldChar w:fldCharType="separate"/>
        </w:r>
        <w:r w:rsidR="004507CC">
          <w:rPr>
            <w:noProof/>
            <w:webHidden/>
          </w:rPr>
          <w:t>4</w:t>
        </w:r>
        <w:r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39" w:history="1">
        <w:r w:rsidR="00C45A27" w:rsidRPr="00C45A27">
          <w:rPr>
            <w:rStyle w:val="Hipervnculo"/>
            <w:rFonts w:ascii="Arial" w:hAnsi="Arial" w:cs="Arial"/>
            <w:noProof/>
            <w:sz w:val="22"/>
            <w:szCs w:val="22"/>
            <w:u w:color="000000"/>
          </w:rPr>
          <w:t>1.1.1.</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La impunidad generalizada en la judicialización a los responsables de violaciones a los derechos humanos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_Toc356432239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7</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40" w:history="1">
        <w:r w:rsidR="00C45A27" w:rsidRPr="00C45A27">
          <w:rPr>
            <w:rStyle w:val="Hipervnculo"/>
            <w:rFonts w:ascii="Arial" w:hAnsi="Arial" w:cs="Arial"/>
            <w:noProof/>
            <w:sz w:val="22"/>
            <w:szCs w:val="22"/>
            <w:u w:color="000000"/>
          </w:rPr>
          <w:t>1.1.2.</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La trilogía de los derechos a la verdad, justicia y reparación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_Toc356432240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9</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41" w:history="1">
        <w:r w:rsidR="00C45A27" w:rsidRPr="00C45A27">
          <w:rPr>
            <w:rStyle w:val="Hipervnculo"/>
            <w:rFonts w:ascii="Arial" w:hAnsi="Arial" w:cs="Arial"/>
            <w:noProof/>
            <w:sz w:val="22"/>
            <w:szCs w:val="22"/>
            <w:u w:color="000000"/>
          </w:rPr>
          <w:t>1.1.3.</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La tendencia en la atención a las víctimas en los procesos de judicialización de los responsables de violaciones a los derechos humanos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_Toc356432241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12</w:t>
        </w:r>
        <w:r w:rsidR="00614081" w:rsidRPr="00C45A27">
          <w:rPr>
            <w:rFonts w:ascii="Arial" w:hAnsi="Arial" w:cs="Arial"/>
            <w:noProof/>
            <w:webHidden/>
            <w:sz w:val="22"/>
            <w:szCs w:val="22"/>
          </w:rPr>
          <w:fldChar w:fldCharType="end"/>
        </w:r>
      </w:hyperlink>
    </w:p>
    <w:p w:rsidR="00C45A27" w:rsidRPr="00C45A27" w:rsidRDefault="00397A2D" w:rsidP="00C45A27">
      <w:pPr>
        <w:pStyle w:val="TDC2"/>
        <w:rPr>
          <w:rFonts w:eastAsiaTheme="minorEastAsia"/>
          <w:noProof/>
          <w:lang w:val="es-ES" w:eastAsia="es-ES"/>
        </w:rPr>
      </w:pPr>
      <w:hyperlink w:anchor="_Toc356432242" w:history="1">
        <w:r w:rsidR="00C45A27" w:rsidRPr="00C45A27">
          <w:rPr>
            <w:rStyle w:val="Hipervnculo"/>
            <w:rFonts w:ascii="Arial" w:hAnsi="Arial" w:cs="Arial"/>
            <w:noProof/>
            <w:sz w:val="22"/>
            <w:szCs w:val="22"/>
            <w:u w:color="000000"/>
          </w:rPr>
          <w:t>1.2.</w:t>
        </w:r>
        <w:r w:rsidR="00C45A27" w:rsidRPr="00C45A27">
          <w:rPr>
            <w:rFonts w:eastAsiaTheme="minorEastAsia"/>
            <w:noProof/>
            <w:lang w:val="es-ES" w:eastAsia="es-ES"/>
          </w:rPr>
          <w:tab/>
        </w:r>
        <w:r w:rsidR="00C45A27" w:rsidRPr="00C45A27">
          <w:rPr>
            <w:rStyle w:val="Hipervnculo"/>
            <w:rFonts w:ascii="Arial" w:hAnsi="Arial" w:cs="Arial"/>
            <w:noProof/>
            <w:sz w:val="22"/>
            <w:szCs w:val="22"/>
            <w:u w:color="000000"/>
          </w:rPr>
          <w:t>La naturaleza de la reparación</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_Toc356432242 \h </w:instrText>
        </w:r>
        <w:r w:rsidR="00614081" w:rsidRPr="00C45A27">
          <w:rPr>
            <w:noProof/>
            <w:webHidden/>
          </w:rPr>
        </w:r>
        <w:r w:rsidR="00614081" w:rsidRPr="00C45A27">
          <w:rPr>
            <w:noProof/>
            <w:webHidden/>
          </w:rPr>
          <w:fldChar w:fldCharType="separate"/>
        </w:r>
        <w:r w:rsidR="004507CC">
          <w:rPr>
            <w:noProof/>
            <w:webHidden/>
          </w:rPr>
          <w:t>14</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43" w:history="1">
        <w:r w:rsidR="00C45A27" w:rsidRPr="00C45A27">
          <w:rPr>
            <w:rStyle w:val="Hipervnculo"/>
            <w:rFonts w:ascii="Arial" w:hAnsi="Arial" w:cs="Arial"/>
            <w:noProof/>
            <w:sz w:val="22"/>
            <w:szCs w:val="22"/>
            <w:u w:color="000000"/>
          </w:rPr>
          <w:t>1.2.1.</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La reparación como derecho, o como elemento del derecho a la tutela judicial efectiva</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_Toc356432243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14</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44" w:history="1">
        <w:r w:rsidR="00C45A27" w:rsidRPr="00C45A27">
          <w:rPr>
            <w:rStyle w:val="Hipervnculo"/>
            <w:rFonts w:ascii="Arial" w:hAnsi="Arial" w:cs="Arial"/>
            <w:noProof/>
            <w:sz w:val="22"/>
            <w:szCs w:val="22"/>
            <w:u w:color="000000"/>
          </w:rPr>
          <w:t>1.2.2.</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Alcance y ámbito de la reparación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_Toc356432244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16</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45" w:history="1">
        <w:r w:rsidR="00C45A27" w:rsidRPr="00C45A27">
          <w:rPr>
            <w:rStyle w:val="Hipervnculo"/>
            <w:rFonts w:ascii="Arial" w:hAnsi="Arial" w:cs="Arial"/>
            <w:noProof/>
            <w:sz w:val="22"/>
            <w:szCs w:val="22"/>
            <w:u w:color="000000"/>
          </w:rPr>
          <w:t>1.2.3.</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Afectación al proyecto de vida y su reparación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_Toc356432245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17</w:t>
        </w:r>
        <w:r w:rsidR="00614081" w:rsidRPr="00C45A27">
          <w:rPr>
            <w:rFonts w:ascii="Arial" w:hAnsi="Arial" w:cs="Arial"/>
            <w:noProof/>
            <w:webHidden/>
            <w:sz w:val="22"/>
            <w:szCs w:val="22"/>
          </w:rPr>
          <w:fldChar w:fldCharType="end"/>
        </w:r>
      </w:hyperlink>
    </w:p>
    <w:p w:rsidR="00C45A27" w:rsidRPr="00C45A27" w:rsidRDefault="00397A2D" w:rsidP="00C45A27">
      <w:pPr>
        <w:pStyle w:val="TDC2"/>
        <w:rPr>
          <w:rFonts w:eastAsiaTheme="minorEastAsia"/>
          <w:noProof/>
          <w:lang w:val="es-ES" w:eastAsia="es-ES"/>
        </w:rPr>
      </w:pPr>
      <w:hyperlink w:anchor="_Toc356432246" w:history="1">
        <w:r w:rsidR="00C45A27" w:rsidRPr="00C45A27">
          <w:rPr>
            <w:rStyle w:val="Hipervnculo"/>
            <w:rFonts w:ascii="Arial" w:hAnsi="Arial" w:cs="Arial"/>
            <w:noProof/>
            <w:sz w:val="22"/>
            <w:szCs w:val="22"/>
            <w:u w:color="000000"/>
          </w:rPr>
          <w:t>1.3.</w:t>
        </w:r>
        <w:r w:rsidR="00C45A27" w:rsidRPr="00C45A27">
          <w:rPr>
            <w:rFonts w:eastAsiaTheme="minorEastAsia"/>
            <w:noProof/>
            <w:lang w:val="es-ES" w:eastAsia="es-ES"/>
          </w:rPr>
          <w:tab/>
        </w:r>
        <w:r w:rsidR="00C45A27" w:rsidRPr="00C45A27">
          <w:rPr>
            <w:rStyle w:val="Hipervnculo"/>
            <w:rFonts w:ascii="Arial" w:hAnsi="Arial" w:cs="Arial"/>
            <w:noProof/>
            <w:sz w:val="22"/>
            <w:szCs w:val="22"/>
            <w:u w:color="000000"/>
          </w:rPr>
          <w:t>Titulares y sujetos del derecho a la reparación</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_Toc356432246 \h </w:instrText>
        </w:r>
        <w:r w:rsidR="00614081" w:rsidRPr="00C45A27">
          <w:rPr>
            <w:noProof/>
            <w:webHidden/>
          </w:rPr>
        </w:r>
        <w:r w:rsidR="00614081" w:rsidRPr="00C45A27">
          <w:rPr>
            <w:noProof/>
            <w:webHidden/>
          </w:rPr>
          <w:fldChar w:fldCharType="separate"/>
        </w:r>
        <w:r w:rsidR="004507CC">
          <w:rPr>
            <w:noProof/>
            <w:webHidden/>
          </w:rPr>
          <w:t>20</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47" w:history="1">
        <w:r w:rsidR="00C45A27" w:rsidRPr="00C45A27">
          <w:rPr>
            <w:rStyle w:val="Hipervnculo"/>
            <w:rFonts w:ascii="Arial" w:hAnsi="Arial" w:cs="Arial"/>
            <w:noProof/>
            <w:sz w:val="22"/>
            <w:szCs w:val="22"/>
            <w:u w:color="000000"/>
          </w:rPr>
          <w:t>1.3.1.</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¿Quiénes son titulares del derecho a la reparación?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_Toc356432247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21</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48" w:history="1">
        <w:r w:rsidR="00C45A27" w:rsidRPr="00C45A27">
          <w:rPr>
            <w:rStyle w:val="Hipervnculo"/>
            <w:rFonts w:ascii="Arial" w:hAnsi="Arial" w:cs="Arial"/>
            <w:noProof/>
            <w:sz w:val="22"/>
            <w:szCs w:val="22"/>
            <w:u w:color="000000"/>
          </w:rPr>
          <w:t>1.3.2.</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Participación de las víctimas en los procesos de judicialización de los presuntos responsables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_Toc356432248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22</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49" w:history="1">
        <w:r w:rsidR="00C45A27" w:rsidRPr="00C45A27">
          <w:rPr>
            <w:rStyle w:val="Hipervnculo"/>
            <w:rFonts w:ascii="Arial" w:hAnsi="Arial" w:cs="Arial"/>
            <w:noProof/>
            <w:sz w:val="22"/>
            <w:szCs w:val="22"/>
            <w:u w:color="000000"/>
          </w:rPr>
          <w:t>1.3.3.</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Papel de la Corte IDH y los Estados responsables en la reparación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_Toc356432249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24</w:t>
        </w:r>
        <w:r w:rsidR="00614081" w:rsidRPr="00C45A27">
          <w:rPr>
            <w:rFonts w:ascii="Arial" w:hAnsi="Arial" w:cs="Arial"/>
            <w:noProof/>
            <w:webHidden/>
            <w:sz w:val="22"/>
            <w:szCs w:val="22"/>
          </w:rPr>
          <w:fldChar w:fldCharType="end"/>
        </w:r>
      </w:hyperlink>
    </w:p>
    <w:p w:rsidR="00C45A27" w:rsidRPr="00C45A27" w:rsidRDefault="00397A2D" w:rsidP="00C45A27">
      <w:pPr>
        <w:pStyle w:val="TDC2"/>
        <w:rPr>
          <w:rFonts w:eastAsiaTheme="minorEastAsia"/>
          <w:noProof/>
          <w:lang w:val="es-ES" w:eastAsia="es-ES"/>
        </w:rPr>
      </w:pPr>
      <w:hyperlink w:anchor="_Toc356432250" w:history="1">
        <w:r w:rsidR="00C45A27" w:rsidRPr="00C45A27">
          <w:rPr>
            <w:rStyle w:val="Hipervnculo"/>
            <w:rFonts w:ascii="Arial" w:hAnsi="Arial" w:cs="Arial"/>
            <w:noProof/>
            <w:sz w:val="22"/>
            <w:szCs w:val="22"/>
            <w:u w:color="000000"/>
          </w:rPr>
          <w:t>1.4.</w:t>
        </w:r>
        <w:r w:rsidR="00C45A27" w:rsidRPr="00C45A27">
          <w:rPr>
            <w:rFonts w:eastAsiaTheme="minorEastAsia"/>
            <w:noProof/>
            <w:lang w:val="es-ES" w:eastAsia="es-ES"/>
          </w:rPr>
          <w:tab/>
        </w:r>
        <w:r w:rsidR="00CD69B2">
          <w:rPr>
            <w:rStyle w:val="Hipervnculo"/>
            <w:rFonts w:ascii="Arial" w:hAnsi="Arial" w:cs="Arial"/>
            <w:noProof/>
            <w:sz w:val="22"/>
            <w:szCs w:val="22"/>
            <w:u w:color="000000"/>
          </w:rPr>
          <w:t>Las formas</w:t>
        </w:r>
        <w:r w:rsidR="005E1D9D">
          <w:rPr>
            <w:rStyle w:val="Hipervnculo"/>
            <w:rFonts w:ascii="Arial" w:hAnsi="Arial" w:cs="Arial"/>
            <w:noProof/>
            <w:sz w:val="22"/>
            <w:szCs w:val="22"/>
            <w:u w:color="000000"/>
          </w:rPr>
          <w:t xml:space="preserve"> de</w:t>
        </w:r>
        <w:r w:rsidR="00CD69B2">
          <w:rPr>
            <w:rStyle w:val="Hipervnculo"/>
            <w:rFonts w:ascii="Arial" w:hAnsi="Arial" w:cs="Arial"/>
            <w:noProof/>
            <w:sz w:val="22"/>
            <w:szCs w:val="22"/>
            <w:u w:color="000000"/>
          </w:rPr>
          <w:t xml:space="preserve"> reparación contemplada</w:t>
        </w:r>
        <w:r w:rsidR="00C45A27" w:rsidRPr="00C45A27">
          <w:rPr>
            <w:rStyle w:val="Hipervnculo"/>
            <w:rFonts w:ascii="Arial" w:hAnsi="Arial" w:cs="Arial"/>
            <w:noProof/>
            <w:sz w:val="22"/>
            <w:szCs w:val="22"/>
            <w:u w:color="000000"/>
          </w:rPr>
          <w:t>s por la Corte Interamericana de Derechos Humanos</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_Toc356432250 \h </w:instrText>
        </w:r>
        <w:r w:rsidR="00614081" w:rsidRPr="00C45A27">
          <w:rPr>
            <w:noProof/>
            <w:webHidden/>
          </w:rPr>
        </w:r>
        <w:r w:rsidR="00614081" w:rsidRPr="00C45A27">
          <w:rPr>
            <w:noProof/>
            <w:webHidden/>
          </w:rPr>
          <w:fldChar w:fldCharType="separate"/>
        </w:r>
        <w:r w:rsidR="004507CC">
          <w:rPr>
            <w:noProof/>
            <w:webHidden/>
          </w:rPr>
          <w:t>32</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51" w:history="1">
        <w:r w:rsidR="00C45A27" w:rsidRPr="00C45A27">
          <w:rPr>
            <w:rStyle w:val="Hipervnculo"/>
            <w:rFonts w:ascii="Arial" w:hAnsi="Arial" w:cs="Arial"/>
            <w:noProof/>
            <w:sz w:val="22"/>
            <w:szCs w:val="22"/>
            <w:u w:color="000000"/>
          </w:rPr>
          <w:t>1.4.1.</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Restitución e indemnización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_Toc356432251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37</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52" w:history="1">
        <w:r w:rsidR="00C45A27" w:rsidRPr="00C45A27">
          <w:rPr>
            <w:rStyle w:val="Hipervnculo"/>
            <w:rFonts w:ascii="Arial" w:hAnsi="Arial" w:cs="Arial"/>
            <w:noProof/>
            <w:sz w:val="22"/>
            <w:szCs w:val="22"/>
            <w:u w:color="000000"/>
          </w:rPr>
          <w:t>1.4.2.</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Rehabilitación y satisfacción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_Toc356432252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43</w:t>
        </w:r>
        <w:r w:rsidR="00614081" w:rsidRPr="00C45A27">
          <w:rPr>
            <w:rFonts w:ascii="Arial" w:hAnsi="Arial" w:cs="Arial"/>
            <w:noProof/>
            <w:webHidden/>
            <w:sz w:val="22"/>
            <w:szCs w:val="22"/>
          </w:rPr>
          <w:fldChar w:fldCharType="end"/>
        </w:r>
      </w:hyperlink>
    </w:p>
    <w:p w:rsidR="00C45A27" w:rsidRDefault="00397A2D" w:rsidP="00C45A27">
      <w:pPr>
        <w:pStyle w:val="TDC3"/>
        <w:tabs>
          <w:tab w:val="left" w:pos="1320"/>
          <w:tab w:val="right" w:leader="dot" w:pos="8777"/>
        </w:tabs>
        <w:spacing w:line="360" w:lineRule="auto"/>
        <w:rPr>
          <w:rStyle w:val="Hipervnculo"/>
          <w:rFonts w:ascii="Arial" w:hAnsi="Arial" w:cs="Arial"/>
          <w:noProof/>
          <w:sz w:val="22"/>
          <w:szCs w:val="22"/>
        </w:rPr>
      </w:pPr>
      <w:hyperlink w:anchor="_Toc356432253" w:history="1">
        <w:r w:rsidR="00C45A27" w:rsidRPr="00C45A27">
          <w:rPr>
            <w:rStyle w:val="Hipervnculo"/>
            <w:rFonts w:ascii="Arial" w:hAnsi="Arial" w:cs="Arial"/>
            <w:noProof/>
            <w:sz w:val="22"/>
            <w:szCs w:val="22"/>
            <w:u w:color="000000"/>
          </w:rPr>
          <w:t>1.4.3.</w:t>
        </w:r>
        <w:r w:rsidR="00C45A27" w:rsidRPr="00C45A27">
          <w:rPr>
            <w:rFonts w:ascii="Arial" w:eastAsiaTheme="minorEastAsia" w:hAnsi="Arial" w:cs="Arial"/>
            <w:noProof/>
            <w:sz w:val="22"/>
            <w:szCs w:val="22"/>
            <w:lang w:val="es-ES" w:eastAsia="es-ES"/>
          </w:rPr>
          <w:tab/>
        </w:r>
        <w:r w:rsidR="00C45A27" w:rsidRPr="00C45A27">
          <w:rPr>
            <w:rStyle w:val="Hipervnculo"/>
            <w:rFonts w:ascii="Arial" w:hAnsi="Arial" w:cs="Arial"/>
            <w:noProof/>
            <w:sz w:val="22"/>
            <w:szCs w:val="22"/>
            <w:u w:color="000000"/>
          </w:rPr>
          <w:t>Garantía de la no repetición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_Toc356432253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48</w:t>
        </w:r>
        <w:r w:rsidR="00614081" w:rsidRPr="00C45A27">
          <w:rPr>
            <w:rFonts w:ascii="Arial" w:hAnsi="Arial" w:cs="Arial"/>
            <w:noProof/>
            <w:webHidden/>
            <w:sz w:val="22"/>
            <w:szCs w:val="22"/>
          </w:rPr>
          <w:fldChar w:fldCharType="end"/>
        </w:r>
      </w:hyperlink>
    </w:p>
    <w:p w:rsidR="007671C4" w:rsidRDefault="007671C4" w:rsidP="00BD764F">
      <w:pPr>
        <w:spacing w:line="360" w:lineRule="auto"/>
        <w:jc w:val="both"/>
        <w:rPr>
          <w:rFonts w:ascii="Arial" w:eastAsiaTheme="minorEastAsia" w:hAnsi="Arial" w:cs="Arial"/>
          <w:noProof/>
          <w:sz w:val="22"/>
          <w:szCs w:val="22"/>
          <w:lang w:val="es-ES"/>
        </w:rPr>
      </w:pPr>
    </w:p>
    <w:p w:rsidR="007671C4" w:rsidRDefault="007671C4" w:rsidP="00BD764F">
      <w:pPr>
        <w:spacing w:line="360" w:lineRule="auto"/>
        <w:jc w:val="both"/>
        <w:rPr>
          <w:rFonts w:ascii="Arial" w:eastAsiaTheme="minorEastAsia" w:hAnsi="Arial" w:cs="Arial"/>
          <w:noProof/>
          <w:sz w:val="22"/>
          <w:szCs w:val="22"/>
          <w:lang w:val="es-ES"/>
        </w:rPr>
      </w:pPr>
    </w:p>
    <w:p w:rsidR="00C45A27" w:rsidRPr="00BD764F" w:rsidRDefault="00BD764F" w:rsidP="00BD764F">
      <w:pPr>
        <w:spacing w:line="360" w:lineRule="auto"/>
        <w:jc w:val="both"/>
        <w:rPr>
          <w:rFonts w:ascii="Arial" w:eastAsiaTheme="minorEastAsia" w:hAnsi="Arial" w:cs="Arial"/>
          <w:noProof/>
          <w:sz w:val="22"/>
          <w:szCs w:val="22"/>
          <w:lang w:val="es-ES"/>
        </w:rPr>
      </w:pPr>
      <w:r w:rsidRPr="00BD764F">
        <w:rPr>
          <w:rFonts w:ascii="Arial" w:eastAsiaTheme="minorEastAsia" w:hAnsi="Arial" w:cs="Arial"/>
          <w:noProof/>
          <w:sz w:val="22"/>
          <w:szCs w:val="22"/>
          <w:lang w:val="es-ES"/>
        </w:rPr>
        <w:lastRenderedPageBreak/>
        <w:t>CAPITULO II</w:t>
      </w:r>
    </w:p>
    <w:p w:rsidR="00BD764F" w:rsidRPr="00BD764F" w:rsidRDefault="00BD764F" w:rsidP="00BD764F">
      <w:pPr>
        <w:spacing w:line="360" w:lineRule="auto"/>
        <w:jc w:val="both"/>
        <w:rPr>
          <w:rFonts w:ascii="Arial" w:eastAsiaTheme="minorEastAsia" w:hAnsi="Arial" w:cs="Arial"/>
          <w:noProof/>
          <w:sz w:val="22"/>
          <w:szCs w:val="22"/>
          <w:lang w:val="es-ES"/>
        </w:rPr>
      </w:pPr>
      <w:r w:rsidRPr="00BD764F">
        <w:rPr>
          <w:rFonts w:ascii="Arial" w:eastAsiaTheme="minorEastAsia" w:hAnsi="Arial" w:cs="Arial"/>
          <w:noProof/>
          <w:sz w:val="22"/>
          <w:szCs w:val="22"/>
          <w:lang w:val="es-ES"/>
        </w:rPr>
        <w:t>OBSTÁCULOS EN LAS SE</w:t>
      </w:r>
      <w:r w:rsidR="007F76D7">
        <w:rPr>
          <w:rFonts w:ascii="Arial" w:eastAsiaTheme="minorEastAsia" w:hAnsi="Arial" w:cs="Arial"/>
          <w:noProof/>
          <w:sz w:val="22"/>
          <w:szCs w:val="22"/>
          <w:lang w:val="es-ES"/>
        </w:rPr>
        <w:t>NTENCIAS DE LA CORTE IDH QUE DI</w:t>
      </w:r>
      <w:r w:rsidRPr="00BD764F">
        <w:rPr>
          <w:rFonts w:ascii="Arial" w:eastAsiaTheme="minorEastAsia" w:hAnsi="Arial" w:cs="Arial"/>
          <w:noProof/>
          <w:sz w:val="22"/>
          <w:szCs w:val="22"/>
          <w:lang w:val="es-ES"/>
        </w:rPr>
        <w:t>FICULTAN SU EJECUCI</w:t>
      </w:r>
      <w:r>
        <w:rPr>
          <w:rFonts w:ascii="Arial" w:eastAsiaTheme="minorEastAsia" w:hAnsi="Arial" w:cs="Arial"/>
          <w:noProof/>
          <w:sz w:val="22"/>
          <w:szCs w:val="22"/>
          <w:lang w:val="es-ES"/>
        </w:rPr>
        <w:t>ÓN</w:t>
      </w:r>
      <w:r w:rsidR="00195ADF">
        <w:rPr>
          <w:rFonts w:ascii="Arial" w:eastAsiaTheme="minorEastAsia" w:hAnsi="Arial" w:cs="Arial"/>
          <w:noProof/>
          <w:sz w:val="22"/>
          <w:szCs w:val="22"/>
          <w:lang w:val="es-ES"/>
        </w:rPr>
        <w:t>…………………………………………………………………………………</w:t>
      </w:r>
      <w:r w:rsidR="009C695E">
        <w:rPr>
          <w:rFonts w:ascii="Arial" w:eastAsiaTheme="minorEastAsia" w:hAnsi="Arial" w:cs="Arial"/>
          <w:noProof/>
          <w:sz w:val="22"/>
          <w:szCs w:val="22"/>
          <w:lang w:val="es-ES"/>
        </w:rPr>
        <w:t>…</w:t>
      </w:r>
      <w:r w:rsidR="00195ADF">
        <w:rPr>
          <w:rFonts w:ascii="Arial" w:eastAsiaTheme="minorEastAsia" w:hAnsi="Arial" w:cs="Arial"/>
          <w:noProof/>
          <w:sz w:val="22"/>
          <w:szCs w:val="22"/>
          <w:lang w:val="es-ES"/>
        </w:rPr>
        <w:t>…51</w:t>
      </w:r>
    </w:p>
    <w:p w:rsidR="00C45A27" w:rsidRPr="00BD764F" w:rsidRDefault="00C45A27" w:rsidP="00C45A27">
      <w:pPr>
        <w:rPr>
          <w:rFonts w:eastAsiaTheme="minorEastAsia"/>
          <w:noProof/>
          <w:lang w:val="es-ES"/>
        </w:rPr>
      </w:pPr>
    </w:p>
    <w:p w:rsidR="00C45A27" w:rsidRPr="00C45A27" w:rsidRDefault="00397A2D" w:rsidP="00C45A27">
      <w:pPr>
        <w:pStyle w:val="TDC2"/>
        <w:rPr>
          <w:rFonts w:eastAsiaTheme="minorEastAsia"/>
          <w:noProof/>
          <w:lang w:val="es-ES" w:eastAsia="es-ES"/>
        </w:rPr>
      </w:pPr>
      <w:hyperlink w:anchor="_Toc356432254" w:history="1">
        <w:r w:rsidR="00C45A27" w:rsidRPr="00C45A27">
          <w:rPr>
            <w:rStyle w:val="Hipervnculo"/>
            <w:rFonts w:ascii="Arial" w:eastAsia="Arial Unicode MS" w:hAnsi="Arial" w:cs="Arial"/>
            <w:noProof/>
            <w:sz w:val="22"/>
            <w:szCs w:val="22"/>
            <w:u w:color="000000"/>
            <w:lang w:val="es-ES_tradnl"/>
          </w:rPr>
          <w:t>2.1.</w:t>
        </w:r>
        <w:r w:rsidR="00C45A27" w:rsidRPr="00C45A27">
          <w:rPr>
            <w:rFonts w:eastAsiaTheme="minorEastAsia"/>
            <w:noProof/>
            <w:lang w:val="es-ES" w:eastAsia="es-ES"/>
          </w:rPr>
          <w:tab/>
        </w:r>
        <w:r w:rsidR="00C45A27" w:rsidRPr="00C45A27">
          <w:rPr>
            <w:rStyle w:val="Hipervnculo"/>
            <w:rFonts w:ascii="Arial" w:eastAsia="Arial Unicode MS" w:hAnsi="Arial" w:cs="Arial"/>
            <w:noProof/>
            <w:sz w:val="22"/>
            <w:szCs w:val="22"/>
            <w:u w:color="000000"/>
            <w:lang w:val="es-ES_tradnl"/>
          </w:rPr>
          <w:t>Uso de criterios reparatorios en las sentencias de la Corte IDH</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_Toc356432254 \h </w:instrText>
        </w:r>
        <w:r w:rsidR="00614081" w:rsidRPr="00C45A27">
          <w:rPr>
            <w:noProof/>
            <w:webHidden/>
          </w:rPr>
        </w:r>
        <w:r w:rsidR="00614081" w:rsidRPr="00C45A27">
          <w:rPr>
            <w:noProof/>
            <w:webHidden/>
          </w:rPr>
          <w:fldChar w:fldCharType="separate"/>
        </w:r>
        <w:r w:rsidR="004507CC">
          <w:rPr>
            <w:noProof/>
            <w:webHidden/>
          </w:rPr>
          <w:t>51</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55" w:history="1">
        <w:r w:rsidR="00C45A27" w:rsidRPr="00C45A27">
          <w:rPr>
            <w:rStyle w:val="Hipervnculo"/>
            <w:rFonts w:ascii="Arial" w:eastAsia="Arial Unicode MS" w:hAnsi="Arial" w:cs="Arial"/>
            <w:noProof/>
            <w:sz w:val="22"/>
            <w:szCs w:val="22"/>
            <w:u w:color="000000"/>
            <w:lang w:val="es-ES_tradnl"/>
          </w:rPr>
          <w:t>2.1.1.</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 xml:space="preserve">La interpretación de la </w:t>
        </w:r>
        <w:r w:rsidR="00C45A27" w:rsidRPr="00C45A27">
          <w:rPr>
            <w:rStyle w:val="Hipervnculo"/>
            <w:rFonts w:ascii="Arial" w:eastAsia="Arial Unicode MS" w:hAnsi="Arial" w:cs="Arial"/>
            <w:i/>
            <w:noProof/>
            <w:sz w:val="22"/>
            <w:szCs w:val="22"/>
            <w:u w:color="000000"/>
            <w:lang w:val="es-ES_tradnl"/>
          </w:rPr>
          <w:t>Restitutio in Integrum</w:t>
        </w:r>
        <w:r w:rsidR="00C45A27" w:rsidRPr="00C45A27">
          <w:rPr>
            <w:rStyle w:val="Hipervnculo"/>
            <w:rFonts w:ascii="Arial" w:eastAsia="Arial Unicode MS" w:hAnsi="Arial" w:cs="Arial"/>
            <w:noProof/>
            <w:sz w:val="22"/>
            <w:szCs w:val="22"/>
            <w:u w:color="000000"/>
            <w:lang w:val="es-ES_tradnl"/>
          </w:rPr>
          <w:t xml:space="preserve"> o plena restitución en la Corte IDH y su aplicación a casos específicos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_Toc356432255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54</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56" w:history="1">
        <w:r w:rsidR="00C45A27" w:rsidRPr="00C45A27">
          <w:rPr>
            <w:rStyle w:val="Hipervnculo"/>
            <w:rFonts w:ascii="Arial" w:eastAsia="Arial Unicode MS" w:hAnsi="Arial" w:cs="Arial"/>
            <w:noProof/>
            <w:sz w:val="22"/>
            <w:szCs w:val="22"/>
            <w:u w:color="000000"/>
            <w:lang w:val="es-ES_tradnl"/>
          </w:rPr>
          <w:t>2.1.2.</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Las medidas reparatorias ordenadas por la Corte IDH además de la indemnización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_Toc356432256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56</w:t>
        </w:r>
        <w:r w:rsidR="00614081" w:rsidRPr="00C45A27">
          <w:rPr>
            <w:rFonts w:ascii="Arial" w:hAnsi="Arial" w:cs="Arial"/>
            <w:noProof/>
            <w:webHidden/>
            <w:sz w:val="22"/>
            <w:szCs w:val="22"/>
          </w:rPr>
          <w:fldChar w:fldCharType="end"/>
        </w:r>
      </w:hyperlink>
    </w:p>
    <w:p w:rsidR="00C45A27" w:rsidRPr="00C45A27" w:rsidRDefault="00397A2D" w:rsidP="00C45A27">
      <w:pPr>
        <w:pStyle w:val="TDC2"/>
        <w:rPr>
          <w:rFonts w:eastAsiaTheme="minorEastAsia"/>
          <w:noProof/>
          <w:lang w:val="es-ES" w:eastAsia="es-ES"/>
        </w:rPr>
      </w:pPr>
      <w:hyperlink w:anchor="_Toc356432257" w:history="1">
        <w:r w:rsidR="00C45A27" w:rsidRPr="00C45A27">
          <w:rPr>
            <w:rStyle w:val="Hipervnculo"/>
            <w:rFonts w:ascii="Arial" w:eastAsia="Arial Unicode MS" w:hAnsi="Arial" w:cs="Arial"/>
            <w:noProof/>
            <w:sz w:val="22"/>
            <w:szCs w:val="22"/>
            <w:u w:color="000000"/>
            <w:lang w:val="es-ES_tradnl"/>
          </w:rPr>
          <w:t>2.2.</w:t>
        </w:r>
        <w:r w:rsidR="00C45A27" w:rsidRPr="00C45A27">
          <w:rPr>
            <w:rFonts w:eastAsiaTheme="minorEastAsia"/>
            <w:noProof/>
            <w:lang w:val="es-ES" w:eastAsia="es-ES"/>
          </w:rPr>
          <w:tab/>
        </w:r>
        <w:r w:rsidR="00C45A27" w:rsidRPr="00C45A27">
          <w:rPr>
            <w:rStyle w:val="Hipervnculo"/>
            <w:rFonts w:ascii="Arial" w:eastAsia="Arial Unicode MS" w:hAnsi="Arial" w:cs="Arial"/>
            <w:noProof/>
            <w:sz w:val="22"/>
            <w:szCs w:val="22"/>
            <w:u w:color="000000"/>
            <w:lang w:val="es-ES_tradnl"/>
          </w:rPr>
          <w:t>Falta de claridad en la sentencias de la Corte IDH</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_Toc356432257 \h </w:instrText>
        </w:r>
        <w:r w:rsidR="00614081" w:rsidRPr="00C45A27">
          <w:rPr>
            <w:noProof/>
            <w:webHidden/>
          </w:rPr>
        </w:r>
        <w:r w:rsidR="00614081" w:rsidRPr="00C45A27">
          <w:rPr>
            <w:noProof/>
            <w:webHidden/>
          </w:rPr>
          <w:fldChar w:fldCharType="separate"/>
        </w:r>
        <w:r w:rsidR="004507CC">
          <w:rPr>
            <w:noProof/>
            <w:webHidden/>
          </w:rPr>
          <w:t>61</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58" w:history="1">
        <w:r w:rsidR="00C45A27" w:rsidRPr="00C45A27">
          <w:rPr>
            <w:rStyle w:val="Hipervnculo"/>
            <w:rFonts w:ascii="Arial" w:eastAsia="Arial Unicode MS" w:hAnsi="Arial" w:cs="Arial"/>
            <w:noProof/>
            <w:sz w:val="22"/>
            <w:szCs w:val="22"/>
            <w:u w:color="000000"/>
            <w:lang w:val="es-ES_tradnl"/>
          </w:rPr>
          <w:t>2.2.1.</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Indeterminación sobre la ejecución de las medidas de reparación; disposiciones de quién, cuándo y cómo debe ejecutarse la sentencia reparatoria. Espacios para la interpretación</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_Toc356432258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64</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59" w:history="1">
        <w:r w:rsidR="00C45A27" w:rsidRPr="00C45A27">
          <w:rPr>
            <w:rStyle w:val="Hipervnculo"/>
            <w:rFonts w:ascii="Arial" w:eastAsia="Arial Unicode MS" w:hAnsi="Arial" w:cs="Arial"/>
            <w:noProof/>
            <w:sz w:val="22"/>
            <w:szCs w:val="22"/>
            <w:u w:color="000000"/>
            <w:lang w:val="es-ES_tradnl"/>
          </w:rPr>
          <w:t>2.2.2.</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Procesos de negociación, concertación y diálogo entre los Estados y los representantes de las víctimas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_Toc356432259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67</w:t>
        </w:r>
        <w:r w:rsidR="00614081" w:rsidRPr="00C45A27">
          <w:rPr>
            <w:rFonts w:ascii="Arial" w:hAnsi="Arial" w:cs="Arial"/>
            <w:noProof/>
            <w:webHidden/>
            <w:sz w:val="22"/>
            <w:szCs w:val="22"/>
          </w:rPr>
          <w:fldChar w:fldCharType="end"/>
        </w:r>
      </w:hyperlink>
    </w:p>
    <w:p w:rsidR="00C45A27" w:rsidRPr="00C45A27" w:rsidRDefault="00397A2D" w:rsidP="00C45A27">
      <w:pPr>
        <w:pStyle w:val="TDC2"/>
        <w:rPr>
          <w:rFonts w:eastAsiaTheme="minorEastAsia"/>
          <w:noProof/>
          <w:lang w:val="es-ES" w:eastAsia="es-ES"/>
        </w:rPr>
      </w:pPr>
      <w:hyperlink w:anchor="_Toc356432260" w:history="1">
        <w:r w:rsidR="00C45A27" w:rsidRPr="00C45A27">
          <w:rPr>
            <w:rStyle w:val="Hipervnculo"/>
            <w:rFonts w:ascii="Arial" w:eastAsia="Arial Unicode MS" w:hAnsi="Arial" w:cs="Arial"/>
            <w:noProof/>
            <w:sz w:val="22"/>
            <w:szCs w:val="22"/>
            <w:u w:color="000000"/>
            <w:lang w:val="es-ES_tradnl"/>
          </w:rPr>
          <w:t>2.3.</w:t>
        </w:r>
        <w:r w:rsidR="00C45A27" w:rsidRPr="00C45A27">
          <w:rPr>
            <w:rFonts w:eastAsiaTheme="minorEastAsia"/>
            <w:noProof/>
            <w:lang w:val="es-ES" w:eastAsia="es-ES"/>
          </w:rPr>
          <w:tab/>
        </w:r>
        <w:r w:rsidR="00C45A27" w:rsidRPr="00C45A27">
          <w:rPr>
            <w:rStyle w:val="Hipervnculo"/>
            <w:rFonts w:ascii="Arial" w:eastAsia="Arial Unicode MS" w:hAnsi="Arial" w:cs="Arial"/>
            <w:noProof/>
            <w:sz w:val="22"/>
            <w:szCs w:val="22"/>
            <w:u w:color="000000"/>
            <w:lang w:val="es-ES_tradnl"/>
          </w:rPr>
          <w:t>Ineficacia de medidas coercitivas de la Corte IDH frente al incumplimiento de las sentencias por parte de los Estados responsables.</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_Toc356432260 \h </w:instrText>
        </w:r>
        <w:r w:rsidR="00614081" w:rsidRPr="00C45A27">
          <w:rPr>
            <w:noProof/>
            <w:webHidden/>
          </w:rPr>
        </w:r>
        <w:r w:rsidR="00614081" w:rsidRPr="00C45A27">
          <w:rPr>
            <w:noProof/>
            <w:webHidden/>
          </w:rPr>
          <w:fldChar w:fldCharType="separate"/>
        </w:r>
        <w:r w:rsidR="004507CC">
          <w:rPr>
            <w:noProof/>
            <w:webHidden/>
          </w:rPr>
          <w:t>69</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61" w:history="1">
        <w:r w:rsidR="00C45A27" w:rsidRPr="00C45A27">
          <w:rPr>
            <w:rStyle w:val="Hipervnculo"/>
            <w:rFonts w:ascii="Arial" w:eastAsia="Arial Unicode MS" w:hAnsi="Arial" w:cs="Arial"/>
            <w:noProof/>
            <w:sz w:val="22"/>
            <w:szCs w:val="22"/>
            <w:u w:color="000000"/>
            <w:lang w:val="es-ES_tradnl"/>
          </w:rPr>
          <w:t>2.3.1.</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Obligación de las partes de remitir a la Corte IDH informes de cumplimiento de sentencias y audiencias de seguimiento</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_Toc356432261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73</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62" w:history="1">
        <w:r w:rsidR="00C45A27" w:rsidRPr="00C45A27">
          <w:rPr>
            <w:rStyle w:val="Hipervnculo"/>
            <w:rFonts w:ascii="Arial" w:eastAsia="Arial Unicode MS" w:hAnsi="Arial" w:cs="Arial"/>
            <w:noProof/>
            <w:sz w:val="22"/>
            <w:szCs w:val="22"/>
            <w:u w:color="000000"/>
            <w:lang w:val="es-ES_tradnl"/>
          </w:rPr>
          <w:t>2.3.2.</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Papel de la Asamblea General de la Organización de Estados Americanos en caso de incumplimiento de sentencias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_Toc356432262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78</w:t>
        </w:r>
        <w:r w:rsidR="00614081" w:rsidRPr="00C45A27">
          <w:rPr>
            <w:rFonts w:ascii="Arial" w:hAnsi="Arial" w:cs="Arial"/>
            <w:noProof/>
            <w:webHidden/>
            <w:sz w:val="22"/>
            <w:szCs w:val="22"/>
          </w:rPr>
          <w:fldChar w:fldCharType="end"/>
        </w:r>
      </w:hyperlink>
    </w:p>
    <w:p w:rsidR="00C45A27" w:rsidRDefault="00397A2D" w:rsidP="00C45A27">
      <w:pPr>
        <w:pStyle w:val="TDC3"/>
        <w:tabs>
          <w:tab w:val="left" w:pos="1320"/>
          <w:tab w:val="right" w:leader="dot" w:pos="8777"/>
        </w:tabs>
        <w:spacing w:line="360" w:lineRule="auto"/>
        <w:rPr>
          <w:rStyle w:val="Hipervnculo"/>
          <w:rFonts w:ascii="Arial" w:hAnsi="Arial" w:cs="Arial"/>
          <w:noProof/>
          <w:sz w:val="22"/>
          <w:szCs w:val="22"/>
        </w:rPr>
      </w:pPr>
      <w:hyperlink w:anchor="_Toc356432263" w:history="1">
        <w:r w:rsidR="00C45A27" w:rsidRPr="00C45A27">
          <w:rPr>
            <w:rStyle w:val="Hipervnculo"/>
            <w:rFonts w:ascii="Arial" w:eastAsia="Arial Unicode MS" w:hAnsi="Arial" w:cs="Arial"/>
            <w:noProof/>
            <w:sz w:val="22"/>
            <w:szCs w:val="22"/>
            <w:u w:color="000000"/>
            <w:lang w:val="es-ES_tradnl"/>
          </w:rPr>
          <w:t>2.3.3.</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El papel del Comité de Ministros en la ejecución de las sentencias del Tribunal Europeo de Derechos Humanos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_Toc356432263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81</w:t>
        </w:r>
        <w:r w:rsidR="00614081" w:rsidRPr="00C45A27">
          <w:rPr>
            <w:rFonts w:ascii="Arial" w:hAnsi="Arial" w:cs="Arial"/>
            <w:noProof/>
            <w:webHidden/>
            <w:sz w:val="22"/>
            <w:szCs w:val="22"/>
          </w:rPr>
          <w:fldChar w:fldCharType="end"/>
        </w:r>
      </w:hyperlink>
    </w:p>
    <w:p w:rsidR="00BD764F" w:rsidRPr="00BD764F" w:rsidRDefault="00BD764F" w:rsidP="00BD764F">
      <w:pPr>
        <w:spacing w:line="360" w:lineRule="auto"/>
        <w:jc w:val="both"/>
        <w:rPr>
          <w:rFonts w:ascii="Arial" w:eastAsiaTheme="minorEastAsia" w:hAnsi="Arial" w:cs="Arial"/>
          <w:noProof/>
          <w:sz w:val="22"/>
          <w:szCs w:val="22"/>
          <w:lang w:val="es-ES"/>
        </w:rPr>
      </w:pPr>
      <w:r w:rsidRPr="00BD764F">
        <w:rPr>
          <w:rFonts w:ascii="Arial" w:eastAsiaTheme="minorEastAsia" w:hAnsi="Arial" w:cs="Arial"/>
          <w:noProof/>
          <w:sz w:val="22"/>
          <w:szCs w:val="22"/>
          <w:lang w:val="es-ES"/>
        </w:rPr>
        <w:t>CAPÍTULO III</w:t>
      </w:r>
    </w:p>
    <w:p w:rsidR="00BD764F" w:rsidRPr="00BD764F" w:rsidRDefault="00BD764F" w:rsidP="00BD764F">
      <w:pPr>
        <w:spacing w:line="360" w:lineRule="auto"/>
        <w:jc w:val="both"/>
        <w:rPr>
          <w:rFonts w:ascii="Arial" w:eastAsiaTheme="minorEastAsia" w:hAnsi="Arial" w:cs="Arial"/>
          <w:noProof/>
          <w:sz w:val="22"/>
          <w:szCs w:val="22"/>
          <w:lang w:val="es-ES"/>
        </w:rPr>
      </w:pPr>
      <w:r w:rsidRPr="00BD764F">
        <w:rPr>
          <w:rFonts w:ascii="Arial" w:eastAsiaTheme="minorEastAsia" w:hAnsi="Arial" w:cs="Arial"/>
          <w:noProof/>
          <w:sz w:val="22"/>
          <w:szCs w:val="22"/>
          <w:lang w:val="es-ES"/>
        </w:rPr>
        <w:t>RAZONES DEL INCUMPLIMIENTO DE LAS SENTENCIAS DE LA CORTE IDH POR PARTE DE LOS ESTADOS RESPONSABLES</w:t>
      </w:r>
      <w:r w:rsidR="00195ADF">
        <w:rPr>
          <w:rFonts w:ascii="Arial" w:eastAsiaTheme="minorEastAsia" w:hAnsi="Arial" w:cs="Arial"/>
          <w:noProof/>
          <w:sz w:val="22"/>
          <w:szCs w:val="22"/>
          <w:lang w:val="es-ES"/>
        </w:rPr>
        <w:t>……………………………………………..83</w:t>
      </w:r>
    </w:p>
    <w:p w:rsidR="00BD764F" w:rsidRPr="00BD764F" w:rsidRDefault="00BD764F" w:rsidP="00BD764F">
      <w:pPr>
        <w:rPr>
          <w:rFonts w:eastAsiaTheme="minorEastAsia"/>
          <w:noProof/>
          <w:lang w:val="es-ES"/>
        </w:rPr>
      </w:pPr>
    </w:p>
    <w:p w:rsidR="00C45A27" w:rsidRPr="00C45A27" w:rsidRDefault="00397A2D" w:rsidP="00C45A27">
      <w:pPr>
        <w:pStyle w:val="TDC2"/>
        <w:rPr>
          <w:rFonts w:eastAsiaTheme="minorEastAsia"/>
          <w:noProof/>
          <w:lang w:val="es-ES" w:eastAsia="es-ES"/>
        </w:rPr>
      </w:pPr>
      <w:hyperlink w:anchor="_Toc356432264" w:history="1">
        <w:r w:rsidR="00C45A27" w:rsidRPr="00C45A27">
          <w:rPr>
            <w:rStyle w:val="Hipervnculo"/>
            <w:rFonts w:ascii="Arial" w:eastAsia="Arial Unicode MS" w:hAnsi="Arial" w:cs="Arial"/>
            <w:noProof/>
            <w:sz w:val="22"/>
            <w:szCs w:val="22"/>
            <w:u w:color="000000"/>
            <w:lang w:val="es-ES_tradnl"/>
          </w:rPr>
          <w:t>3.1.</w:t>
        </w:r>
        <w:r w:rsidR="00C45A27" w:rsidRPr="00C45A27">
          <w:rPr>
            <w:rFonts w:eastAsiaTheme="minorEastAsia"/>
            <w:noProof/>
            <w:lang w:val="es-ES" w:eastAsia="es-ES"/>
          </w:rPr>
          <w:tab/>
        </w:r>
        <w:r w:rsidR="00C45A27" w:rsidRPr="00C45A27">
          <w:rPr>
            <w:rStyle w:val="Hipervnculo"/>
            <w:rFonts w:ascii="Arial" w:eastAsia="Arial Unicode MS" w:hAnsi="Arial" w:cs="Arial"/>
            <w:noProof/>
            <w:sz w:val="22"/>
            <w:szCs w:val="22"/>
            <w:u w:color="000000"/>
            <w:lang w:val="es-ES_tradnl"/>
          </w:rPr>
          <w:t>Los Estados responsables frente a las sentencias de la Corte IDH</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_Toc356432264 \h </w:instrText>
        </w:r>
        <w:r w:rsidR="00614081" w:rsidRPr="00C45A27">
          <w:rPr>
            <w:noProof/>
            <w:webHidden/>
          </w:rPr>
        </w:r>
        <w:r w:rsidR="00614081" w:rsidRPr="00C45A27">
          <w:rPr>
            <w:noProof/>
            <w:webHidden/>
          </w:rPr>
          <w:fldChar w:fldCharType="separate"/>
        </w:r>
        <w:r w:rsidR="004507CC">
          <w:rPr>
            <w:noProof/>
            <w:webHidden/>
          </w:rPr>
          <w:t>83</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65" w:history="1">
        <w:r w:rsidR="00C45A27" w:rsidRPr="00C45A27">
          <w:rPr>
            <w:rStyle w:val="Hipervnculo"/>
            <w:rFonts w:ascii="Arial" w:eastAsia="Arial Unicode MS" w:hAnsi="Arial" w:cs="Arial"/>
            <w:noProof/>
            <w:sz w:val="22"/>
            <w:szCs w:val="22"/>
            <w:u w:color="000000"/>
            <w:lang w:val="es-ES_tradnl"/>
          </w:rPr>
          <w:t>3.1.1.</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Falta de voluntad política de los Estados responsables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_Toc356432265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86</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66" w:history="1">
        <w:r w:rsidR="00C45A27" w:rsidRPr="00C45A27">
          <w:rPr>
            <w:rStyle w:val="Hipervnculo"/>
            <w:rFonts w:ascii="Arial" w:eastAsia="Arial Unicode MS" w:hAnsi="Arial" w:cs="Arial"/>
            <w:noProof/>
            <w:sz w:val="22"/>
            <w:szCs w:val="22"/>
            <w:u w:color="000000"/>
            <w:lang w:val="es-ES_tradnl"/>
          </w:rPr>
          <w:t>3.1.2.</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Falta de investigación, judicialización y sanción a los responsables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_Toc356432266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91</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67" w:history="1">
        <w:r w:rsidR="00C45A27" w:rsidRPr="00C45A27">
          <w:rPr>
            <w:rStyle w:val="Hipervnculo"/>
            <w:rFonts w:ascii="Arial" w:eastAsia="Arial Unicode MS" w:hAnsi="Arial" w:cs="Arial"/>
            <w:noProof/>
            <w:sz w:val="22"/>
            <w:szCs w:val="22"/>
            <w:u w:color="000000"/>
            <w:lang w:val="es-ES_tradnl"/>
          </w:rPr>
          <w:t>3.1.3.</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Implementación de programas de educación en derechos  humanos a miembros de la fuerza pública y funcionarios públicos</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_Toc356432267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95</w:t>
        </w:r>
        <w:r w:rsidR="00614081" w:rsidRPr="00C45A27">
          <w:rPr>
            <w:rFonts w:ascii="Arial" w:hAnsi="Arial" w:cs="Arial"/>
            <w:noProof/>
            <w:webHidden/>
            <w:sz w:val="22"/>
            <w:szCs w:val="22"/>
          </w:rPr>
          <w:fldChar w:fldCharType="end"/>
        </w:r>
      </w:hyperlink>
    </w:p>
    <w:p w:rsidR="00C45A27" w:rsidRPr="00C45A27" w:rsidRDefault="00397A2D" w:rsidP="00C45A27">
      <w:pPr>
        <w:pStyle w:val="TDC2"/>
        <w:rPr>
          <w:rFonts w:eastAsiaTheme="minorEastAsia"/>
          <w:noProof/>
          <w:lang w:val="es-ES" w:eastAsia="es-ES"/>
        </w:rPr>
      </w:pPr>
      <w:hyperlink w:anchor="_Toc356432268" w:history="1">
        <w:r w:rsidR="00C45A27" w:rsidRPr="00C45A27">
          <w:rPr>
            <w:rStyle w:val="Hipervnculo"/>
            <w:rFonts w:ascii="Arial" w:eastAsia="Arial Unicode MS" w:hAnsi="Arial" w:cs="Arial"/>
            <w:noProof/>
            <w:sz w:val="22"/>
            <w:szCs w:val="22"/>
            <w:u w:color="000000"/>
            <w:lang w:val="es-ES_tradnl"/>
          </w:rPr>
          <w:t>3.2.</w:t>
        </w:r>
        <w:r w:rsidR="00C45A27" w:rsidRPr="00C45A27">
          <w:rPr>
            <w:rFonts w:eastAsiaTheme="minorEastAsia"/>
            <w:noProof/>
            <w:lang w:val="es-ES" w:eastAsia="es-ES"/>
          </w:rPr>
          <w:tab/>
        </w:r>
        <w:r w:rsidR="00C45A27" w:rsidRPr="00C45A27">
          <w:rPr>
            <w:rStyle w:val="Hipervnculo"/>
            <w:rFonts w:ascii="Arial" w:eastAsia="Arial Unicode MS" w:hAnsi="Arial" w:cs="Arial"/>
            <w:noProof/>
            <w:sz w:val="22"/>
            <w:szCs w:val="22"/>
            <w:u w:color="000000"/>
            <w:lang w:val="es-ES_tradnl"/>
          </w:rPr>
          <w:t>La normativa interna de los Estados responsables frente a las disposiciones de la Corte IDH</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_Toc356432268 \h </w:instrText>
        </w:r>
        <w:r w:rsidR="00614081" w:rsidRPr="00C45A27">
          <w:rPr>
            <w:noProof/>
            <w:webHidden/>
          </w:rPr>
        </w:r>
        <w:r w:rsidR="00614081" w:rsidRPr="00C45A27">
          <w:rPr>
            <w:noProof/>
            <w:webHidden/>
          </w:rPr>
          <w:fldChar w:fldCharType="separate"/>
        </w:r>
        <w:r w:rsidR="004507CC">
          <w:rPr>
            <w:noProof/>
            <w:webHidden/>
          </w:rPr>
          <w:t>99</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69" w:history="1">
        <w:r w:rsidR="00C45A27" w:rsidRPr="00C45A27">
          <w:rPr>
            <w:rStyle w:val="Hipervnculo"/>
            <w:rFonts w:ascii="Arial" w:eastAsia="Arial Unicode MS" w:hAnsi="Arial" w:cs="Arial"/>
            <w:noProof/>
            <w:sz w:val="22"/>
            <w:szCs w:val="22"/>
            <w:u w:color="000000"/>
            <w:lang w:val="es-ES_tradnl"/>
          </w:rPr>
          <w:t>3.2.1.</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Imposibilidad en la ejecución de sentencias por incompatibilidad con normas internas del Estado responsable</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_Toc356432269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101</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70" w:history="1">
        <w:r w:rsidR="00C45A27" w:rsidRPr="00C45A27">
          <w:rPr>
            <w:rStyle w:val="Hipervnculo"/>
            <w:rFonts w:ascii="Arial" w:eastAsia="Arial Unicode MS" w:hAnsi="Arial" w:cs="Arial"/>
            <w:noProof/>
            <w:sz w:val="22"/>
            <w:szCs w:val="22"/>
            <w:lang w:val="es-ES" w:eastAsia="es-ES"/>
          </w:rPr>
          <w:t>3.2.2.</w:t>
        </w:r>
        <w:r w:rsidR="00C45A27" w:rsidRPr="00C45A27">
          <w:rPr>
            <w:rFonts w:ascii="Arial" w:eastAsiaTheme="minorEastAsia" w:hAnsi="Arial" w:cs="Arial"/>
            <w:noProof/>
            <w:sz w:val="22"/>
            <w:szCs w:val="22"/>
            <w:lang w:val="es-ES" w:eastAsia="es-ES"/>
          </w:rPr>
          <w:tab/>
        </w:r>
        <w:r w:rsidR="007F76D7">
          <w:rPr>
            <w:rStyle w:val="Hipervnculo"/>
            <w:rFonts w:ascii="Arial" w:eastAsia="Arial Unicode MS" w:hAnsi="Arial" w:cs="Arial"/>
            <w:noProof/>
            <w:sz w:val="22"/>
            <w:szCs w:val="22"/>
            <w:u w:color="000000"/>
            <w:lang w:val="es-ES" w:eastAsia="es-ES"/>
          </w:rPr>
          <w:t>Reformas legislativas en los E</w:t>
        </w:r>
        <w:r w:rsidR="00C45A27" w:rsidRPr="00C45A27">
          <w:rPr>
            <w:rStyle w:val="Hipervnculo"/>
            <w:rFonts w:ascii="Arial" w:eastAsia="Arial Unicode MS" w:hAnsi="Arial" w:cs="Arial"/>
            <w:noProof/>
            <w:sz w:val="22"/>
            <w:szCs w:val="22"/>
            <w:u w:color="000000"/>
            <w:lang w:val="es-ES" w:eastAsia="es-ES"/>
          </w:rPr>
          <w:t>stados responsables dispuestas por la Corte IDH</w:t>
        </w:r>
        <w:r w:rsidR="00C45A27" w:rsidRPr="00C45A27">
          <w:rPr>
            <w:rFonts w:ascii="Arial" w:hAnsi="Arial" w:cs="Arial"/>
            <w:noProof/>
            <w:webHidden/>
            <w:sz w:val="22"/>
            <w:szCs w:val="22"/>
          </w:rPr>
          <w:tab/>
        </w:r>
        <w:r w:rsidR="00195ADF">
          <w:rPr>
            <w:rFonts w:ascii="Arial" w:hAnsi="Arial" w:cs="Arial"/>
            <w:noProof/>
            <w:webHidden/>
            <w:sz w:val="22"/>
            <w:szCs w:val="22"/>
          </w:rPr>
          <w:t>……………………………………………………………………………………</w:t>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_Toc356432270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105</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71" w:history="1">
        <w:r w:rsidR="00C45A27" w:rsidRPr="00C45A27">
          <w:rPr>
            <w:rStyle w:val="Hipervnculo"/>
            <w:rFonts w:ascii="Arial" w:eastAsia="Arial Unicode MS" w:hAnsi="Arial" w:cs="Arial"/>
            <w:noProof/>
            <w:sz w:val="22"/>
            <w:szCs w:val="22"/>
            <w:u w:color="000000"/>
            <w:lang w:val="es-ES_tradnl"/>
          </w:rPr>
          <w:t>3.2.3.</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Organismos internos responsables de la ejecución las sentencias de la Corte IDH</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_Toc356432271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108</w:t>
        </w:r>
        <w:r w:rsidR="00614081" w:rsidRPr="00C45A27">
          <w:rPr>
            <w:rFonts w:ascii="Arial" w:hAnsi="Arial" w:cs="Arial"/>
            <w:noProof/>
            <w:webHidden/>
            <w:sz w:val="22"/>
            <w:szCs w:val="22"/>
          </w:rPr>
          <w:fldChar w:fldCharType="end"/>
        </w:r>
      </w:hyperlink>
    </w:p>
    <w:p w:rsidR="00C45A27" w:rsidRPr="00C45A27" w:rsidRDefault="00397A2D" w:rsidP="00C45A27">
      <w:pPr>
        <w:pStyle w:val="TDC2"/>
        <w:rPr>
          <w:rFonts w:eastAsiaTheme="minorEastAsia"/>
          <w:noProof/>
          <w:lang w:val="es-ES" w:eastAsia="es-ES"/>
        </w:rPr>
      </w:pPr>
      <w:hyperlink w:anchor="_Toc356432272" w:history="1">
        <w:r w:rsidR="00C45A27" w:rsidRPr="00C45A27">
          <w:rPr>
            <w:rStyle w:val="Hipervnculo"/>
            <w:rFonts w:ascii="Arial" w:eastAsia="Arial Unicode MS" w:hAnsi="Arial" w:cs="Arial"/>
            <w:noProof/>
            <w:sz w:val="22"/>
            <w:szCs w:val="22"/>
            <w:lang w:val="es-ES" w:eastAsia="es-ES"/>
          </w:rPr>
          <w:t>3.3.</w:t>
        </w:r>
        <w:r w:rsidR="00C45A27" w:rsidRPr="00C45A27">
          <w:rPr>
            <w:rFonts w:eastAsiaTheme="minorEastAsia"/>
            <w:noProof/>
            <w:lang w:val="es-ES" w:eastAsia="es-ES"/>
          </w:rPr>
          <w:tab/>
        </w:r>
        <w:r w:rsidR="00C45A27" w:rsidRPr="00C45A27">
          <w:rPr>
            <w:rStyle w:val="Hipervnculo"/>
            <w:rFonts w:ascii="Arial" w:eastAsia="Arial Unicode MS" w:hAnsi="Arial" w:cs="Arial"/>
            <w:noProof/>
            <w:sz w:val="22"/>
            <w:szCs w:val="22"/>
            <w:lang w:val="es-ES" w:eastAsia="es-ES"/>
          </w:rPr>
          <w:t>Ejecución de sentencias de la Corte IDH en el caso ecuatoriano</w:t>
        </w:r>
        <w:r w:rsidR="00C45A27" w:rsidRPr="00C45A27">
          <w:rPr>
            <w:noProof/>
            <w:webHidden/>
          </w:rPr>
          <w:tab/>
        </w:r>
        <w:r w:rsidR="00614081" w:rsidRPr="00C45A27">
          <w:rPr>
            <w:noProof/>
            <w:webHidden/>
          </w:rPr>
          <w:fldChar w:fldCharType="begin"/>
        </w:r>
        <w:r w:rsidR="00C45A27" w:rsidRPr="00C45A27">
          <w:rPr>
            <w:noProof/>
            <w:webHidden/>
          </w:rPr>
          <w:instrText xml:space="preserve"> PAGEREF _Toc356432272 \h </w:instrText>
        </w:r>
        <w:r w:rsidR="00614081" w:rsidRPr="00C45A27">
          <w:rPr>
            <w:noProof/>
            <w:webHidden/>
          </w:rPr>
        </w:r>
        <w:r w:rsidR="00614081" w:rsidRPr="00C45A27">
          <w:rPr>
            <w:noProof/>
            <w:webHidden/>
          </w:rPr>
          <w:fldChar w:fldCharType="separate"/>
        </w:r>
        <w:r w:rsidR="004507CC">
          <w:rPr>
            <w:noProof/>
            <w:webHidden/>
          </w:rPr>
          <w:t>111</w:t>
        </w:r>
        <w:r w:rsidR="00614081" w:rsidRPr="00C45A27">
          <w:rPr>
            <w:noProof/>
            <w:webHidden/>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73" w:history="1">
        <w:r w:rsidR="00C45A27" w:rsidRPr="00C45A27">
          <w:rPr>
            <w:rStyle w:val="Hipervnculo"/>
            <w:rFonts w:ascii="Arial" w:eastAsia="Arial Unicode MS" w:hAnsi="Arial" w:cs="Arial"/>
            <w:noProof/>
            <w:sz w:val="22"/>
            <w:szCs w:val="22"/>
            <w:u w:color="000000"/>
            <w:lang w:val="es-ES_tradnl"/>
          </w:rPr>
          <w:t>3.3.1.</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Panorama jurídico y político general en torno al cumplimiento de las sentencias de la Corte IDH</w:t>
        </w:r>
        <w:r w:rsidR="00C45A27" w:rsidRPr="00C45A27">
          <w:rPr>
            <w:rFonts w:ascii="Arial" w:hAnsi="Arial" w:cs="Arial"/>
            <w:noProof/>
            <w:webHidden/>
            <w:sz w:val="22"/>
            <w:szCs w:val="22"/>
          </w:rPr>
          <w:tab/>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_Toc356432273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113</w:t>
        </w:r>
        <w:r w:rsidR="00614081" w:rsidRPr="00C45A27">
          <w:rPr>
            <w:rFonts w:ascii="Arial" w:hAnsi="Arial" w:cs="Arial"/>
            <w:noProof/>
            <w:webHidden/>
            <w:sz w:val="22"/>
            <w:szCs w:val="22"/>
          </w:rPr>
          <w:fldChar w:fldCharType="end"/>
        </w:r>
      </w:hyperlink>
    </w:p>
    <w:p w:rsidR="00C45A27" w:rsidRPr="00C45A27" w:rsidRDefault="00397A2D" w:rsidP="00C45A27">
      <w:pPr>
        <w:pStyle w:val="TDC3"/>
        <w:tabs>
          <w:tab w:val="left" w:pos="1320"/>
          <w:tab w:val="right" w:leader="dot" w:pos="8777"/>
        </w:tabs>
        <w:spacing w:line="360" w:lineRule="auto"/>
        <w:rPr>
          <w:rFonts w:ascii="Arial" w:eastAsiaTheme="minorEastAsia" w:hAnsi="Arial" w:cs="Arial"/>
          <w:noProof/>
          <w:sz w:val="22"/>
          <w:szCs w:val="22"/>
          <w:lang w:val="es-ES" w:eastAsia="es-ES"/>
        </w:rPr>
      </w:pPr>
      <w:hyperlink w:anchor="_Toc356432274" w:history="1">
        <w:r w:rsidR="00C45A27" w:rsidRPr="00C45A27">
          <w:rPr>
            <w:rStyle w:val="Hipervnculo"/>
            <w:rFonts w:ascii="Arial" w:eastAsia="Arial Unicode MS" w:hAnsi="Arial" w:cs="Arial"/>
            <w:noProof/>
            <w:sz w:val="22"/>
            <w:szCs w:val="22"/>
            <w:u w:color="000000"/>
            <w:lang w:val="es-ES_tradnl"/>
          </w:rPr>
          <w:t>3.3.2.</w:t>
        </w:r>
        <w:r w:rsidR="00C45A27" w:rsidRPr="00C45A27">
          <w:rPr>
            <w:rFonts w:ascii="Arial" w:eastAsiaTheme="minorEastAsia" w:hAnsi="Arial" w:cs="Arial"/>
            <w:noProof/>
            <w:sz w:val="22"/>
            <w:szCs w:val="22"/>
            <w:lang w:val="es-ES" w:eastAsia="es-ES"/>
          </w:rPr>
          <w:tab/>
        </w:r>
        <w:r w:rsidR="00C45A27" w:rsidRPr="00C45A27">
          <w:rPr>
            <w:rStyle w:val="Hipervnculo"/>
            <w:rFonts w:ascii="Arial" w:eastAsia="Arial Unicode MS" w:hAnsi="Arial" w:cs="Arial"/>
            <w:noProof/>
            <w:sz w:val="22"/>
            <w:szCs w:val="22"/>
            <w:u w:color="000000"/>
            <w:lang w:val="es-ES_tradnl"/>
          </w:rPr>
          <w:t>Estado de cumplimiento de las sentencias de la Corte IDH dictadas contra Ecuador</w:t>
        </w:r>
        <w:r w:rsidR="00C45A27" w:rsidRPr="00C45A27">
          <w:rPr>
            <w:rFonts w:ascii="Arial" w:hAnsi="Arial" w:cs="Arial"/>
            <w:noProof/>
            <w:webHidden/>
            <w:sz w:val="22"/>
            <w:szCs w:val="22"/>
          </w:rPr>
          <w:tab/>
        </w:r>
        <w:r w:rsidR="006E2AD0">
          <w:rPr>
            <w:rFonts w:ascii="Arial" w:hAnsi="Arial" w:cs="Arial"/>
            <w:noProof/>
            <w:webHidden/>
            <w:sz w:val="22"/>
            <w:szCs w:val="22"/>
          </w:rPr>
          <w:t>……………………………………………………………………………………</w:t>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_Toc356432274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123</w:t>
        </w:r>
        <w:r w:rsidR="00614081" w:rsidRPr="00C45A27">
          <w:rPr>
            <w:rFonts w:ascii="Arial" w:hAnsi="Arial" w:cs="Arial"/>
            <w:noProof/>
            <w:webHidden/>
            <w:sz w:val="22"/>
            <w:szCs w:val="22"/>
          </w:rPr>
          <w:fldChar w:fldCharType="end"/>
        </w:r>
      </w:hyperlink>
    </w:p>
    <w:p w:rsidR="00C45A27" w:rsidRPr="00C45A27" w:rsidRDefault="00397A2D" w:rsidP="00C45A27">
      <w:pPr>
        <w:pStyle w:val="TDC1"/>
        <w:tabs>
          <w:tab w:val="right" w:leader="dot" w:pos="8777"/>
        </w:tabs>
        <w:spacing w:line="360" w:lineRule="auto"/>
        <w:rPr>
          <w:rFonts w:ascii="Arial" w:eastAsiaTheme="minorEastAsia" w:hAnsi="Arial" w:cs="Arial"/>
          <w:noProof/>
          <w:sz w:val="22"/>
          <w:szCs w:val="22"/>
          <w:lang w:val="es-ES" w:eastAsia="es-ES"/>
        </w:rPr>
      </w:pPr>
      <w:hyperlink w:anchor="_Toc356432275" w:history="1">
        <w:r w:rsidR="00C45A27" w:rsidRPr="00C45A27">
          <w:rPr>
            <w:rStyle w:val="Hipervnculo"/>
            <w:rFonts w:ascii="Arial" w:eastAsiaTheme="minorHAnsi" w:hAnsi="Arial" w:cs="Arial"/>
            <w:noProof/>
            <w:sz w:val="22"/>
            <w:szCs w:val="22"/>
            <w:lang w:val="es-ES"/>
          </w:rPr>
          <w:t>CONCLUSIONES</w:t>
        </w:r>
        <w:r w:rsidR="009C695E">
          <w:rPr>
            <w:rFonts w:ascii="Arial" w:hAnsi="Arial" w:cs="Arial"/>
            <w:noProof/>
            <w:webHidden/>
            <w:sz w:val="22"/>
            <w:szCs w:val="22"/>
          </w:rPr>
          <w:t>………………………………………………………………………………</w:t>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_Toc356432275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129</w:t>
        </w:r>
        <w:r w:rsidR="00614081" w:rsidRPr="00C45A27">
          <w:rPr>
            <w:rFonts w:ascii="Arial" w:hAnsi="Arial" w:cs="Arial"/>
            <w:noProof/>
            <w:webHidden/>
            <w:sz w:val="22"/>
            <w:szCs w:val="22"/>
          </w:rPr>
          <w:fldChar w:fldCharType="end"/>
        </w:r>
      </w:hyperlink>
    </w:p>
    <w:p w:rsidR="00C45A27" w:rsidRDefault="00397A2D" w:rsidP="00C45A27">
      <w:pPr>
        <w:pStyle w:val="TDC1"/>
        <w:tabs>
          <w:tab w:val="right" w:leader="dot" w:pos="8777"/>
        </w:tabs>
        <w:spacing w:line="360" w:lineRule="auto"/>
        <w:rPr>
          <w:rStyle w:val="Hipervnculo"/>
          <w:rFonts w:ascii="Arial" w:hAnsi="Arial" w:cs="Arial"/>
          <w:noProof/>
          <w:sz w:val="22"/>
          <w:szCs w:val="22"/>
        </w:rPr>
      </w:pPr>
      <w:hyperlink w:anchor="_Toc356432276" w:history="1">
        <w:r w:rsidR="00C45A27" w:rsidRPr="00C45A27">
          <w:rPr>
            <w:rStyle w:val="Hipervnculo"/>
            <w:rFonts w:ascii="Arial" w:eastAsiaTheme="minorHAnsi" w:hAnsi="Arial" w:cs="Arial"/>
            <w:noProof/>
            <w:sz w:val="22"/>
            <w:szCs w:val="22"/>
            <w:lang w:val="es-ES"/>
          </w:rPr>
          <w:t>RECOMENDACIONES</w:t>
        </w:r>
        <w:r w:rsidR="009C695E">
          <w:rPr>
            <w:rFonts w:ascii="Arial" w:hAnsi="Arial" w:cs="Arial"/>
            <w:noProof/>
            <w:webHidden/>
            <w:sz w:val="22"/>
            <w:szCs w:val="22"/>
          </w:rPr>
          <w:t>………………………………………………………………………..</w:t>
        </w:r>
        <w:r w:rsidR="00614081" w:rsidRPr="00C45A27">
          <w:rPr>
            <w:rFonts w:ascii="Arial" w:hAnsi="Arial" w:cs="Arial"/>
            <w:noProof/>
            <w:webHidden/>
            <w:sz w:val="22"/>
            <w:szCs w:val="22"/>
          </w:rPr>
          <w:fldChar w:fldCharType="begin"/>
        </w:r>
        <w:r w:rsidR="00C45A27" w:rsidRPr="00C45A27">
          <w:rPr>
            <w:rFonts w:ascii="Arial" w:hAnsi="Arial" w:cs="Arial"/>
            <w:noProof/>
            <w:webHidden/>
            <w:sz w:val="22"/>
            <w:szCs w:val="22"/>
          </w:rPr>
          <w:instrText xml:space="preserve"> PAGEREF _Toc356432276 \h </w:instrText>
        </w:r>
        <w:r w:rsidR="00614081" w:rsidRPr="00C45A27">
          <w:rPr>
            <w:rFonts w:ascii="Arial" w:hAnsi="Arial" w:cs="Arial"/>
            <w:noProof/>
            <w:webHidden/>
            <w:sz w:val="22"/>
            <w:szCs w:val="22"/>
          </w:rPr>
        </w:r>
        <w:r w:rsidR="00614081" w:rsidRPr="00C45A27">
          <w:rPr>
            <w:rFonts w:ascii="Arial" w:hAnsi="Arial" w:cs="Arial"/>
            <w:noProof/>
            <w:webHidden/>
            <w:sz w:val="22"/>
            <w:szCs w:val="22"/>
          </w:rPr>
          <w:fldChar w:fldCharType="separate"/>
        </w:r>
        <w:r w:rsidR="004507CC">
          <w:rPr>
            <w:rFonts w:ascii="Arial" w:hAnsi="Arial" w:cs="Arial"/>
            <w:noProof/>
            <w:webHidden/>
            <w:sz w:val="22"/>
            <w:szCs w:val="22"/>
          </w:rPr>
          <w:t>133</w:t>
        </w:r>
        <w:r w:rsidR="00614081" w:rsidRPr="00C45A27">
          <w:rPr>
            <w:rFonts w:ascii="Arial" w:hAnsi="Arial" w:cs="Arial"/>
            <w:noProof/>
            <w:webHidden/>
            <w:sz w:val="22"/>
            <w:szCs w:val="22"/>
          </w:rPr>
          <w:fldChar w:fldCharType="end"/>
        </w:r>
      </w:hyperlink>
    </w:p>
    <w:p w:rsidR="00BD764F" w:rsidRPr="00570BF6" w:rsidRDefault="007F76D7" w:rsidP="00BD764F">
      <w:pPr>
        <w:rPr>
          <w:rFonts w:ascii="Arial" w:eastAsiaTheme="minorEastAsia" w:hAnsi="Arial" w:cs="Arial"/>
          <w:noProof/>
          <w:sz w:val="22"/>
          <w:szCs w:val="22"/>
          <w:lang w:val="es-ES"/>
        </w:rPr>
      </w:pPr>
      <w:r>
        <w:rPr>
          <w:rFonts w:ascii="Arial" w:eastAsiaTheme="minorEastAsia" w:hAnsi="Arial" w:cs="Arial"/>
          <w:noProof/>
          <w:sz w:val="22"/>
          <w:szCs w:val="22"/>
          <w:lang w:val="es-ES"/>
        </w:rPr>
        <w:t>BIBLIOGRAFÍ</w:t>
      </w:r>
      <w:r w:rsidR="00BD764F" w:rsidRPr="00570BF6">
        <w:rPr>
          <w:rFonts w:ascii="Arial" w:eastAsiaTheme="minorEastAsia" w:hAnsi="Arial" w:cs="Arial"/>
          <w:noProof/>
          <w:sz w:val="22"/>
          <w:szCs w:val="22"/>
          <w:lang w:val="es-ES"/>
        </w:rPr>
        <w:t>A……</w:t>
      </w:r>
      <w:r w:rsidR="00195ADF">
        <w:rPr>
          <w:rFonts w:ascii="Arial" w:eastAsiaTheme="minorEastAsia" w:hAnsi="Arial" w:cs="Arial"/>
          <w:noProof/>
          <w:sz w:val="22"/>
          <w:szCs w:val="22"/>
          <w:lang w:val="es-ES"/>
        </w:rPr>
        <w:t>……………………………………………………………………………135</w:t>
      </w:r>
    </w:p>
    <w:p w:rsidR="00B656C2" w:rsidRDefault="00614081" w:rsidP="00C277A6">
      <w:pPr>
        <w:pStyle w:val="Body1"/>
        <w:spacing w:line="360" w:lineRule="auto"/>
        <w:rPr>
          <w:rFonts w:ascii="Arial" w:hAnsi="Arial" w:cs="Arial"/>
          <w:b/>
          <w:sz w:val="26"/>
          <w:szCs w:val="26"/>
        </w:rPr>
      </w:pPr>
      <w:r>
        <w:rPr>
          <w:rFonts w:ascii="Arial" w:hAnsi="Arial" w:cs="Arial"/>
          <w:b/>
          <w:sz w:val="26"/>
          <w:szCs w:val="26"/>
        </w:rPr>
        <w:fldChar w:fldCharType="end"/>
      </w:r>
    </w:p>
    <w:p w:rsidR="00C45A27" w:rsidRDefault="00C45A27"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7671C4" w:rsidRDefault="007671C4" w:rsidP="00B656C2">
      <w:pPr>
        <w:pStyle w:val="Body1"/>
        <w:spacing w:line="360" w:lineRule="auto"/>
        <w:outlineLvl w:val="0"/>
        <w:rPr>
          <w:rFonts w:ascii="Arial" w:hAnsi="Arial" w:cs="Arial"/>
          <w:b/>
          <w:sz w:val="26"/>
          <w:szCs w:val="26"/>
        </w:rPr>
      </w:pPr>
    </w:p>
    <w:p w:rsidR="00570BF6" w:rsidRPr="004511AD" w:rsidRDefault="00570BF6" w:rsidP="00570BF6">
      <w:pPr>
        <w:pStyle w:val="Body1"/>
        <w:spacing w:line="360" w:lineRule="auto"/>
        <w:rPr>
          <w:rFonts w:ascii="Arial" w:hAnsi="Arial" w:cs="Arial"/>
          <w:b/>
          <w:sz w:val="26"/>
          <w:szCs w:val="26"/>
        </w:rPr>
      </w:pPr>
      <w:r w:rsidRPr="004511AD">
        <w:rPr>
          <w:rFonts w:ascii="Arial" w:hAnsi="Arial" w:cs="Arial"/>
          <w:b/>
          <w:sz w:val="26"/>
          <w:szCs w:val="26"/>
        </w:rPr>
        <w:lastRenderedPageBreak/>
        <w:t>ABSTRACT</w:t>
      </w:r>
    </w:p>
    <w:p w:rsidR="00570BF6" w:rsidRPr="00D5025A" w:rsidRDefault="00570BF6" w:rsidP="00570BF6">
      <w:pPr>
        <w:pStyle w:val="Body1"/>
        <w:spacing w:line="360" w:lineRule="auto"/>
        <w:rPr>
          <w:rFonts w:ascii="Arial" w:hAnsi="Arial" w:cs="Arial"/>
          <w:sz w:val="22"/>
          <w:szCs w:val="22"/>
        </w:rPr>
      </w:pPr>
    </w:p>
    <w:p w:rsidR="00570BF6" w:rsidRPr="00D5025A" w:rsidRDefault="00570BF6" w:rsidP="00694CDB">
      <w:pPr>
        <w:pStyle w:val="Body1"/>
        <w:spacing w:line="360" w:lineRule="auto"/>
        <w:jc w:val="both"/>
        <w:rPr>
          <w:rFonts w:ascii="Arial" w:hAnsi="Arial" w:cs="Arial"/>
          <w:sz w:val="22"/>
          <w:szCs w:val="22"/>
        </w:rPr>
      </w:pPr>
      <w:r w:rsidRPr="00D5025A">
        <w:rPr>
          <w:rFonts w:ascii="Arial" w:hAnsi="Arial" w:cs="Arial"/>
          <w:sz w:val="22"/>
          <w:szCs w:val="22"/>
        </w:rPr>
        <w:t>En la presente investigac</w:t>
      </w:r>
      <w:r w:rsidR="008D7C66">
        <w:rPr>
          <w:rFonts w:ascii="Arial" w:hAnsi="Arial" w:cs="Arial"/>
          <w:sz w:val="22"/>
          <w:szCs w:val="22"/>
        </w:rPr>
        <w:t>ión se busca</w:t>
      </w:r>
      <w:r>
        <w:rPr>
          <w:rFonts w:ascii="Arial" w:hAnsi="Arial" w:cs="Arial"/>
          <w:sz w:val="22"/>
          <w:szCs w:val="22"/>
        </w:rPr>
        <w:t xml:space="preserve"> determinar</w:t>
      </w:r>
      <w:r w:rsidRPr="00D5025A">
        <w:rPr>
          <w:rFonts w:ascii="Arial" w:hAnsi="Arial" w:cs="Arial"/>
          <w:sz w:val="22"/>
          <w:szCs w:val="22"/>
        </w:rPr>
        <w:t xml:space="preserve"> las razones por las cuales se hace complicado el cumplimiento pleno de las sentencias de la Corte Interamericana de Derechos Humanos p</w:t>
      </w:r>
      <w:r w:rsidR="008D7C66">
        <w:rPr>
          <w:rFonts w:ascii="Arial" w:hAnsi="Arial" w:cs="Arial"/>
          <w:sz w:val="22"/>
          <w:szCs w:val="22"/>
        </w:rPr>
        <w:t>or parte de los Estados</w:t>
      </w:r>
      <w:r w:rsidRPr="00D5025A">
        <w:rPr>
          <w:rFonts w:ascii="Arial" w:hAnsi="Arial" w:cs="Arial"/>
          <w:sz w:val="22"/>
          <w:szCs w:val="22"/>
        </w:rPr>
        <w:t xml:space="preserve"> responsables. La mayor parte de sentencias de la Corte IDH han sido cumplidas de forma parcial, ello lleva a la inmediata conclusión de que los Estados no niegan de manera absoluta su obligación de dar cumplimiento a las disposiciones del Tribunal, pero además</w:t>
      </w:r>
      <w:r>
        <w:rPr>
          <w:rFonts w:ascii="Arial" w:hAnsi="Arial" w:cs="Arial"/>
          <w:sz w:val="22"/>
          <w:szCs w:val="22"/>
        </w:rPr>
        <w:t xml:space="preserve"> establece</w:t>
      </w:r>
      <w:r w:rsidRPr="00D5025A">
        <w:rPr>
          <w:rFonts w:ascii="Arial" w:hAnsi="Arial" w:cs="Arial"/>
          <w:sz w:val="22"/>
          <w:szCs w:val="22"/>
        </w:rPr>
        <w:t xml:space="preserve"> que existen medidas de reparación que no se están llevand</w:t>
      </w:r>
      <w:r w:rsidR="008D7C66">
        <w:rPr>
          <w:rFonts w:ascii="Arial" w:hAnsi="Arial" w:cs="Arial"/>
          <w:sz w:val="22"/>
          <w:szCs w:val="22"/>
        </w:rPr>
        <w:t>o a cabo.</w:t>
      </w:r>
      <w:r>
        <w:rPr>
          <w:rFonts w:ascii="Arial" w:hAnsi="Arial" w:cs="Arial"/>
          <w:sz w:val="22"/>
          <w:szCs w:val="22"/>
        </w:rPr>
        <w:t xml:space="preserve"> </w:t>
      </w:r>
      <w:r w:rsidR="008D7C66">
        <w:rPr>
          <w:rFonts w:ascii="Arial" w:hAnsi="Arial" w:cs="Arial"/>
          <w:sz w:val="22"/>
          <w:szCs w:val="22"/>
        </w:rPr>
        <w:t>Esto</w:t>
      </w:r>
      <w:r>
        <w:rPr>
          <w:rFonts w:ascii="Arial" w:hAnsi="Arial" w:cs="Arial"/>
          <w:sz w:val="22"/>
          <w:szCs w:val="22"/>
        </w:rPr>
        <w:t xml:space="preserve"> repercute direc</w:t>
      </w:r>
      <w:r w:rsidRPr="00D5025A">
        <w:rPr>
          <w:rFonts w:ascii="Arial" w:hAnsi="Arial" w:cs="Arial"/>
          <w:sz w:val="22"/>
          <w:szCs w:val="22"/>
        </w:rPr>
        <w:t>tamente en las víctimas y su derecho a una reparación integral, además impide que se logre uno de los objetivos principales del Sistema Interamericano de Derechos Human</w:t>
      </w:r>
      <w:r w:rsidR="00205D3D">
        <w:rPr>
          <w:rFonts w:ascii="Arial" w:hAnsi="Arial" w:cs="Arial"/>
          <w:sz w:val="22"/>
          <w:szCs w:val="22"/>
        </w:rPr>
        <w:t>os que es eliminar la impunidad.</w:t>
      </w:r>
      <w:r w:rsidRPr="00D5025A">
        <w:rPr>
          <w:rFonts w:ascii="Arial" w:hAnsi="Arial" w:cs="Arial"/>
          <w:sz w:val="22"/>
          <w:szCs w:val="22"/>
        </w:rPr>
        <w:t xml:space="preserve"> </w:t>
      </w:r>
      <w:r w:rsidR="00205D3D" w:rsidRPr="00D5025A">
        <w:rPr>
          <w:rFonts w:ascii="Arial" w:hAnsi="Arial" w:cs="Arial"/>
          <w:sz w:val="22"/>
          <w:szCs w:val="22"/>
        </w:rPr>
        <w:t>Adicionalmente</w:t>
      </w:r>
      <w:r w:rsidRPr="00D5025A">
        <w:rPr>
          <w:rFonts w:ascii="Arial" w:hAnsi="Arial" w:cs="Arial"/>
          <w:sz w:val="22"/>
          <w:szCs w:val="22"/>
        </w:rPr>
        <w:t xml:space="preserve"> obstaculiza otro de sus objetivos primordiales que es lograr un mayor nivel y estándar en el reconocimiento, respeto y protección de los derechos humanos en la región.  </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570BF6" w:rsidP="00694CDB">
      <w:pPr>
        <w:pStyle w:val="Body1"/>
        <w:spacing w:line="360" w:lineRule="auto"/>
        <w:jc w:val="both"/>
        <w:rPr>
          <w:rFonts w:ascii="Arial" w:hAnsi="Arial" w:cs="Arial"/>
          <w:sz w:val="22"/>
          <w:szCs w:val="22"/>
        </w:rPr>
      </w:pPr>
      <w:r w:rsidRPr="00D5025A">
        <w:rPr>
          <w:rFonts w:ascii="Arial" w:hAnsi="Arial" w:cs="Arial"/>
          <w:sz w:val="22"/>
          <w:szCs w:val="22"/>
        </w:rPr>
        <w:t>La investigación se aborda en el primer capítulo con una noción general de la reparación integral, desde los an</w:t>
      </w:r>
      <w:r>
        <w:rPr>
          <w:rFonts w:ascii="Arial" w:hAnsi="Arial" w:cs="Arial"/>
          <w:sz w:val="22"/>
          <w:szCs w:val="22"/>
        </w:rPr>
        <w:t>tecedentes que han llevado a</w:t>
      </w:r>
      <w:r w:rsidRPr="00D5025A">
        <w:rPr>
          <w:rFonts w:ascii="Arial" w:hAnsi="Arial" w:cs="Arial"/>
          <w:sz w:val="22"/>
          <w:szCs w:val="22"/>
        </w:rPr>
        <w:t xml:space="preserve"> considerar a la reparación desde una perspectiva más amplia y completa que no busca únicamente la indemnización económica sino aspectos como la rehabilitación y satisfacción plena de la víctima, además de una visión de los derechos a la verdad y a la justicia que junto con la reparación forman una trilogía inseparable para alcanzar el objetivo de la integralidad.</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570BF6" w:rsidP="00694CDB">
      <w:pPr>
        <w:pStyle w:val="Body1"/>
        <w:spacing w:line="360" w:lineRule="auto"/>
        <w:jc w:val="both"/>
        <w:rPr>
          <w:rFonts w:ascii="Arial" w:hAnsi="Arial" w:cs="Arial"/>
          <w:sz w:val="22"/>
          <w:szCs w:val="22"/>
        </w:rPr>
      </w:pPr>
      <w:r w:rsidRPr="00D5025A">
        <w:rPr>
          <w:rFonts w:ascii="Arial" w:hAnsi="Arial" w:cs="Arial"/>
          <w:sz w:val="22"/>
          <w:szCs w:val="22"/>
        </w:rPr>
        <w:t>Dentro de e</w:t>
      </w:r>
      <w:r>
        <w:rPr>
          <w:rFonts w:ascii="Arial" w:hAnsi="Arial" w:cs="Arial"/>
          <w:sz w:val="22"/>
          <w:szCs w:val="22"/>
        </w:rPr>
        <w:t>ste capítulo se determina</w:t>
      </w:r>
      <w:r w:rsidRPr="00D5025A">
        <w:rPr>
          <w:rFonts w:ascii="Arial" w:hAnsi="Arial" w:cs="Arial"/>
          <w:sz w:val="22"/>
          <w:szCs w:val="22"/>
        </w:rPr>
        <w:t xml:space="preserve"> la naturaleza de la reparación, así como su ámbito</w:t>
      </w:r>
      <w:r>
        <w:rPr>
          <w:rFonts w:ascii="Arial" w:hAnsi="Arial" w:cs="Arial"/>
          <w:sz w:val="22"/>
          <w:szCs w:val="22"/>
        </w:rPr>
        <w:t xml:space="preserve"> y alcances</w:t>
      </w:r>
      <w:r w:rsidR="00205D3D">
        <w:rPr>
          <w:rFonts w:ascii="Arial" w:hAnsi="Arial" w:cs="Arial"/>
          <w:sz w:val="22"/>
          <w:szCs w:val="22"/>
        </w:rPr>
        <w:t>,</w:t>
      </w:r>
      <w:r>
        <w:rPr>
          <w:rFonts w:ascii="Arial" w:hAnsi="Arial" w:cs="Arial"/>
          <w:sz w:val="22"/>
          <w:szCs w:val="22"/>
        </w:rPr>
        <w:t xml:space="preserve"> además de una breve referencia</w:t>
      </w:r>
      <w:r w:rsidRPr="00D5025A">
        <w:rPr>
          <w:rFonts w:ascii="Arial" w:hAnsi="Arial" w:cs="Arial"/>
          <w:sz w:val="22"/>
          <w:szCs w:val="22"/>
        </w:rPr>
        <w:t xml:space="preserve"> a la afectación al proyecto de vida y los criterios de reparación que sobre este tema </w:t>
      </w:r>
      <w:r>
        <w:rPr>
          <w:rFonts w:ascii="Arial" w:hAnsi="Arial" w:cs="Arial"/>
          <w:sz w:val="22"/>
          <w:szCs w:val="22"/>
        </w:rPr>
        <w:t>h</w:t>
      </w:r>
      <w:r w:rsidRPr="00D5025A">
        <w:rPr>
          <w:rFonts w:ascii="Arial" w:hAnsi="Arial" w:cs="Arial"/>
          <w:sz w:val="22"/>
          <w:szCs w:val="22"/>
        </w:rPr>
        <w:t>a implementado la Corte IDH. Dentro de la observación a los aspectos generales de la repar</w:t>
      </w:r>
      <w:r w:rsidR="00694CDB">
        <w:rPr>
          <w:rFonts w:ascii="Arial" w:hAnsi="Arial" w:cs="Arial"/>
          <w:sz w:val="22"/>
          <w:szCs w:val="22"/>
        </w:rPr>
        <w:t>ación se hace referencia</w:t>
      </w:r>
      <w:r w:rsidRPr="00D5025A">
        <w:rPr>
          <w:rFonts w:ascii="Arial" w:hAnsi="Arial" w:cs="Arial"/>
          <w:sz w:val="22"/>
          <w:szCs w:val="22"/>
        </w:rPr>
        <w:t xml:space="preserve"> a las partes que intervienen en este proceso, haciendo un paréntesis en el rol fundamental que desempeñan las víctimas al momento de la determinación de las medidas de reparación por parte de la Corte IDH, así como el papel de los Estad</w:t>
      </w:r>
      <w:r>
        <w:rPr>
          <w:rFonts w:ascii="Arial" w:hAnsi="Arial" w:cs="Arial"/>
          <w:sz w:val="22"/>
          <w:szCs w:val="22"/>
        </w:rPr>
        <w:t>os responsables. Finalmente para</w:t>
      </w:r>
      <w:r w:rsidRPr="00D5025A">
        <w:rPr>
          <w:rFonts w:ascii="Arial" w:hAnsi="Arial" w:cs="Arial"/>
          <w:sz w:val="22"/>
          <w:szCs w:val="22"/>
        </w:rPr>
        <w:t xml:space="preserve"> concluir la noción </w:t>
      </w:r>
      <w:r w:rsidR="00694CDB">
        <w:rPr>
          <w:rFonts w:ascii="Arial" w:hAnsi="Arial" w:cs="Arial"/>
          <w:sz w:val="22"/>
          <w:szCs w:val="22"/>
        </w:rPr>
        <w:t>de la reparación</w:t>
      </w:r>
      <w:r w:rsidRPr="00D5025A">
        <w:rPr>
          <w:rFonts w:ascii="Arial" w:hAnsi="Arial" w:cs="Arial"/>
          <w:sz w:val="22"/>
          <w:szCs w:val="22"/>
        </w:rPr>
        <w:t xml:space="preserve"> se a</w:t>
      </w:r>
      <w:r w:rsidR="00694CDB">
        <w:rPr>
          <w:rFonts w:ascii="Arial" w:hAnsi="Arial" w:cs="Arial"/>
          <w:sz w:val="22"/>
          <w:szCs w:val="22"/>
        </w:rPr>
        <w:t>bordan las medidas</w:t>
      </w:r>
      <w:r w:rsidRPr="00D5025A">
        <w:rPr>
          <w:rFonts w:ascii="Arial" w:hAnsi="Arial" w:cs="Arial"/>
          <w:sz w:val="22"/>
          <w:szCs w:val="22"/>
        </w:rPr>
        <w:t xml:space="preserve"> que le dan el atributo de integral, ellas son la restitución, indemnización, rehabilitación, satisfacción y garantías de no repetición.</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570BF6" w:rsidP="00694CDB">
      <w:pPr>
        <w:pStyle w:val="Body1"/>
        <w:spacing w:line="360" w:lineRule="auto"/>
        <w:jc w:val="both"/>
        <w:rPr>
          <w:rFonts w:ascii="Arial" w:hAnsi="Arial" w:cs="Arial"/>
          <w:sz w:val="22"/>
          <w:szCs w:val="22"/>
        </w:rPr>
      </w:pPr>
      <w:r w:rsidRPr="00D5025A">
        <w:rPr>
          <w:rFonts w:ascii="Arial" w:hAnsi="Arial" w:cs="Arial"/>
          <w:sz w:val="22"/>
          <w:szCs w:val="22"/>
        </w:rPr>
        <w:t>Continuando con el análisis</w:t>
      </w:r>
      <w:r w:rsidR="00694CDB">
        <w:rPr>
          <w:rFonts w:ascii="Arial" w:hAnsi="Arial" w:cs="Arial"/>
          <w:sz w:val="22"/>
          <w:szCs w:val="22"/>
        </w:rPr>
        <w:t>,</w:t>
      </w:r>
      <w:r w:rsidRPr="00D5025A">
        <w:rPr>
          <w:rFonts w:ascii="Arial" w:hAnsi="Arial" w:cs="Arial"/>
          <w:sz w:val="22"/>
          <w:szCs w:val="22"/>
        </w:rPr>
        <w:t xml:space="preserve"> en el capítulo II se abordan las </w:t>
      </w:r>
      <w:r>
        <w:rPr>
          <w:rFonts w:ascii="Arial" w:hAnsi="Arial" w:cs="Arial"/>
          <w:sz w:val="22"/>
          <w:szCs w:val="22"/>
        </w:rPr>
        <w:t>razones del incumplimiento</w:t>
      </w:r>
      <w:r w:rsidRPr="00D5025A">
        <w:rPr>
          <w:rFonts w:ascii="Arial" w:hAnsi="Arial" w:cs="Arial"/>
          <w:sz w:val="22"/>
          <w:szCs w:val="22"/>
        </w:rPr>
        <w:t xml:space="preserve"> de las sentencias desde el órgano que las emite, estableciendo los obstáculos que estas presentan para lograr su ejecución. Estas razones para el incumplimiento son atribuibles </w:t>
      </w:r>
      <w:r w:rsidRPr="00D5025A">
        <w:rPr>
          <w:rFonts w:ascii="Arial" w:hAnsi="Arial" w:cs="Arial"/>
          <w:sz w:val="22"/>
          <w:szCs w:val="22"/>
        </w:rPr>
        <w:lastRenderedPageBreak/>
        <w:t xml:space="preserve">a la Corte IDH por lo que se da inicio verificando si en sus sentencias se emplean criterios suficientes para lograr una reparación integral, para lo que es necesario determinar si se está implementando el principio de la </w:t>
      </w:r>
      <w:proofErr w:type="spellStart"/>
      <w:r w:rsidRPr="00D5025A">
        <w:rPr>
          <w:rFonts w:ascii="Arial" w:hAnsi="Arial" w:cs="Arial"/>
          <w:i/>
          <w:sz w:val="22"/>
          <w:szCs w:val="22"/>
        </w:rPr>
        <w:t>Restitutio</w:t>
      </w:r>
      <w:proofErr w:type="spellEnd"/>
      <w:r w:rsidRPr="00D5025A">
        <w:rPr>
          <w:rFonts w:ascii="Arial" w:hAnsi="Arial" w:cs="Arial"/>
          <w:i/>
          <w:sz w:val="22"/>
          <w:szCs w:val="22"/>
        </w:rPr>
        <w:t xml:space="preserve"> in </w:t>
      </w:r>
      <w:proofErr w:type="spellStart"/>
      <w:r w:rsidRPr="00D5025A">
        <w:rPr>
          <w:rFonts w:ascii="Arial" w:hAnsi="Arial" w:cs="Arial"/>
          <w:i/>
          <w:sz w:val="22"/>
          <w:szCs w:val="22"/>
        </w:rPr>
        <w:t>integrum</w:t>
      </w:r>
      <w:proofErr w:type="spellEnd"/>
      <w:r w:rsidRPr="00D5025A">
        <w:rPr>
          <w:rFonts w:ascii="Arial" w:hAnsi="Arial" w:cs="Arial"/>
          <w:i/>
          <w:sz w:val="22"/>
          <w:szCs w:val="22"/>
        </w:rPr>
        <w:t xml:space="preserve">, </w:t>
      </w:r>
      <w:r w:rsidRPr="00D5025A">
        <w:rPr>
          <w:rFonts w:ascii="Arial" w:hAnsi="Arial" w:cs="Arial"/>
          <w:sz w:val="22"/>
          <w:szCs w:val="22"/>
        </w:rPr>
        <w:t>además del resto de medidas que adicionalmente a la conocida indemnización está considerando la Corte IDH al momento de aplicar el artículo 63.1 de la Convención Americana sobre Derechos Humanos en sus fallos.</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570BF6" w:rsidP="00C03635">
      <w:pPr>
        <w:pStyle w:val="Body1"/>
        <w:spacing w:line="360" w:lineRule="auto"/>
        <w:jc w:val="both"/>
        <w:rPr>
          <w:rFonts w:ascii="Arial" w:hAnsi="Arial" w:cs="Arial"/>
          <w:sz w:val="22"/>
          <w:szCs w:val="22"/>
        </w:rPr>
      </w:pPr>
      <w:r w:rsidRPr="00D5025A">
        <w:rPr>
          <w:rFonts w:ascii="Arial" w:hAnsi="Arial" w:cs="Arial"/>
          <w:sz w:val="22"/>
          <w:szCs w:val="22"/>
        </w:rPr>
        <w:t>Dentro de este capítulo también se hace referencia al grado de claridad de las sentencias de la Corte IDH, donde se analiza si las medidas de reparación cuentan con elementos de quién, cuándo y cómo deben ejecutarse, así como la presencia de espacios o vacíos que permiten la interpretación del Estado junto con los representantes de las víctimas al momento de llevar a cabo las medidas, todo ello con el objeto de verificar hasta qué punto una cierta falta de precisión por parte de la Corte IDH al determinar las medidas de reparación puede ocasionar dificultades en el cumplimiento de las sentencias.</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570BF6" w:rsidP="00C03635">
      <w:pPr>
        <w:pStyle w:val="Body1"/>
        <w:spacing w:line="360" w:lineRule="auto"/>
        <w:jc w:val="both"/>
        <w:rPr>
          <w:rFonts w:ascii="Arial" w:hAnsi="Arial" w:cs="Arial"/>
          <w:sz w:val="22"/>
          <w:szCs w:val="22"/>
        </w:rPr>
      </w:pPr>
      <w:r w:rsidRPr="00D5025A">
        <w:rPr>
          <w:rFonts w:ascii="Arial" w:hAnsi="Arial" w:cs="Arial"/>
          <w:sz w:val="22"/>
          <w:szCs w:val="22"/>
        </w:rPr>
        <w:t>Para cerrar este capítulo se estudia la posibilidad de que las sentencias no sean cumplidas a cabalidad por parte de los Estados responsables debido a la falta de mecanismos coercitivos con los que pueda contar la Corte IDH para exigir la total ejecución de las medidas de reparación. Este tema en particular forma parte de un debate que viene suscitándose con anterioridad y de forma permanente, por lo que para aportar en él</w:t>
      </w:r>
      <w:r w:rsidR="00C03635">
        <w:rPr>
          <w:rFonts w:ascii="Arial" w:hAnsi="Arial" w:cs="Arial"/>
          <w:sz w:val="22"/>
          <w:szCs w:val="22"/>
        </w:rPr>
        <w:t>,</w:t>
      </w:r>
      <w:r w:rsidRPr="00D5025A">
        <w:rPr>
          <w:rFonts w:ascii="Arial" w:hAnsi="Arial" w:cs="Arial"/>
          <w:sz w:val="22"/>
          <w:szCs w:val="22"/>
        </w:rPr>
        <w:t xml:space="preserve"> se observan inicialmente los mecanismos y vías con los que cuenta actualmente la Corte IDH</w:t>
      </w:r>
      <w:r w:rsidR="00205D3D">
        <w:rPr>
          <w:rFonts w:ascii="Arial" w:hAnsi="Arial" w:cs="Arial"/>
          <w:sz w:val="22"/>
          <w:szCs w:val="22"/>
        </w:rPr>
        <w:t>,</w:t>
      </w:r>
      <w:r w:rsidRPr="00D5025A">
        <w:rPr>
          <w:rFonts w:ascii="Arial" w:hAnsi="Arial" w:cs="Arial"/>
          <w:sz w:val="22"/>
          <w:szCs w:val="22"/>
        </w:rPr>
        <w:t xml:space="preserve"> primero para supervisar el cumplimiento de las </w:t>
      </w:r>
      <w:r>
        <w:rPr>
          <w:rFonts w:ascii="Arial" w:hAnsi="Arial" w:cs="Arial"/>
          <w:sz w:val="22"/>
          <w:szCs w:val="22"/>
        </w:rPr>
        <w:t xml:space="preserve">sentencias </w:t>
      </w:r>
      <w:r w:rsidRPr="00D5025A">
        <w:rPr>
          <w:rFonts w:ascii="Arial" w:hAnsi="Arial" w:cs="Arial"/>
          <w:sz w:val="22"/>
          <w:szCs w:val="22"/>
        </w:rPr>
        <w:t>y luego</w:t>
      </w:r>
      <w:r>
        <w:rPr>
          <w:rFonts w:ascii="Arial" w:hAnsi="Arial" w:cs="Arial"/>
          <w:sz w:val="22"/>
          <w:szCs w:val="22"/>
        </w:rPr>
        <w:t xml:space="preserve"> para exigir en cierta medida la ejecución</w:t>
      </w:r>
      <w:r w:rsidRPr="00D5025A">
        <w:rPr>
          <w:rFonts w:ascii="Arial" w:hAnsi="Arial" w:cs="Arial"/>
          <w:sz w:val="22"/>
          <w:szCs w:val="22"/>
        </w:rPr>
        <w:t xml:space="preserve"> de las mismas</w:t>
      </w:r>
      <w:r>
        <w:rPr>
          <w:rFonts w:ascii="Arial" w:hAnsi="Arial" w:cs="Arial"/>
          <w:sz w:val="22"/>
          <w:szCs w:val="22"/>
        </w:rPr>
        <w:t xml:space="preserve"> cuando no median razones que justifiquen el incumplimiento</w:t>
      </w:r>
      <w:r w:rsidR="00C03635">
        <w:rPr>
          <w:rFonts w:ascii="Arial" w:hAnsi="Arial" w:cs="Arial"/>
          <w:sz w:val="22"/>
          <w:szCs w:val="22"/>
        </w:rPr>
        <w:t>. E</w:t>
      </w:r>
      <w:r w:rsidRPr="00D5025A">
        <w:rPr>
          <w:rFonts w:ascii="Arial" w:hAnsi="Arial" w:cs="Arial"/>
          <w:sz w:val="22"/>
          <w:szCs w:val="22"/>
        </w:rPr>
        <w:t xml:space="preserve">s necesario además verificar el grado de efectividad que estos mecanismos han tenido y cuáles son las consecuencias más graves que puede traer el incumplimiento. </w:t>
      </w:r>
      <w:r>
        <w:rPr>
          <w:rFonts w:ascii="Arial" w:hAnsi="Arial" w:cs="Arial"/>
          <w:sz w:val="22"/>
          <w:szCs w:val="22"/>
        </w:rPr>
        <w:t>Finalmente, a</w:t>
      </w:r>
      <w:r w:rsidRPr="00D5025A">
        <w:rPr>
          <w:rFonts w:ascii="Arial" w:hAnsi="Arial" w:cs="Arial"/>
          <w:sz w:val="22"/>
          <w:szCs w:val="22"/>
        </w:rPr>
        <w:t xml:space="preserve"> manera de procurar una comparación se hace referencia al papel que desempeña el Comité de Ministros en la ejecución de sentencias del Tribunal Europeo de Derechos Humanos, ello con el fin de establecer las virtudes y</w:t>
      </w:r>
      <w:r>
        <w:rPr>
          <w:rFonts w:ascii="Arial" w:hAnsi="Arial" w:cs="Arial"/>
          <w:sz w:val="22"/>
          <w:szCs w:val="22"/>
        </w:rPr>
        <w:t xml:space="preserve"> debilidades de</w:t>
      </w:r>
      <w:r w:rsidRPr="00D5025A">
        <w:rPr>
          <w:rFonts w:ascii="Arial" w:hAnsi="Arial" w:cs="Arial"/>
          <w:sz w:val="22"/>
          <w:szCs w:val="22"/>
        </w:rPr>
        <w:t xml:space="preserve"> este sis</w:t>
      </w:r>
      <w:r>
        <w:rPr>
          <w:rFonts w:ascii="Arial" w:hAnsi="Arial" w:cs="Arial"/>
          <w:sz w:val="22"/>
          <w:szCs w:val="22"/>
        </w:rPr>
        <w:t>tema y la posibilidad de tomar en cuenta</w:t>
      </w:r>
      <w:r w:rsidRPr="00D5025A">
        <w:rPr>
          <w:rFonts w:ascii="Arial" w:hAnsi="Arial" w:cs="Arial"/>
          <w:sz w:val="22"/>
          <w:szCs w:val="22"/>
        </w:rPr>
        <w:t xml:space="preserve"> ciertos aspectos para acoplarlos a nuestra realidad.</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570BF6" w:rsidP="00C03635">
      <w:pPr>
        <w:pStyle w:val="Body1"/>
        <w:spacing w:line="360" w:lineRule="auto"/>
        <w:jc w:val="both"/>
        <w:rPr>
          <w:rFonts w:ascii="Arial" w:hAnsi="Arial" w:cs="Arial"/>
          <w:sz w:val="22"/>
          <w:szCs w:val="22"/>
        </w:rPr>
      </w:pPr>
      <w:r w:rsidRPr="00D5025A">
        <w:rPr>
          <w:rFonts w:ascii="Arial" w:hAnsi="Arial" w:cs="Arial"/>
          <w:sz w:val="22"/>
          <w:szCs w:val="22"/>
        </w:rPr>
        <w:t xml:space="preserve">En el </w:t>
      </w:r>
      <w:r>
        <w:rPr>
          <w:rFonts w:ascii="Arial" w:hAnsi="Arial" w:cs="Arial"/>
          <w:sz w:val="22"/>
          <w:szCs w:val="22"/>
        </w:rPr>
        <w:t xml:space="preserve">III y </w:t>
      </w:r>
      <w:r w:rsidRPr="00D5025A">
        <w:rPr>
          <w:rFonts w:ascii="Arial" w:hAnsi="Arial" w:cs="Arial"/>
          <w:sz w:val="22"/>
          <w:szCs w:val="22"/>
        </w:rPr>
        <w:t xml:space="preserve">último capítulo, se determinan las principales razones para el incumplimiento de las sentencias atribuibles a los Estados responsables, si bien en general este capítulo gira en torno a un elemento fundamental que es la voluntad política, se hace referencia a otros motivos que pueden llevar a que los Estados no cumplan su obligación internacional de cumplir las sentencias de la Corte IDH. El análisis inicia con una breve descripción de </w:t>
      </w:r>
      <w:r w:rsidRPr="00D5025A">
        <w:rPr>
          <w:rFonts w:ascii="Arial" w:hAnsi="Arial" w:cs="Arial"/>
          <w:sz w:val="22"/>
          <w:szCs w:val="22"/>
        </w:rPr>
        <w:lastRenderedPageBreak/>
        <w:t>la posición en la que se encuentran los Estados al ser notificados con una sentencia de la Corte IDH donde ha sido determinada su responsabilidad y cuáles son las primeras acciones que debe</w:t>
      </w:r>
      <w:r w:rsidR="00C03635">
        <w:rPr>
          <w:rFonts w:ascii="Arial" w:hAnsi="Arial" w:cs="Arial"/>
          <w:sz w:val="22"/>
          <w:szCs w:val="22"/>
        </w:rPr>
        <w:t>n</w:t>
      </w:r>
      <w:r w:rsidRPr="00D5025A">
        <w:rPr>
          <w:rFonts w:ascii="Arial" w:hAnsi="Arial" w:cs="Arial"/>
          <w:sz w:val="22"/>
          <w:szCs w:val="22"/>
        </w:rPr>
        <w:t xml:space="preserve"> tomar </w:t>
      </w:r>
      <w:r>
        <w:rPr>
          <w:rFonts w:ascii="Arial" w:hAnsi="Arial" w:cs="Arial"/>
          <w:sz w:val="22"/>
          <w:szCs w:val="22"/>
        </w:rPr>
        <w:t>para demostrar su compromiso por</w:t>
      </w:r>
      <w:r w:rsidRPr="00D5025A">
        <w:rPr>
          <w:rFonts w:ascii="Arial" w:hAnsi="Arial" w:cs="Arial"/>
          <w:sz w:val="22"/>
          <w:szCs w:val="22"/>
        </w:rPr>
        <w:t xml:space="preserve"> el respeto y protección de los derechos humanos. En este punto se realiza un paréntesis a una de las medidas dispuestas por la Corte IDH que  es la obligación de investigar los hechos que produjeron las violación de los derechos, así como la judicialización y sanción a los responsables, esta medida reviste especial interés pues es una de las que más nivel de incumplimiento presenta y porque tal incumplimiento genera una consecuencia muy grave que es la impunidad de los responsables.</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570BF6" w:rsidP="00C03635">
      <w:pPr>
        <w:pStyle w:val="Body1"/>
        <w:spacing w:line="360" w:lineRule="auto"/>
        <w:jc w:val="both"/>
        <w:rPr>
          <w:rFonts w:ascii="Arial" w:hAnsi="Arial" w:cs="Arial"/>
          <w:sz w:val="22"/>
          <w:szCs w:val="22"/>
        </w:rPr>
      </w:pPr>
      <w:r w:rsidRPr="00D5025A">
        <w:rPr>
          <w:rFonts w:ascii="Arial" w:hAnsi="Arial" w:cs="Arial"/>
          <w:sz w:val="22"/>
          <w:szCs w:val="22"/>
        </w:rPr>
        <w:t xml:space="preserve">Dentro de este capítulo se determina el grado de incidencia que tiene la normativa interna de los Estados en la ejecución de las sentencias de la Corte IDH, y en qué forma deben ser afrontadas las incompatibilidades normativas de los Estados y </w:t>
      </w:r>
      <w:r>
        <w:rPr>
          <w:rFonts w:ascii="Arial" w:hAnsi="Arial" w:cs="Arial"/>
          <w:sz w:val="22"/>
          <w:szCs w:val="22"/>
        </w:rPr>
        <w:t>d</w:t>
      </w:r>
      <w:r w:rsidRPr="00D5025A">
        <w:rPr>
          <w:rFonts w:ascii="Arial" w:hAnsi="Arial" w:cs="Arial"/>
          <w:sz w:val="22"/>
          <w:szCs w:val="22"/>
        </w:rPr>
        <w:t>el Sistema IDH, principalmente de la Convención Americana sobre Derechos Humanos a la luz del derecho internacional. En este punto se incluye una breve referencia a una de las formas que t</w:t>
      </w:r>
      <w:r w:rsidR="00C03635">
        <w:rPr>
          <w:rFonts w:ascii="Arial" w:hAnsi="Arial" w:cs="Arial"/>
          <w:sz w:val="22"/>
          <w:szCs w:val="22"/>
        </w:rPr>
        <w:t>iene la Corte</w:t>
      </w:r>
      <w:r>
        <w:rPr>
          <w:rFonts w:ascii="Arial" w:hAnsi="Arial" w:cs="Arial"/>
          <w:sz w:val="22"/>
          <w:szCs w:val="22"/>
        </w:rPr>
        <w:t xml:space="preserve"> IDH para mantener la </w:t>
      </w:r>
      <w:r w:rsidRPr="00D5025A">
        <w:rPr>
          <w:rFonts w:ascii="Arial" w:hAnsi="Arial" w:cs="Arial"/>
          <w:sz w:val="22"/>
          <w:szCs w:val="22"/>
        </w:rPr>
        <w:t>armonía entre la Convención Americana y la normativa interna</w:t>
      </w:r>
      <w:r w:rsidR="00C03635">
        <w:rPr>
          <w:rFonts w:ascii="Arial" w:hAnsi="Arial" w:cs="Arial"/>
          <w:sz w:val="22"/>
          <w:szCs w:val="22"/>
        </w:rPr>
        <w:t xml:space="preserve"> de los Estados, esta</w:t>
      </w:r>
      <w:r>
        <w:rPr>
          <w:rFonts w:ascii="Arial" w:hAnsi="Arial" w:cs="Arial"/>
          <w:sz w:val="22"/>
          <w:szCs w:val="22"/>
        </w:rPr>
        <w:t xml:space="preserve"> es</w:t>
      </w:r>
      <w:r w:rsidR="00C03635">
        <w:rPr>
          <w:rFonts w:ascii="Arial" w:hAnsi="Arial" w:cs="Arial"/>
          <w:sz w:val="22"/>
          <w:szCs w:val="22"/>
        </w:rPr>
        <w:t>,</w:t>
      </w:r>
      <w:r>
        <w:rPr>
          <w:rFonts w:ascii="Arial" w:hAnsi="Arial" w:cs="Arial"/>
          <w:sz w:val="22"/>
          <w:szCs w:val="22"/>
        </w:rPr>
        <w:t xml:space="preserve"> por medio de</w:t>
      </w:r>
      <w:r w:rsidRPr="00D5025A">
        <w:rPr>
          <w:rFonts w:ascii="Arial" w:hAnsi="Arial" w:cs="Arial"/>
          <w:sz w:val="22"/>
          <w:szCs w:val="22"/>
        </w:rPr>
        <w:t xml:space="preserve"> medidas que incluyen los fallos tendientes a reformar o crear determinadas normas para impedir que los hechos violatorios vuelvan a perpetrarse. Además, a manera de propuesta se analiza la necesidad de que dentro de los Estados se cuente con un órgano específico para llevar a cabo el proceso de ejecución de las sentencias de la Corte IDH junto con los atributos que deben tener tales órganos para su eficaz desenvolvimiento. </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570BF6" w:rsidP="00C03635">
      <w:pPr>
        <w:pStyle w:val="Body1"/>
        <w:spacing w:line="360" w:lineRule="auto"/>
        <w:jc w:val="both"/>
        <w:rPr>
          <w:rFonts w:ascii="Arial" w:hAnsi="Arial" w:cs="Arial"/>
          <w:sz w:val="22"/>
          <w:szCs w:val="22"/>
        </w:rPr>
      </w:pPr>
      <w:r w:rsidRPr="00D5025A">
        <w:rPr>
          <w:rFonts w:ascii="Arial" w:hAnsi="Arial" w:cs="Arial"/>
          <w:sz w:val="22"/>
          <w:szCs w:val="22"/>
        </w:rPr>
        <w:t>Para finalizar este capítulo se hace un estudio de la situación del Ecuador en cuanto al cumplimiento de las sentencias donde ha sido determinada su responsabilidad internacional. En este punto se ha recurrido a la entrevista como método para recoger de manera general las impresiones que desde su experiencia han tenido dos profesionales del derecho que han litigado en el Sistema IDH</w:t>
      </w:r>
      <w:r w:rsidR="00C03635">
        <w:rPr>
          <w:rFonts w:ascii="Arial" w:hAnsi="Arial" w:cs="Arial"/>
          <w:sz w:val="22"/>
          <w:szCs w:val="22"/>
        </w:rPr>
        <w:t>,</w:t>
      </w:r>
      <w:r w:rsidRPr="00D5025A">
        <w:rPr>
          <w:rFonts w:ascii="Arial" w:hAnsi="Arial" w:cs="Arial"/>
          <w:sz w:val="22"/>
          <w:szCs w:val="22"/>
        </w:rPr>
        <w:t xml:space="preserve"> representando a víctimas de violación de derechos humanos.  Así mismo</w:t>
      </w:r>
      <w:r w:rsidR="000805DC">
        <w:rPr>
          <w:rFonts w:ascii="Arial" w:hAnsi="Arial" w:cs="Arial"/>
          <w:sz w:val="22"/>
          <w:szCs w:val="22"/>
        </w:rPr>
        <w:t>,</w:t>
      </w:r>
      <w:r w:rsidRPr="00D5025A">
        <w:rPr>
          <w:rFonts w:ascii="Arial" w:hAnsi="Arial" w:cs="Arial"/>
          <w:sz w:val="22"/>
          <w:szCs w:val="22"/>
        </w:rPr>
        <w:t xml:space="preserve"> se ha incluido un cuadro donde constan todos los casos que hasta la actualidad ha conocido la Corte IDH y ha dictado sentencia determinando</w:t>
      </w:r>
      <w:r>
        <w:rPr>
          <w:rFonts w:ascii="Arial" w:hAnsi="Arial" w:cs="Arial"/>
          <w:sz w:val="22"/>
          <w:szCs w:val="22"/>
        </w:rPr>
        <w:t xml:space="preserve"> la responsabilidad del Ecuador.</w:t>
      </w:r>
      <w:r w:rsidRPr="00D5025A">
        <w:rPr>
          <w:rFonts w:ascii="Arial" w:hAnsi="Arial" w:cs="Arial"/>
          <w:sz w:val="22"/>
          <w:szCs w:val="22"/>
        </w:rPr>
        <w:t xml:space="preserve"> Dando un vistazo a las resoluciones de supervisión de cumplimiento que de estos casos ha emitido la Corte IDH</w:t>
      </w:r>
      <w:r w:rsidR="000805DC">
        <w:rPr>
          <w:rFonts w:ascii="Arial" w:hAnsi="Arial" w:cs="Arial"/>
          <w:sz w:val="22"/>
          <w:szCs w:val="22"/>
        </w:rPr>
        <w:t>,</w:t>
      </w:r>
      <w:r w:rsidRPr="00D5025A">
        <w:rPr>
          <w:rFonts w:ascii="Arial" w:hAnsi="Arial" w:cs="Arial"/>
          <w:sz w:val="22"/>
          <w:szCs w:val="22"/>
        </w:rPr>
        <w:t xml:space="preserve"> se ha establecido en cuántos de ellos se ha dado un cumplimiento total y en cuantos un cumplimiento parcial</w:t>
      </w:r>
      <w:r w:rsidR="00C03635">
        <w:rPr>
          <w:rFonts w:ascii="Arial" w:hAnsi="Arial" w:cs="Arial"/>
          <w:sz w:val="22"/>
          <w:szCs w:val="22"/>
        </w:rPr>
        <w:t>,</w:t>
      </w:r>
      <w:r w:rsidRPr="00D5025A">
        <w:rPr>
          <w:rFonts w:ascii="Arial" w:hAnsi="Arial" w:cs="Arial"/>
          <w:sz w:val="22"/>
          <w:szCs w:val="22"/>
        </w:rPr>
        <w:t xml:space="preserve"> además</w:t>
      </w:r>
      <w:r>
        <w:rPr>
          <w:rFonts w:ascii="Arial" w:hAnsi="Arial" w:cs="Arial"/>
          <w:sz w:val="22"/>
          <w:szCs w:val="22"/>
        </w:rPr>
        <w:t xml:space="preserve"> de establecer</w:t>
      </w:r>
      <w:r w:rsidRPr="00D5025A">
        <w:rPr>
          <w:rFonts w:ascii="Arial" w:hAnsi="Arial" w:cs="Arial"/>
          <w:sz w:val="22"/>
          <w:szCs w:val="22"/>
        </w:rPr>
        <w:t xml:space="preserve"> otras conclusiones, </w:t>
      </w:r>
      <w:r>
        <w:rPr>
          <w:rFonts w:ascii="Arial" w:hAnsi="Arial" w:cs="Arial"/>
          <w:sz w:val="22"/>
          <w:szCs w:val="22"/>
        </w:rPr>
        <w:t>se determina cuá</w:t>
      </w:r>
      <w:r w:rsidRPr="00D5025A">
        <w:rPr>
          <w:rFonts w:ascii="Arial" w:hAnsi="Arial" w:cs="Arial"/>
          <w:sz w:val="22"/>
          <w:szCs w:val="22"/>
        </w:rPr>
        <w:t xml:space="preserve">l es la medida de reparación que mayor incumplimiento </w:t>
      </w:r>
      <w:r>
        <w:rPr>
          <w:rFonts w:ascii="Arial" w:hAnsi="Arial" w:cs="Arial"/>
          <w:sz w:val="22"/>
          <w:szCs w:val="22"/>
        </w:rPr>
        <w:t xml:space="preserve">se presenta en </w:t>
      </w:r>
      <w:r w:rsidRPr="00D5025A">
        <w:rPr>
          <w:rFonts w:ascii="Arial" w:hAnsi="Arial" w:cs="Arial"/>
          <w:sz w:val="22"/>
          <w:szCs w:val="22"/>
        </w:rPr>
        <w:t>el Ecuador</w:t>
      </w:r>
      <w:r>
        <w:rPr>
          <w:rFonts w:ascii="Arial" w:hAnsi="Arial" w:cs="Arial"/>
          <w:sz w:val="22"/>
          <w:szCs w:val="22"/>
        </w:rPr>
        <w:t>.</w:t>
      </w:r>
    </w:p>
    <w:p w:rsidR="00570BF6" w:rsidRPr="00D5025A" w:rsidRDefault="00570BF6" w:rsidP="00570BF6">
      <w:pPr>
        <w:pStyle w:val="Body1"/>
        <w:spacing w:line="360" w:lineRule="auto"/>
        <w:jc w:val="both"/>
        <w:rPr>
          <w:rFonts w:ascii="Arial" w:hAnsi="Arial" w:cs="Arial"/>
          <w:sz w:val="22"/>
          <w:szCs w:val="22"/>
        </w:rPr>
      </w:pPr>
    </w:p>
    <w:p w:rsidR="00570BF6" w:rsidRPr="00D5025A" w:rsidRDefault="000805DC" w:rsidP="000A657E">
      <w:pPr>
        <w:pStyle w:val="Body1"/>
        <w:spacing w:line="360" w:lineRule="auto"/>
        <w:jc w:val="both"/>
        <w:rPr>
          <w:rFonts w:ascii="Arial" w:eastAsia="Times New Roman" w:hAnsi="Arial" w:cs="Arial"/>
          <w:color w:val="auto"/>
          <w:sz w:val="22"/>
          <w:szCs w:val="22"/>
        </w:rPr>
      </w:pPr>
      <w:r>
        <w:rPr>
          <w:rFonts w:ascii="Arial" w:hAnsi="Arial" w:cs="Arial"/>
          <w:sz w:val="22"/>
          <w:szCs w:val="22"/>
        </w:rPr>
        <w:lastRenderedPageBreak/>
        <w:t>Cabe destacar</w:t>
      </w:r>
      <w:r w:rsidR="00570BF6" w:rsidRPr="00D5025A">
        <w:rPr>
          <w:rFonts w:ascii="Arial" w:hAnsi="Arial" w:cs="Arial"/>
          <w:sz w:val="22"/>
          <w:szCs w:val="22"/>
        </w:rPr>
        <w:t xml:space="preserve"> que a lo largo de toda la investigación se han seleccionado casos conocidos por la Corte IDH contra diversos países miembros para dar mayor sustento a los criterios emitidos en la misma. Finalmente</w:t>
      </w:r>
      <w:r w:rsidR="009B2E5E">
        <w:rPr>
          <w:rFonts w:ascii="Arial" w:hAnsi="Arial" w:cs="Arial"/>
          <w:sz w:val="22"/>
          <w:szCs w:val="22"/>
        </w:rPr>
        <w:t xml:space="preserve">, </w:t>
      </w:r>
      <w:r w:rsidR="00AA04A9">
        <w:rPr>
          <w:rFonts w:ascii="Arial" w:hAnsi="Arial" w:cs="Arial"/>
          <w:sz w:val="22"/>
          <w:szCs w:val="22"/>
        </w:rPr>
        <w:t>cabe señalar</w:t>
      </w:r>
      <w:r w:rsidR="00570BF6" w:rsidRPr="00D5025A">
        <w:rPr>
          <w:rFonts w:ascii="Arial" w:hAnsi="Arial" w:cs="Arial"/>
          <w:sz w:val="22"/>
          <w:szCs w:val="22"/>
        </w:rPr>
        <w:t xml:space="preserve"> que esta investigación busca brindar elementos de juicio sobre el actual panorama respecto a la ejecución de las sentencias de la Corte IDH, puesto que es un tema de significativa importancia en cuanto representa una de las principales garantías con que cuenta el Sistema IDH para hacer respetar los derechos humanos en la región e ir alcanzando de manera gradual y permanente un mayor desarrollo en los mecanismos de protección de los derechos.                      </w:t>
      </w:r>
    </w:p>
    <w:p w:rsidR="00570BF6" w:rsidRPr="00570BF6" w:rsidRDefault="00570BF6"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F24164" w:rsidRDefault="00F24164" w:rsidP="00B656C2">
      <w:pPr>
        <w:pStyle w:val="Body1"/>
        <w:spacing w:line="360" w:lineRule="auto"/>
        <w:outlineLvl w:val="0"/>
        <w:rPr>
          <w:rFonts w:ascii="Arial" w:hAnsi="Arial" w:cs="Arial"/>
          <w:b/>
          <w:sz w:val="26"/>
          <w:szCs w:val="26"/>
        </w:rPr>
      </w:pPr>
    </w:p>
    <w:p w:rsidR="00CD6464" w:rsidRDefault="00CD6464" w:rsidP="00B656C2">
      <w:pPr>
        <w:pStyle w:val="Body1"/>
        <w:spacing w:line="360" w:lineRule="auto"/>
        <w:outlineLvl w:val="0"/>
        <w:rPr>
          <w:rFonts w:ascii="Arial" w:hAnsi="Arial" w:cs="Arial"/>
          <w:b/>
          <w:sz w:val="26"/>
          <w:szCs w:val="26"/>
        </w:rPr>
      </w:pPr>
    </w:p>
    <w:p w:rsidR="00CD6464" w:rsidRDefault="00CD6464" w:rsidP="00B656C2">
      <w:pPr>
        <w:pStyle w:val="Body1"/>
        <w:spacing w:line="360" w:lineRule="auto"/>
        <w:outlineLvl w:val="0"/>
        <w:rPr>
          <w:rFonts w:ascii="Arial" w:hAnsi="Arial" w:cs="Arial"/>
          <w:b/>
          <w:sz w:val="26"/>
          <w:szCs w:val="26"/>
        </w:rPr>
        <w:sectPr w:rsidR="00CD6464" w:rsidSect="0081162D">
          <w:footerReference w:type="default" r:id="rId10"/>
          <w:pgSz w:w="11906" w:h="16838"/>
          <w:pgMar w:top="1701" w:right="1418" w:bottom="1418" w:left="1701" w:header="709" w:footer="851" w:gutter="0"/>
          <w:pgNumType w:fmt="upperRoman" w:start="1"/>
          <w:cols w:space="720"/>
          <w:docGrid w:linePitch="326"/>
        </w:sectPr>
      </w:pPr>
    </w:p>
    <w:p w:rsidR="00C277A6" w:rsidRPr="00C277A6" w:rsidRDefault="00F6613F" w:rsidP="00B656C2">
      <w:pPr>
        <w:pStyle w:val="Body1"/>
        <w:spacing w:line="360" w:lineRule="auto"/>
        <w:outlineLvl w:val="0"/>
        <w:rPr>
          <w:rFonts w:ascii="Arial" w:hAnsi="Arial" w:cs="Arial"/>
          <w:b/>
          <w:sz w:val="26"/>
          <w:szCs w:val="26"/>
        </w:rPr>
      </w:pPr>
      <w:r>
        <w:rPr>
          <w:rFonts w:ascii="Arial" w:hAnsi="Arial" w:cs="Arial"/>
          <w:b/>
          <w:sz w:val="26"/>
          <w:szCs w:val="26"/>
        </w:rPr>
        <w:lastRenderedPageBreak/>
        <w:t>INTRODUCCIÓ</w:t>
      </w:r>
      <w:r w:rsidRPr="00C277A6">
        <w:rPr>
          <w:rFonts w:ascii="Arial" w:hAnsi="Arial" w:cs="Arial"/>
          <w:b/>
          <w:sz w:val="26"/>
          <w:szCs w:val="26"/>
        </w:rPr>
        <w:t>N</w:t>
      </w:r>
    </w:p>
    <w:p w:rsidR="00C277A6" w:rsidRPr="003B5760" w:rsidRDefault="00C277A6" w:rsidP="00C277A6">
      <w:pPr>
        <w:pStyle w:val="Body1"/>
        <w:spacing w:line="360" w:lineRule="auto"/>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Pr>
          <w:rFonts w:ascii="Arial" w:hAnsi="Arial" w:cs="Arial"/>
          <w:sz w:val="22"/>
          <w:szCs w:val="22"/>
        </w:rPr>
        <w:t>El reconocimiento y</w:t>
      </w:r>
      <w:r w:rsidRPr="003B5760">
        <w:rPr>
          <w:rFonts w:ascii="Arial" w:hAnsi="Arial" w:cs="Arial"/>
          <w:sz w:val="22"/>
          <w:szCs w:val="22"/>
        </w:rPr>
        <w:t xml:space="preserve"> respeto por los derechos humanos es un tema que por su importancia y </w:t>
      </w:r>
      <w:r>
        <w:rPr>
          <w:rFonts w:ascii="Arial" w:hAnsi="Arial" w:cs="Arial"/>
          <w:sz w:val="22"/>
          <w:szCs w:val="22"/>
        </w:rPr>
        <w:t>trascendencia ha ido desarrollándose</w:t>
      </w:r>
      <w:r w:rsidRPr="003B5760">
        <w:rPr>
          <w:rFonts w:ascii="Arial" w:hAnsi="Arial" w:cs="Arial"/>
          <w:sz w:val="22"/>
          <w:szCs w:val="22"/>
        </w:rPr>
        <w:t xml:space="preserve"> tanto dentro de los Estados como en el ámbito internacional</w:t>
      </w:r>
      <w:r w:rsidR="00D0709E">
        <w:rPr>
          <w:rFonts w:ascii="Arial" w:hAnsi="Arial" w:cs="Arial"/>
          <w:sz w:val="22"/>
          <w:szCs w:val="22"/>
        </w:rPr>
        <w:t>,</w:t>
      </w:r>
      <w:r w:rsidRPr="003B5760">
        <w:rPr>
          <w:rFonts w:ascii="Arial" w:hAnsi="Arial" w:cs="Arial"/>
          <w:sz w:val="22"/>
          <w:szCs w:val="22"/>
        </w:rPr>
        <w:t xml:space="preserve"> y dentro de este último con la creación de instrumentos y organismos que garanticen su vigencia. A nivel regional la Convención Americana sobre Derechos Humanos establece un </w:t>
      </w:r>
      <w:proofErr w:type="spellStart"/>
      <w:r w:rsidRPr="003B5760">
        <w:rPr>
          <w:rFonts w:ascii="Arial" w:hAnsi="Arial" w:cs="Arial"/>
          <w:sz w:val="22"/>
          <w:szCs w:val="22"/>
        </w:rPr>
        <w:t>catalogo</w:t>
      </w:r>
      <w:proofErr w:type="spellEnd"/>
      <w:r w:rsidRPr="003B5760">
        <w:rPr>
          <w:rFonts w:ascii="Arial" w:hAnsi="Arial" w:cs="Arial"/>
          <w:sz w:val="22"/>
          <w:szCs w:val="22"/>
        </w:rPr>
        <w:t xml:space="preserve"> de </w:t>
      </w:r>
      <w:r w:rsidR="00D0709E">
        <w:rPr>
          <w:rFonts w:ascii="Arial" w:hAnsi="Arial" w:cs="Arial"/>
          <w:sz w:val="22"/>
          <w:szCs w:val="22"/>
        </w:rPr>
        <w:t>derechos fundamentales que debe ser observado</w:t>
      </w:r>
      <w:r w:rsidRPr="003B5760">
        <w:rPr>
          <w:rFonts w:ascii="Arial" w:hAnsi="Arial" w:cs="Arial"/>
          <w:sz w:val="22"/>
          <w:szCs w:val="22"/>
        </w:rPr>
        <w:t xml:space="preserve"> </w:t>
      </w:r>
      <w:r w:rsidR="00D0709E">
        <w:rPr>
          <w:rFonts w:ascii="Arial" w:hAnsi="Arial" w:cs="Arial"/>
          <w:sz w:val="22"/>
          <w:szCs w:val="22"/>
        </w:rPr>
        <w:t>por los Estados miembros, por lo que</w:t>
      </w:r>
      <w:r w:rsidRPr="003B5760">
        <w:rPr>
          <w:rFonts w:ascii="Arial" w:hAnsi="Arial" w:cs="Arial"/>
          <w:sz w:val="22"/>
          <w:szCs w:val="22"/>
        </w:rPr>
        <w:t xml:space="preserve"> deben tomar todos los recaudos a su alcance para permitir que las personas dentro de su jurisdicción los ejerzan sin restricción alguna.</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t>La Conven</w:t>
      </w:r>
      <w:r>
        <w:rPr>
          <w:rFonts w:ascii="Arial" w:hAnsi="Arial" w:cs="Arial"/>
          <w:sz w:val="22"/>
          <w:szCs w:val="22"/>
        </w:rPr>
        <w:t>ción Americana establece</w:t>
      </w:r>
      <w:r w:rsidRPr="003B5760">
        <w:rPr>
          <w:rFonts w:ascii="Arial" w:hAnsi="Arial" w:cs="Arial"/>
          <w:sz w:val="22"/>
          <w:szCs w:val="22"/>
        </w:rPr>
        <w:t xml:space="preserve"> los órganos que forman parte del Sistema Interamericano de Derechos Humanos, estos son la Comisión Interamericana de Derechos Humanos y la Corte Interamericana de Derechos Humanos. En esta investigación de hará especial alusión al papel de la Corte IDH en la protección y respeto por los Derechos Humanos.</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t>Los Estados demuestran un serio compromiso frente a la protección de los derechos humanos al ser parte de los principales instrumentos internacionales sobre el tema, pero el formar parte de estos conlleva una serie de responsabilidades que deben ser cumplidas no solo por las obligaciones contenidas en las normas y principios del d</w:t>
      </w:r>
      <w:r>
        <w:rPr>
          <w:rFonts w:ascii="Arial" w:hAnsi="Arial" w:cs="Arial"/>
          <w:sz w:val="22"/>
          <w:szCs w:val="22"/>
        </w:rPr>
        <w:t>erecho internacional sino también por</w:t>
      </w:r>
      <w:r w:rsidRPr="003B5760">
        <w:rPr>
          <w:rFonts w:ascii="Arial" w:hAnsi="Arial" w:cs="Arial"/>
          <w:sz w:val="22"/>
          <w:szCs w:val="22"/>
        </w:rPr>
        <w:t xml:space="preserve"> una obligación que nace de la razón de ser de un Estado como tal, esta obligación se cumple con el establecimiento de todas las garantías y mecanismos necesarios para respetar los derechos humanos, sancionar a los responsables en caso de violación y reparar los daños que hayan podido sufrir las vícti</w:t>
      </w:r>
      <w:r>
        <w:rPr>
          <w:rFonts w:ascii="Arial" w:hAnsi="Arial" w:cs="Arial"/>
          <w:sz w:val="22"/>
          <w:szCs w:val="22"/>
        </w:rPr>
        <w:t>mas, esta obligación conlleva</w:t>
      </w:r>
      <w:r w:rsidRPr="003B5760">
        <w:rPr>
          <w:rFonts w:ascii="Arial" w:hAnsi="Arial" w:cs="Arial"/>
          <w:sz w:val="22"/>
          <w:szCs w:val="22"/>
        </w:rPr>
        <w:t xml:space="preserve"> además el deber de evitar que nuevas violaciones se produzcan y mantener un</w:t>
      </w:r>
      <w:r w:rsidR="00D0709E">
        <w:rPr>
          <w:rFonts w:ascii="Arial" w:hAnsi="Arial" w:cs="Arial"/>
          <w:sz w:val="22"/>
          <w:szCs w:val="22"/>
        </w:rPr>
        <w:t>a política de estado de desarrollo progresivo</w:t>
      </w:r>
      <w:r w:rsidRPr="003B5760">
        <w:rPr>
          <w:rFonts w:ascii="Arial" w:hAnsi="Arial" w:cs="Arial"/>
          <w:sz w:val="22"/>
          <w:szCs w:val="22"/>
        </w:rPr>
        <w:t xml:space="preserve"> en el reconocimiento y respeto por los derechos humanos.</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t>Cuando los Estados miembros no cumplen su deber de defender los derechos humanos provocando su vulneración y violación, las presuntas víctimas pueden acudir a los órganos del Sistema IDH. En un primer momento si los Estados no cumplen las recomendaciones de la Comisión IDH, el caso pasa a conocimiento de la Corte IDH, donde se puede determinar su responsabilidad junto con la obligación de cumplir las disposiciones contenidas en la respectiva sentencia.</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lastRenderedPageBreak/>
        <w:t>Para la vigencia y protección de los derechos humanos es importante que los Estados encontrados responsables cumplan las sentencias de la Corte IDH, ejecutándolas de forma breve y plena. En procura de que los derechos vulnerados sean respetados, la reparación que se debe otorgar a las víctimas debe ser integral, es por ello que en una primera instancia se debe verificar si la Corte IDH emplea criterios suficientes para alcanzar este nivel y estándar de reparación, y po</w:t>
      </w:r>
      <w:r>
        <w:rPr>
          <w:rFonts w:ascii="Arial" w:hAnsi="Arial" w:cs="Arial"/>
          <w:sz w:val="22"/>
          <w:szCs w:val="22"/>
        </w:rPr>
        <w:t>r otro lado determinar si</w:t>
      </w:r>
      <w:r w:rsidRPr="003B5760">
        <w:rPr>
          <w:rFonts w:ascii="Arial" w:hAnsi="Arial" w:cs="Arial"/>
          <w:sz w:val="22"/>
          <w:szCs w:val="22"/>
        </w:rPr>
        <w:t xml:space="preserve"> los Estados están cumplimiento con </w:t>
      </w:r>
      <w:r>
        <w:rPr>
          <w:rFonts w:ascii="Arial" w:hAnsi="Arial" w:cs="Arial"/>
          <w:sz w:val="22"/>
          <w:szCs w:val="22"/>
        </w:rPr>
        <w:t xml:space="preserve">todas y cada una de </w:t>
      </w:r>
      <w:r w:rsidRPr="003B5760">
        <w:rPr>
          <w:rFonts w:ascii="Arial" w:hAnsi="Arial" w:cs="Arial"/>
          <w:sz w:val="22"/>
          <w:szCs w:val="22"/>
        </w:rPr>
        <w:t>las medidas establecidas por la Corte IDH</w:t>
      </w:r>
      <w:r>
        <w:rPr>
          <w:rFonts w:ascii="Arial" w:hAnsi="Arial" w:cs="Arial"/>
          <w:sz w:val="22"/>
          <w:szCs w:val="22"/>
        </w:rPr>
        <w:t>.</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t xml:space="preserve">En la generalidad de los </w:t>
      </w:r>
      <w:r>
        <w:rPr>
          <w:rFonts w:ascii="Arial" w:hAnsi="Arial" w:cs="Arial"/>
          <w:sz w:val="22"/>
          <w:szCs w:val="22"/>
        </w:rPr>
        <w:t xml:space="preserve">fallos emitidos por </w:t>
      </w:r>
      <w:r w:rsidRPr="003B5760">
        <w:rPr>
          <w:rFonts w:ascii="Arial" w:hAnsi="Arial" w:cs="Arial"/>
          <w:sz w:val="22"/>
          <w:szCs w:val="22"/>
        </w:rPr>
        <w:t>la Corte IDH se observa una marcada tendencia en el cumplimiento parcial de las medidas de reparación por parte de los Estados responsables, si bien esta circunstancia de inicio representa una falta de cumplimiento a las disposiciones de la Convención Americana, también acarrea problemas serios y bien marcados en la región como la impunidad, además de la falta de respeto hacia las víctimas y la obligación por restituirles su dignidad y derechos violentados.</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t>El origen de esta falta de cumplimiento pleno de las sentencias de la Corte IDH bien podría generarse por la complejidad que encierra la ejecución de ciertas medidas de reparación, pero ello no es un justificativo para que los Estados no se hagan responsables de sus obligaciones internacionales.</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t xml:space="preserve">Los factores atribuibles a la falta de cumplimiento pleno de las sentencias de la Corte IDH, pueden generarse al interior del mismo Tribunal, por lo que es necesario verificar si se están empleando criterios que conlleven a una reparación integral hacia las víctimas, además de la claridad y precisión con que se expresen las medidas tendientes a tal </w:t>
      </w:r>
      <w:r w:rsidR="00D0709E">
        <w:rPr>
          <w:rFonts w:ascii="Arial" w:hAnsi="Arial" w:cs="Arial"/>
          <w:sz w:val="22"/>
          <w:szCs w:val="22"/>
        </w:rPr>
        <w:t>reparación.</w:t>
      </w:r>
      <w:r>
        <w:rPr>
          <w:rFonts w:ascii="Arial" w:hAnsi="Arial" w:cs="Arial"/>
          <w:sz w:val="22"/>
          <w:szCs w:val="22"/>
        </w:rPr>
        <w:t xml:space="preserve"> </w:t>
      </w:r>
      <w:r w:rsidR="00D0709E">
        <w:rPr>
          <w:rFonts w:ascii="Arial" w:hAnsi="Arial" w:cs="Arial"/>
          <w:sz w:val="22"/>
          <w:szCs w:val="22"/>
        </w:rPr>
        <w:t>Es</w:t>
      </w:r>
      <w:r>
        <w:rPr>
          <w:rFonts w:ascii="Arial" w:hAnsi="Arial" w:cs="Arial"/>
          <w:sz w:val="22"/>
          <w:szCs w:val="22"/>
        </w:rPr>
        <w:t xml:space="preserve"> importante </w:t>
      </w:r>
      <w:r w:rsidRPr="003B5760">
        <w:rPr>
          <w:rFonts w:ascii="Arial" w:hAnsi="Arial" w:cs="Arial"/>
          <w:sz w:val="22"/>
          <w:szCs w:val="22"/>
        </w:rPr>
        <w:t xml:space="preserve">cuestionarse </w:t>
      </w:r>
      <w:r>
        <w:rPr>
          <w:rFonts w:ascii="Arial" w:hAnsi="Arial" w:cs="Arial"/>
          <w:sz w:val="22"/>
          <w:szCs w:val="22"/>
        </w:rPr>
        <w:t>también</w:t>
      </w:r>
      <w:r w:rsidRPr="003B5760">
        <w:rPr>
          <w:rFonts w:ascii="Arial" w:hAnsi="Arial" w:cs="Arial"/>
          <w:sz w:val="22"/>
          <w:szCs w:val="22"/>
        </w:rPr>
        <w:t xml:space="preserve"> sobre la necesidad de que se reformen las medidas con las que cuenta la Corte IDH para exigir a las Estados responsables el cumplimiento de sus sentencias.</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Pr>
          <w:rFonts w:ascii="Arial" w:hAnsi="Arial" w:cs="Arial"/>
          <w:sz w:val="22"/>
          <w:szCs w:val="22"/>
        </w:rPr>
        <w:t>Por otro lado, es importante también observar</w:t>
      </w:r>
      <w:r w:rsidRPr="003B5760">
        <w:rPr>
          <w:rFonts w:ascii="Arial" w:hAnsi="Arial" w:cs="Arial"/>
          <w:sz w:val="22"/>
          <w:szCs w:val="22"/>
        </w:rPr>
        <w:t xml:space="preserve"> la posición de los Estados frente a las sentencias de la Corte IDH, indagar sobre las principales dificultades que se encuentran al momento de ejecutar las sentencias, cuestionar el papel de la voluntad pol</w:t>
      </w:r>
      <w:r>
        <w:rPr>
          <w:rFonts w:ascii="Arial" w:hAnsi="Arial" w:cs="Arial"/>
          <w:sz w:val="22"/>
          <w:szCs w:val="22"/>
        </w:rPr>
        <w:t xml:space="preserve">ítica en el cumplimiento, y </w:t>
      </w:r>
      <w:r w:rsidRPr="003B5760">
        <w:rPr>
          <w:rFonts w:ascii="Arial" w:hAnsi="Arial" w:cs="Arial"/>
          <w:sz w:val="22"/>
          <w:szCs w:val="22"/>
        </w:rPr>
        <w:t>las dificultades generadas por incompatibilidad de las normas internas de los Estados con las disposiciones de la Corte IDH.</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lastRenderedPageBreak/>
        <w:t xml:space="preserve">El observar un desarrollo desigual en materia de reparación por parte de la Corte IDH y por los Estados miembros, evidencia la necesidad de que se generen reformas normativas </w:t>
      </w:r>
      <w:r>
        <w:rPr>
          <w:rFonts w:ascii="Arial" w:hAnsi="Arial" w:cs="Arial"/>
          <w:sz w:val="22"/>
          <w:szCs w:val="22"/>
        </w:rPr>
        <w:t xml:space="preserve">e institucionales </w:t>
      </w:r>
      <w:r w:rsidRPr="003B5760">
        <w:rPr>
          <w:rFonts w:ascii="Arial" w:hAnsi="Arial" w:cs="Arial"/>
          <w:sz w:val="22"/>
          <w:szCs w:val="22"/>
        </w:rPr>
        <w:t>que permitan la ejecución plena de las sentencias de la Corte IDH y sobre todo que se impida la repetición de hechos que atentan a la vigencia de los derechos humanos.</w:t>
      </w:r>
    </w:p>
    <w:p w:rsidR="00C277A6" w:rsidRPr="003B5760" w:rsidRDefault="00C277A6" w:rsidP="00C277A6">
      <w:pPr>
        <w:pStyle w:val="Body1"/>
        <w:spacing w:line="360" w:lineRule="auto"/>
        <w:jc w:val="both"/>
        <w:rPr>
          <w:rFonts w:ascii="Arial" w:hAnsi="Arial" w:cs="Arial"/>
          <w:sz w:val="22"/>
          <w:szCs w:val="22"/>
        </w:rPr>
      </w:pPr>
    </w:p>
    <w:p w:rsidR="00C277A6" w:rsidRPr="003B5760" w:rsidRDefault="00C277A6" w:rsidP="00C277A6">
      <w:pPr>
        <w:pStyle w:val="Body1"/>
        <w:spacing w:line="360" w:lineRule="auto"/>
        <w:jc w:val="both"/>
        <w:rPr>
          <w:rFonts w:ascii="Arial" w:hAnsi="Arial" w:cs="Arial"/>
          <w:sz w:val="22"/>
          <w:szCs w:val="22"/>
        </w:rPr>
      </w:pPr>
      <w:r w:rsidRPr="003B5760">
        <w:rPr>
          <w:rFonts w:ascii="Arial" w:hAnsi="Arial" w:cs="Arial"/>
          <w:sz w:val="22"/>
          <w:szCs w:val="22"/>
        </w:rPr>
        <w:t>La protección a los derechos humanos tiende a progresar y desarrollarse con el paso del tiempo, cada vez se presentan más instrumentos, órganos y mecanismos que procuran mayores garantías. En el tema específico de la reparación</w:t>
      </w:r>
      <w:r>
        <w:rPr>
          <w:rFonts w:ascii="Arial" w:hAnsi="Arial" w:cs="Arial"/>
          <w:sz w:val="22"/>
          <w:szCs w:val="22"/>
        </w:rPr>
        <w:t>, la indemnización económica</w:t>
      </w:r>
      <w:r w:rsidRPr="003B5760">
        <w:rPr>
          <w:rFonts w:ascii="Arial" w:hAnsi="Arial" w:cs="Arial"/>
          <w:sz w:val="22"/>
          <w:szCs w:val="22"/>
        </w:rPr>
        <w:t xml:space="preserve"> no alcanza para satisfacer de manera integral a las víctimas y a la sociedad. Es necesario que se realicen evaluaciones y observaciones constantes donde se evidencien los avances que sobre la materia realizan las distintas partes involucradas, empezando desde los Estados miembros, los órganos del Sistema IDH, las organizaciones de derechos humanos y la sociedad civil en general. Un avance tan importante como el de la reparación integral requiere cambios trascendentales y significativos, observar y evaluar estos cambios, así como su implementación y correcto funcionamiento, es uno de los objetivos de esta investigación.       </w:t>
      </w:r>
    </w:p>
    <w:p w:rsidR="00C277A6" w:rsidRPr="003B5760" w:rsidRDefault="00C277A6" w:rsidP="00C277A6">
      <w:pPr>
        <w:pStyle w:val="Body1"/>
        <w:spacing w:line="360" w:lineRule="auto"/>
        <w:jc w:val="both"/>
        <w:rPr>
          <w:rFonts w:ascii="Arial" w:eastAsia="Times New Roman" w:hAnsi="Arial" w:cs="Arial"/>
          <w:color w:val="auto"/>
          <w:sz w:val="22"/>
          <w:szCs w:val="22"/>
        </w:rPr>
      </w:pPr>
      <w:r w:rsidRPr="003B5760">
        <w:rPr>
          <w:rFonts w:ascii="Arial" w:hAnsi="Arial" w:cs="Arial"/>
          <w:sz w:val="22"/>
          <w:szCs w:val="22"/>
        </w:rPr>
        <w:t xml:space="preserve">          </w:t>
      </w: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Default="00C277A6" w:rsidP="006E2069">
      <w:pPr>
        <w:pStyle w:val="Body1"/>
        <w:spacing w:before="20" w:line="276" w:lineRule="auto"/>
        <w:jc w:val="both"/>
        <w:outlineLvl w:val="0"/>
        <w:rPr>
          <w:rFonts w:ascii="Arial" w:hAnsi="Arial" w:cs="Arial"/>
          <w:b/>
          <w:sz w:val="26"/>
          <w:szCs w:val="26"/>
          <w:u w:color="000000"/>
        </w:rPr>
      </w:pPr>
    </w:p>
    <w:p w:rsidR="00C277A6" w:rsidRPr="00C277A6" w:rsidRDefault="00C277A6" w:rsidP="006E2069">
      <w:pPr>
        <w:pStyle w:val="Body1"/>
        <w:spacing w:before="20" w:line="276" w:lineRule="auto"/>
        <w:jc w:val="both"/>
        <w:outlineLvl w:val="0"/>
        <w:rPr>
          <w:rFonts w:ascii="Arial" w:hAnsi="Arial" w:cs="Arial"/>
          <w:b/>
          <w:sz w:val="26"/>
          <w:szCs w:val="26"/>
          <w:u w:color="000000"/>
        </w:rPr>
      </w:pPr>
    </w:p>
    <w:p w:rsidR="00AD346E" w:rsidRPr="006E2069" w:rsidRDefault="00AD346E" w:rsidP="00B656C2">
      <w:pPr>
        <w:pStyle w:val="Body1"/>
        <w:spacing w:before="20" w:line="360" w:lineRule="auto"/>
        <w:jc w:val="both"/>
        <w:outlineLvl w:val="0"/>
        <w:rPr>
          <w:rFonts w:ascii="Arial" w:hAnsi="Arial" w:cs="Arial"/>
          <w:b/>
          <w:sz w:val="26"/>
          <w:szCs w:val="26"/>
          <w:u w:color="000000"/>
        </w:rPr>
      </w:pPr>
      <w:r w:rsidRPr="006E2069">
        <w:rPr>
          <w:rFonts w:ascii="Arial" w:hAnsi="Arial" w:cs="Arial"/>
          <w:b/>
          <w:sz w:val="26"/>
          <w:szCs w:val="26"/>
          <w:u w:color="000000"/>
        </w:rPr>
        <w:lastRenderedPageBreak/>
        <w:t>CAPÍTULO I</w:t>
      </w:r>
    </w:p>
    <w:p w:rsidR="00AD346E" w:rsidRPr="006E2069" w:rsidRDefault="00AD346E" w:rsidP="00B656C2">
      <w:pPr>
        <w:pStyle w:val="Body1"/>
        <w:spacing w:before="20" w:line="360" w:lineRule="auto"/>
        <w:jc w:val="both"/>
        <w:outlineLvl w:val="0"/>
        <w:rPr>
          <w:rFonts w:ascii="Arial" w:hAnsi="Arial" w:cs="Arial"/>
          <w:b/>
          <w:sz w:val="26"/>
          <w:szCs w:val="26"/>
          <w:u w:color="000000"/>
        </w:rPr>
      </w:pPr>
      <w:r w:rsidRPr="006E2069">
        <w:rPr>
          <w:rFonts w:ascii="Arial" w:hAnsi="Arial" w:cs="Arial"/>
          <w:b/>
          <w:sz w:val="26"/>
          <w:szCs w:val="26"/>
          <w:u w:color="000000"/>
        </w:rPr>
        <w:t>EL DERECHO A LA REPARACI</w:t>
      </w:r>
      <w:r w:rsidR="002C556B" w:rsidRPr="006E2069">
        <w:rPr>
          <w:rFonts w:ascii="Arial" w:hAnsi="Arial" w:cs="Arial"/>
          <w:b/>
          <w:sz w:val="26"/>
          <w:szCs w:val="26"/>
          <w:u w:color="000000"/>
        </w:rPr>
        <w:t>ÓN INTEGRAL DE LAS VÍCTIMAS DE</w:t>
      </w:r>
      <w:r w:rsidR="00D630EF" w:rsidRPr="006E2069">
        <w:rPr>
          <w:rFonts w:ascii="Arial" w:hAnsi="Arial" w:cs="Arial"/>
          <w:b/>
          <w:sz w:val="26"/>
          <w:szCs w:val="26"/>
          <w:u w:color="000000"/>
        </w:rPr>
        <w:t xml:space="preserve"> </w:t>
      </w:r>
      <w:r w:rsidRPr="006E2069">
        <w:rPr>
          <w:rFonts w:ascii="Arial" w:hAnsi="Arial" w:cs="Arial"/>
          <w:b/>
          <w:sz w:val="26"/>
          <w:szCs w:val="26"/>
          <w:u w:color="000000"/>
        </w:rPr>
        <w:t xml:space="preserve">VIOLACIONES DE DERECHOS HUMANOS: ANTECEDENTES, </w:t>
      </w:r>
      <w:r w:rsidR="00D630EF" w:rsidRPr="006E2069">
        <w:rPr>
          <w:rFonts w:ascii="Arial" w:hAnsi="Arial" w:cs="Arial"/>
          <w:b/>
          <w:sz w:val="26"/>
          <w:szCs w:val="26"/>
          <w:u w:color="000000"/>
        </w:rPr>
        <w:t xml:space="preserve"> </w:t>
      </w:r>
      <w:r w:rsidRPr="006E2069">
        <w:rPr>
          <w:rFonts w:ascii="Arial" w:hAnsi="Arial" w:cs="Arial"/>
          <w:b/>
          <w:sz w:val="26"/>
          <w:szCs w:val="26"/>
          <w:u w:color="000000"/>
        </w:rPr>
        <w:t>ALCANCE, SUJETOS, ELEMENTOS Y TIPOS DE REPARACIÓN</w:t>
      </w:r>
    </w:p>
    <w:p w:rsidR="00AD346E" w:rsidRPr="00D630EF" w:rsidRDefault="00AD346E" w:rsidP="00D630EF">
      <w:pPr>
        <w:pStyle w:val="Body1"/>
        <w:spacing w:before="20" w:line="360" w:lineRule="auto"/>
        <w:ind w:firstLine="720"/>
        <w:outlineLvl w:val="0"/>
        <w:rPr>
          <w:rFonts w:ascii="Arial" w:hAnsi="Arial" w:cs="Arial"/>
          <w:sz w:val="22"/>
          <w:szCs w:val="22"/>
          <w:u w:color="000000"/>
        </w:rPr>
      </w:pPr>
    </w:p>
    <w:p w:rsidR="00AD346E" w:rsidRPr="006E2069" w:rsidRDefault="00AD346E" w:rsidP="00B656C2">
      <w:pPr>
        <w:pStyle w:val="Body1"/>
        <w:numPr>
          <w:ilvl w:val="1"/>
          <w:numId w:val="7"/>
        </w:numPr>
        <w:spacing w:before="20" w:line="360" w:lineRule="auto"/>
        <w:outlineLvl w:val="1"/>
        <w:rPr>
          <w:rFonts w:ascii="Arial" w:hAnsi="Arial" w:cs="Arial"/>
          <w:b/>
          <w:szCs w:val="24"/>
          <w:u w:color="000000"/>
        </w:rPr>
      </w:pPr>
      <w:bookmarkStart w:id="1" w:name="_Toc356432238"/>
      <w:r w:rsidRPr="006E2069">
        <w:rPr>
          <w:rFonts w:ascii="Arial" w:hAnsi="Arial" w:cs="Arial"/>
          <w:b/>
          <w:szCs w:val="24"/>
          <w:u w:color="000000"/>
        </w:rPr>
        <w:t xml:space="preserve">Antecedentes del surgimiento </w:t>
      </w:r>
      <w:r w:rsidR="00D630EF" w:rsidRPr="006E2069">
        <w:rPr>
          <w:rFonts w:ascii="Arial" w:hAnsi="Arial" w:cs="Arial"/>
          <w:b/>
          <w:szCs w:val="24"/>
          <w:u w:color="000000"/>
        </w:rPr>
        <w:t xml:space="preserve">del derecho a la reparación </w:t>
      </w:r>
      <w:r w:rsidR="00102AD1">
        <w:rPr>
          <w:rFonts w:ascii="Arial" w:hAnsi="Arial" w:cs="Arial"/>
          <w:b/>
          <w:szCs w:val="24"/>
          <w:u w:color="000000"/>
        </w:rPr>
        <w:t>integral</w:t>
      </w:r>
      <w:bookmarkEnd w:id="1"/>
    </w:p>
    <w:p w:rsidR="00AD346E" w:rsidRPr="00D630EF" w:rsidRDefault="00AD346E" w:rsidP="00244B68">
      <w:pPr>
        <w:pStyle w:val="Body1"/>
        <w:spacing w:before="20" w:line="360" w:lineRule="auto"/>
        <w:outlineLvl w:val="0"/>
        <w:rPr>
          <w:rFonts w:ascii="Arial" w:hAnsi="Arial" w:cs="Arial"/>
          <w:sz w:val="22"/>
          <w:szCs w:val="22"/>
          <w:u w:color="000000"/>
        </w:rPr>
      </w:pPr>
    </w:p>
    <w:p w:rsidR="00AD346E" w:rsidRPr="00D630EF" w:rsidRDefault="00AD346E" w:rsidP="00E026BF">
      <w:pPr>
        <w:pStyle w:val="Body1"/>
        <w:spacing w:line="360" w:lineRule="auto"/>
        <w:jc w:val="both"/>
        <w:outlineLvl w:val="0"/>
        <w:rPr>
          <w:rFonts w:ascii="Arial" w:hAnsi="Arial" w:cs="Arial"/>
          <w:sz w:val="22"/>
          <w:szCs w:val="22"/>
          <w:u w:color="000000"/>
        </w:rPr>
      </w:pPr>
      <w:r w:rsidRPr="00D630EF">
        <w:rPr>
          <w:rFonts w:ascii="Arial" w:hAnsi="Arial" w:cs="Arial"/>
          <w:sz w:val="22"/>
          <w:szCs w:val="22"/>
          <w:u w:color="000000"/>
        </w:rPr>
        <w:t>Entre los países que forman parte de la Organizaci</w:t>
      </w:r>
      <w:r w:rsidR="00A044FB">
        <w:rPr>
          <w:rFonts w:ascii="Arial" w:hAnsi="Arial" w:cs="Arial"/>
          <w:sz w:val="22"/>
          <w:szCs w:val="22"/>
          <w:u w:color="000000"/>
        </w:rPr>
        <w:t>ón de Estados Americanos, se ha</w:t>
      </w:r>
      <w:r w:rsidR="00EE067D">
        <w:rPr>
          <w:rFonts w:ascii="Arial" w:hAnsi="Arial" w:cs="Arial"/>
          <w:sz w:val="22"/>
          <w:szCs w:val="22"/>
          <w:u w:color="000000"/>
        </w:rPr>
        <w:t>n</w:t>
      </w:r>
      <w:r w:rsidRPr="00D630EF">
        <w:rPr>
          <w:rFonts w:ascii="Arial" w:hAnsi="Arial" w:cs="Arial"/>
          <w:sz w:val="22"/>
          <w:szCs w:val="22"/>
          <w:u w:color="000000"/>
        </w:rPr>
        <w:t xml:space="preserve"> evidenciado casos de violación a los derechos humanos debido</w:t>
      </w:r>
      <w:r w:rsidR="00EE067D">
        <w:rPr>
          <w:rFonts w:ascii="Arial" w:hAnsi="Arial" w:cs="Arial"/>
          <w:sz w:val="22"/>
          <w:szCs w:val="22"/>
          <w:u w:color="000000"/>
        </w:rPr>
        <w:t>,</w:t>
      </w:r>
      <w:r w:rsidRPr="00D630EF">
        <w:rPr>
          <w:rFonts w:ascii="Arial" w:hAnsi="Arial" w:cs="Arial"/>
          <w:sz w:val="22"/>
          <w:szCs w:val="22"/>
          <w:u w:color="000000"/>
        </w:rPr>
        <w:t xml:space="preserve"> en su mayor</w:t>
      </w:r>
      <w:r w:rsidR="002C556B">
        <w:rPr>
          <w:rFonts w:ascii="Arial" w:hAnsi="Arial" w:cs="Arial"/>
          <w:sz w:val="22"/>
          <w:szCs w:val="22"/>
          <w:u w:color="000000"/>
        </w:rPr>
        <w:t>ía</w:t>
      </w:r>
      <w:r w:rsidR="00EE067D">
        <w:rPr>
          <w:rFonts w:ascii="Arial" w:hAnsi="Arial" w:cs="Arial"/>
          <w:sz w:val="22"/>
          <w:szCs w:val="22"/>
          <w:u w:color="000000"/>
        </w:rPr>
        <w:t>,</w:t>
      </w:r>
      <w:r w:rsidR="002C556B">
        <w:rPr>
          <w:rFonts w:ascii="Arial" w:hAnsi="Arial" w:cs="Arial"/>
          <w:sz w:val="22"/>
          <w:szCs w:val="22"/>
          <w:u w:color="000000"/>
        </w:rPr>
        <w:t xml:space="preserve"> a excesos cometidos en periodos de dictadura</w:t>
      </w:r>
      <w:r w:rsidR="00EE067D">
        <w:rPr>
          <w:rFonts w:ascii="Arial" w:hAnsi="Arial" w:cs="Arial"/>
          <w:sz w:val="22"/>
          <w:szCs w:val="22"/>
          <w:u w:color="000000"/>
        </w:rPr>
        <w:t>s</w:t>
      </w:r>
      <w:r w:rsidRPr="00D630EF">
        <w:rPr>
          <w:rFonts w:ascii="Arial" w:hAnsi="Arial" w:cs="Arial"/>
          <w:sz w:val="22"/>
          <w:szCs w:val="22"/>
          <w:u w:color="000000"/>
        </w:rPr>
        <w:t xml:space="preserve">. Los casos que conllevan el </w:t>
      </w:r>
      <w:r w:rsidR="00D630EF" w:rsidRPr="00D630EF">
        <w:rPr>
          <w:rFonts w:ascii="Arial" w:hAnsi="Arial" w:cs="Arial"/>
          <w:sz w:val="22"/>
          <w:szCs w:val="22"/>
          <w:u w:color="000000"/>
        </w:rPr>
        <w:t>acometimiento</w:t>
      </w:r>
      <w:r w:rsidRPr="00D630EF">
        <w:rPr>
          <w:rFonts w:ascii="Arial" w:hAnsi="Arial" w:cs="Arial"/>
          <w:sz w:val="22"/>
          <w:szCs w:val="22"/>
          <w:u w:color="000000"/>
        </w:rPr>
        <w:t xml:space="preserve"> de tales violaciones han tenido diferentes desenlaces. Varios han sido presentados ante los organismos jurisdiccionales de cada uno de los Estados, otros no han sido admitidos quedando las víctimas en un estado de </w:t>
      </w:r>
      <w:r w:rsidR="00D630EF" w:rsidRPr="00D630EF">
        <w:rPr>
          <w:rFonts w:ascii="Arial" w:hAnsi="Arial" w:cs="Arial"/>
          <w:sz w:val="22"/>
          <w:szCs w:val="22"/>
          <w:u w:color="000000"/>
        </w:rPr>
        <w:t>indefensión</w:t>
      </w:r>
      <w:r w:rsidR="00A044FB">
        <w:rPr>
          <w:rFonts w:ascii="Arial" w:hAnsi="Arial" w:cs="Arial"/>
          <w:sz w:val="22"/>
          <w:szCs w:val="22"/>
          <w:u w:color="000000"/>
        </w:rPr>
        <w:t>. En  gran medida</w:t>
      </w:r>
      <w:r w:rsidRPr="00D630EF">
        <w:rPr>
          <w:rFonts w:ascii="Arial" w:hAnsi="Arial" w:cs="Arial"/>
          <w:sz w:val="22"/>
          <w:szCs w:val="22"/>
          <w:u w:color="000000"/>
        </w:rPr>
        <w:t xml:space="preserve">, los casos que han llegado a los tribunales de justicia no han sido tratados con los principios que buscan una reparación integral a las víctimas. </w:t>
      </w:r>
    </w:p>
    <w:p w:rsidR="00AD346E" w:rsidRPr="00D630EF" w:rsidRDefault="00AD346E" w:rsidP="00D630EF">
      <w:pPr>
        <w:pStyle w:val="Body1"/>
        <w:spacing w:before="20" w:line="360" w:lineRule="auto"/>
        <w:jc w:val="both"/>
        <w:outlineLvl w:val="0"/>
        <w:rPr>
          <w:rFonts w:ascii="Arial" w:hAnsi="Arial" w:cs="Arial"/>
          <w:sz w:val="22"/>
          <w:szCs w:val="22"/>
          <w:u w:color="000000"/>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Es probable que las víctimas en cuyos casos ha sido el Estado el que por acción u omisión </w:t>
      </w:r>
      <w:proofErr w:type="spellStart"/>
      <w:r w:rsidRPr="00D630EF">
        <w:rPr>
          <w:rFonts w:ascii="Arial" w:hAnsi="Arial" w:cs="Arial"/>
          <w:sz w:val="22"/>
          <w:szCs w:val="22"/>
          <w:u w:color="000000"/>
        </w:rPr>
        <w:t>a</w:t>
      </w:r>
      <w:proofErr w:type="spellEnd"/>
      <w:r w:rsidRPr="00D630EF">
        <w:rPr>
          <w:rFonts w:ascii="Arial" w:hAnsi="Arial" w:cs="Arial"/>
          <w:sz w:val="22"/>
          <w:szCs w:val="22"/>
          <w:u w:color="000000"/>
        </w:rPr>
        <w:t xml:space="preserve"> vulnerado sus derech</w:t>
      </w:r>
      <w:r w:rsidR="00A044FB">
        <w:rPr>
          <w:rFonts w:ascii="Arial" w:hAnsi="Arial" w:cs="Arial"/>
          <w:sz w:val="22"/>
          <w:szCs w:val="22"/>
          <w:u w:color="000000"/>
        </w:rPr>
        <w:t>os humanos, no confíen en las de</w:t>
      </w:r>
      <w:r w:rsidRPr="00D630EF">
        <w:rPr>
          <w:rFonts w:ascii="Arial" w:hAnsi="Arial" w:cs="Arial"/>
          <w:sz w:val="22"/>
          <w:szCs w:val="22"/>
          <w:u w:color="000000"/>
        </w:rPr>
        <w:t>ci</w:t>
      </w:r>
      <w:r w:rsidR="00A044FB">
        <w:rPr>
          <w:rFonts w:ascii="Arial" w:hAnsi="Arial" w:cs="Arial"/>
          <w:sz w:val="22"/>
          <w:szCs w:val="22"/>
          <w:u w:color="000000"/>
        </w:rPr>
        <w:t>si</w:t>
      </w:r>
      <w:r w:rsidRPr="00D630EF">
        <w:rPr>
          <w:rFonts w:ascii="Arial" w:hAnsi="Arial" w:cs="Arial"/>
          <w:sz w:val="22"/>
          <w:szCs w:val="22"/>
          <w:u w:color="000000"/>
        </w:rPr>
        <w:t>ones que provienen de los órganos jurisdiccio</w:t>
      </w:r>
      <w:r w:rsidR="00A044FB">
        <w:rPr>
          <w:rFonts w:ascii="Arial" w:hAnsi="Arial" w:cs="Arial"/>
          <w:sz w:val="22"/>
          <w:szCs w:val="22"/>
          <w:u w:color="000000"/>
        </w:rPr>
        <w:t>nales de los mismos</w:t>
      </w:r>
      <w:r w:rsidR="00D630EF">
        <w:rPr>
          <w:rFonts w:ascii="Arial" w:hAnsi="Arial" w:cs="Arial"/>
          <w:sz w:val="22"/>
          <w:szCs w:val="22"/>
          <w:u w:color="000000"/>
        </w:rPr>
        <w:t xml:space="preserve"> por</w:t>
      </w:r>
      <w:r w:rsidRPr="00D630EF">
        <w:rPr>
          <w:rFonts w:ascii="Arial" w:hAnsi="Arial" w:cs="Arial"/>
          <w:sz w:val="22"/>
          <w:szCs w:val="22"/>
          <w:u w:color="000000"/>
        </w:rPr>
        <w:t>q</w:t>
      </w:r>
      <w:r w:rsidR="00EE067D">
        <w:rPr>
          <w:rFonts w:ascii="Arial" w:hAnsi="Arial" w:cs="Arial"/>
          <w:sz w:val="22"/>
          <w:szCs w:val="22"/>
          <w:u w:color="000000"/>
        </w:rPr>
        <w:t>ue existe algún tipo de desconfianza</w:t>
      </w:r>
      <w:r w:rsidRPr="00D630EF">
        <w:rPr>
          <w:rFonts w:ascii="Arial" w:hAnsi="Arial" w:cs="Arial"/>
          <w:sz w:val="22"/>
          <w:szCs w:val="22"/>
          <w:u w:color="000000"/>
        </w:rPr>
        <w:t xml:space="preserve">; en tales casos las víctimas </w:t>
      </w:r>
      <w:r w:rsidR="00A044FB">
        <w:rPr>
          <w:rFonts w:ascii="Arial" w:hAnsi="Arial" w:cs="Arial"/>
          <w:sz w:val="22"/>
          <w:szCs w:val="22"/>
          <w:u w:color="000000"/>
        </w:rPr>
        <w:t xml:space="preserve">ya </w:t>
      </w:r>
      <w:r w:rsidRPr="00D630EF">
        <w:rPr>
          <w:rFonts w:ascii="Arial" w:hAnsi="Arial" w:cs="Arial"/>
          <w:sz w:val="22"/>
          <w:szCs w:val="22"/>
          <w:u w:color="000000"/>
        </w:rPr>
        <w:t>no esperan que estos órganos reconozcan la responsabilidad de los Estados en las violaciones cometidas, situación que además puede presentarse por presiones políticas e interes</w:t>
      </w:r>
      <w:r w:rsidR="00EE067D">
        <w:rPr>
          <w:rFonts w:ascii="Arial" w:hAnsi="Arial" w:cs="Arial"/>
          <w:sz w:val="22"/>
          <w:szCs w:val="22"/>
          <w:u w:color="000000"/>
        </w:rPr>
        <w:t>es particulares</w:t>
      </w:r>
      <w:r w:rsidR="00A044FB">
        <w:rPr>
          <w:rFonts w:ascii="Arial" w:hAnsi="Arial" w:cs="Arial"/>
          <w:sz w:val="22"/>
          <w:szCs w:val="22"/>
          <w:u w:color="000000"/>
        </w:rPr>
        <w:t>. El acudir a</w:t>
      </w:r>
      <w:r w:rsidRPr="00D630EF">
        <w:rPr>
          <w:rFonts w:ascii="Arial" w:hAnsi="Arial" w:cs="Arial"/>
          <w:sz w:val="22"/>
          <w:szCs w:val="22"/>
          <w:u w:color="000000"/>
        </w:rPr>
        <w:t xml:space="preserve"> órganos</w:t>
      </w:r>
      <w:r w:rsidR="00A044FB">
        <w:rPr>
          <w:rFonts w:ascii="Arial" w:hAnsi="Arial" w:cs="Arial"/>
          <w:sz w:val="22"/>
          <w:szCs w:val="22"/>
          <w:u w:color="000000"/>
        </w:rPr>
        <w:t xml:space="preserve"> jurisdiccionales internos</w:t>
      </w:r>
      <w:r w:rsidRPr="00D630EF">
        <w:rPr>
          <w:rFonts w:ascii="Arial" w:hAnsi="Arial" w:cs="Arial"/>
          <w:sz w:val="22"/>
          <w:szCs w:val="22"/>
          <w:u w:color="000000"/>
        </w:rPr>
        <w:t xml:space="preserve"> constituye </w:t>
      </w:r>
      <w:r w:rsidR="00A044FB">
        <w:rPr>
          <w:rFonts w:ascii="Arial" w:hAnsi="Arial" w:cs="Arial"/>
          <w:sz w:val="22"/>
          <w:szCs w:val="22"/>
          <w:u w:color="000000"/>
        </w:rPr>
        <w:t xml:space="preserve">para muchas víctimas </w:t>
      </w:r>
      <w:r w:rsidRPr="00D630EF">
        <w:rPr>
          <w:rFonts w:ascii="Arial" w:hAnsi="Arial" w:cs="Arial"/>
          <w:sz w:val="22"/>
          <w:szCs w:val="22"/>
          <w:u w:color="000000"/>
        </w:rPr>
        <w:t xml:space="preserve">un </w:t>
      </w:r>
      <w:r w:rsidR="00A044FB">
        <w:rPr>
          <w:rFonts w:ascii="Arial" w:hAnsi="Arial" w:cs="Arial"/>
          <w:sz w:val="22"/>
          <w:szCs w:val="22"/>
          <w:u w:color="000000"/>
        </w:rPr>
        <w:t xml:space="preserve">simple </w:t>
      </w:r>
      <w:r w:rsidRPr="00D630EF">
        <w:rPr>
          <w:rFonts w:ascii="Arial" w:hAnsi="Arial" w:cs="Arial"/>
          <w:sz w:val="22"/>
          <w:szCs w:val="22"/>
          <w:u w:color="000000"/>
        </w:rPr>
        <w:t xml:space="preserve">trámite cuyo desenlace es la posibilidad de </w:t>
      </w:r>
      <w:r w:rsidR="00A044FB">
        <w:rPr>
          <w:rFonts w:ascii="Arial" w:hAnsi="Arial" w:cs="Arial"/>
          <w:sz w:val="22"/>
          <w:szCs w:val="22"/>
          <w:u w:color="000000"/>
        </w:rPr>
        <w:t>presentar sus casos ante organismos internacionales, donde la</w:t>
      </w:r>
      <w:r w:rsidRPr="00D630EF">
        <w:rPr>
          <w:rFonts w:ascii="Arial" w:hAnsi="Arial" w:cs="Arial"/>
          <w:sz w:val="22"/>
          <w:szCs w:val="22"/>
          <w:u w:color="000000"/>
        </w:rPr>
        <w:t xml:space="preserve"> sola admisión ya representa en sí un paso importante hacia una eventual reparación de sus derechos. La naturaleza internacional de la CIDH y la Corte IDH, da a la víctima una certeza de que sus decisiones estarán exentas de presiones políticas</w:t>
      </w:r>
      <w:r w:rsidR="00A044FB">
        <w:rPr>
          <w:rFonts w:ascii="Arial" w:hAnsi="Arial" w:cs="Arial"/>
          <w:sz w:val="22"/>
          <w:szCs w:val="22"/>
          <w:u w:color="000000"/>
        </w:rPr>
        <w:t xml:space="preserve"> internas</w:t>
      </w:r>
      <w:r w:rsidRPr="00D630EF">
        <w:rPr>
          <w:rFonts w:ascii="Arial" w:hAnsi="Arial" w:cs="Arial"/>
          <w:sz w:val="22"/>
          <w:szCs w:val="22"/>
          <w:u w:color="000000"/>
        </w:rPr>
        <w:t xml:space="preserve">, </w:t>
      </w:r>
      <w:r w:rsidR="00D630EF" w:rsidRPr="00D630EF">
        <w:rPr>
          <w:rFonts w:ascii="Arial" w:hAnsi="Arial" w:cs="Arial"/>
          <w:sz w:val="22"/>
          <w:szCs w:val="22"/>
          <w:u w:color="000000"/>
        </w:rPr>
        <w:t>además</w:t>
      </w:r>
      <w:r w:rsidRPr="00D630EF">
        <w:rPr>
          <w:rFonts w:ascii="Arial" w:hAnsi="Arial" w:cs="Arial"/>
          <w:sz w:val="22"/>
          <w:szCs w:val="22"/>
          <w:u w:color="000000"/>
        </w:rPr>
        <w:t xml:space="preserve"> en la mayoría de los casos entre las víctimas existe la noción de que por ser ins</w:t>
      </w:r>
      <w:r w:rsidR="005C29F1">
        <w:rPr>
          <w:rFonts w:ascii="Arial" w:hAnsi="Arial" w:cs="Arial"/>
          <w:sz w:val="22"/>
          <w:szCs w:val="22"/>
          <w:u w:color="000000"/>
        </w:rPr>
        <w:t>tancias internacionales, tendrán mayor injerencia sobre los E</w:t>
      </w:r>
      <w:r w:rsidRPr="00D630EF">
        <w:rPr>
          <w:rFonts w:ascii="Arial" w:hAnsi="Arial" w:cs="Arial"/>
          <w:sz w:val="22"/>
          <w:szCs w:val="22"/>
          <w:u w:color="000000"/>
        </w:rPr>
        <w:t>stados responsables en el sentido de que sus decisiones deberían ser de obligatorio e inmediato cumplimiento, situación que en ciertos aspectos difiere de la realidad.</w:t>
      </w:r>
    </w:p>
    <w:p w:rsidR="00AD346E" w:rsidRPr="00D630EF" w:rsidRDefault="00AD346E" w:rsidP="00D630EF">
      <w:pPr>
        <w:pStyle w:val="Body1"/>
        <w:spacing w:before="20" w:line="360" w:lineRule="auto"/>
        <w:jc w:val="both"/>
        <w:outlineLvl w:val="0"/>
        <w:rPr>
          <w:rFonts w:ascii="Arial" w:hAnsi="Arial" w:cs="Arial"/>
          <w:sz w:val="22"/>
          <w:szCs w:val="22"/>
          <w:u w:color="000000"/>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En varios países, dentro de la circunscrip</w:t>
      </w:r>
      <w:r w:rsidR="00A044FB">
        <w:rPr>
          <w:rFonts w:ascii="Arial" w:hAnsi="Arial" w:cs="Arial"/>
          <w:sz w:val="22"/>
          <w:szCs w:val="22"/>
          <w:u w:color="000000"/>
        </w:rPr>
        <w:t xml:space="preserve">ción en referencia, sus autoridades </w:t>
      </w:r>
      <w:r w:rsidRPr="00D630EF">
        <w:rPr>
          <w:rFonts w:ascii="Arial" w:hAnsi="Arial" w:cs="Arial"/>
          <w:sz w:val="22"/>
          <w:szCs w:val="22"/>
          <w:u w:color="000000"/>
        </w:rPr>
        <w:t xml:space="preserve">han presentado proyectos que </w:t>
      </w:r>
      <w:r w:rsidR="0067354C" w:rsidRPr="00D630EF">
        <w:rPr>
          <w:rFonts w:ascii="Arial" w:hAnsi="Arial" w:cs="Arial"/>
          <w:sz w:val="22"/>
          <w:szCs w:val="22"/>
          <w:u w:color="000000"/>
        </w:rPr>
        <w:t>más</w:t>
      </w:r>
      <w:r w:rsidRPr="00D630EF">
        <w:rPr>
          <w:rFonts w:ascii="Arial" w:hAnsi="Arial" w:cs="Arial"/>
          <w:sz w:val="22"/>
          <w:szCs w:val="22"/>
          <w:u w:color="000000"/>
        </w:rPr>
        <w:t xml:space="preserve"> bien benefician la inmunidad  de los responsables antes que planes de reparación integral haci</w:t>
      </w:r>
      <w:r w:rsidR="00A044FB">
        <w:rPr>
          <w:rFonts w:ascii="Arial" w:hAnsi="Arial" w:cs="Arial"/>
          <w:sz w:val="22"/>
          <w:szCs w:val="22"/>
          <w:u w:color="000000"/>
        </w:rPr>
        <w:t>a las víctimas. Los hechos referentes a la</w:t>
      </w:r>
      <w:r w:rsidRPr="00D630EF">
        <w:rPr>
          <w:rFonts w:ascii="Arial" w:hAnsi="Arial" w:cs="Arial"/>
          <w:sz w:val="22"/>
          <w:szCs w:val="22"/>
          <w:u w:color="000000"/>
        </w:rPr>
        <w:t xml:space="preserve"> violación </w:t>
      </w:r>
      <w:r w:rsidRPr="00D630EF">
        <w:rPr>
          <w:rFonts w:ascii="Arial" w:hAnsi="Arial" w:cs="Arial"/>
          <w:sz w:val="22"/>
          <w:szCs w:val="22"/>
          <w:u w:color="000000"/>
        </w:rPr>
        <w:lastRenderedPageBreak/>
        <w:t xml:space="preserve">de derechos humanos y la posición de los Estados frente a las víctimas </w:t>
      </w:r>
      <w:r w:rsidR="00EE067D">
        <w:rPr>
          <w:rFonts w:ascii="Arial" w:hAnsi="Arial" w:cs="Arial"/>
          <w:sz w:val="22"/>
          <w:szCs w:val="22"/>
          <w:u w:color="000000"/>
        </w:rPr>
        <w:t>h</w:t>
      </w:r>
      <w:r w:rsidRPr="00D630EF">
        <w:rPr>
          <w:rFonts w:ascii="Arial" w:hAnsi="Arial" w:cs="Arial"/>
          <w:sz w:val="22"/>
          <w:szCs w:val="22"/>
          <w:u w:color="000000"/>
        </w:rPr>
        <w:t xml:space="preserve">a </w:t>
      </w:r>
      <w:r w:rsidR="00A044FB">
        <w:rPr>
          <w:rFonts w:ascii="Arial" w:hAnsi="Arial" w:cs="Arial"/>
          <w:sz w:val="22"/>
          <w:szCs w:val="22"/>
          <w:u w:color="000000"/>
        </w:rPr>
        <w:t>generado</w:t>
      </w:r>
      <w:r w:rsidRPr="00D630EF">
        <w:rPr>
          <w:rFonts w:ascii="Arial" w:hAnsi="Arial" w:cs="Arial"/>
          <w:sz w:val="22"/>
          <w:szCs w:val="22"/>
          <w:u w:color="000000"/>
        </w:rPr>
        <w:t xml:space="preserve"> criterio</w:t>
      </w:r>
      <w:r w:rsidR="00A044FB">
        <w:rPr>
          <w:rFonts w:ascii="Arial" w:hAnsi="Arial" w:cs="Arial"/>
          <w:sz w:val="22"/>
          <w:szCs w:val="22"/>
          <w:u w:color="000000"/>
        </w:rPr>
        <w:t>s</w:t>
      </w:r>
      <w:r w:rsidRPr="00D630EF">
        <w:rPr>
          <w:rFonts w:ascii="Arial" w:hAnsi="Arial" w:cs="Arial"/>
          <w:sz w:val="22"/>
          <w:szCs w:val="22"/>
          <w:u w:color="000000"/>
        </w:rPr>
        <w:t xml:space="preserve"> por parte de </w:t>
      </w:r>
      <w:proofErr w:type="spellStart"/>
      <w:r w:rsidRPr="00D630EF">
        <w:rPr>
          <w:rFonts w:ascii="Arial" w:hAnsi="Arial" w:cs="Arial"/>
          <w:sz w:val="22"/>
          <w:szCs w:val="22"/>
          <w:u w:color="000000"/>
        </w:rPr>
        <w:t>ONGs</w:t>
      </w:r>
      <w:proofErr w:type="spellEnd"/>
      <w:r w:rsidRPr="00D630EF">
        <w:rPr>
          <w:rFonts w:ascii="Arial" w:hAnsi="Arial" w:cs="Arial"/>
          <w:sz w:val="22"/>
          <w:szCs w:val="22"/>
          <w:u w:color="000000"/>
        </w:rPr>
        <w:t>, organismos internacionales y estudiosos vinculados al tratamiento y protec</w:t>
      </w:r>
      <w:r w:rsidR="00A044FB">
        <w:rPr>
          <w:rFonts w:ascii="Arial" w:hAnsi="Arial" w:cs="Arial"/>
          <w:sz w:val="22"/>
          <w:szCs w:val="22"/>
          <w:u w:color="000000"/>
        </w:rPr>
        <w:t>ción de los derechos humanos, en cuanto a</w:t>
      </w:r>
      <w:r w:rsidRPr="00D630EF">
        <w:rPr>
          <w:rFonts w:ascii="Arial" w:hAnsi="Arial" w:cs="Arial"/>
          <w:sz w:val="22"/>
          <w:szCs w:val="22"/>
          <w:u w:color="000000"/>
        </w:rPr>
        <w:t xml:space="preserve"> la existencia de obstáculos para lograr la judicialización de los responsables y el establecimiento de una verdadera tutela judicial hacia las víctimas. No se trata de generar una opinión cerrada en el sentido de que en todos los casos en que se alegue la violación de derechos humanos, los órganos jurisdiccionales deben inmediatamente asumir una posición en extremo beneficiosa hacia la víctima, no hay que olvidar que la justicia debe ser imparcial y por tanto los pronunciamientos de las autoridades deben ser motivados basándose en hechos, pruebas y en aplicación de criterios jurídicos alejados de cualquier tipo de presión e influencia externa.</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La marcada tendencia a olvidar los hechos de violencia y los numerosos casos de i</w:t>
      </w:r>
      <w:r w:rsidR="00E026BF">
        <w:rPr>
          <w:rFonts w:ascii="Arial" w:hAnsi="Arial" w:cs="Arial"/>
          <w:sz w:val="22"/>
          <w:szCs w:val="22"/>
          <w:u w:color="000000"/>
        </w:rPr>
        <w:t xml:space="preserve">mpunidad </w:t>
      </w:r>
      <w:proofErr w:type="gramStart"/>
      <w:r w:rsidR="00E026BF">
        <w:rPr>
          <w:rFonts w:ascii="Arial" w:hAnsi="Arial" w:cs="Arial"/>
          <w:sz w:val="22"/>
          <w:szCs w:val="22"/>
          <w:u w:color="000000"/>
        </w:rPr>
        <w:t>ha</w:t>
      </w:r>
      <w:r w:rsidR="005C29F1">
        <w:rPr>
          <w:rFonts w:ascii="Arial" w:hAnsi="Arial" w:cs="Arial"/>
          <w:sz w:val="22"/>
          <w:szCs w:val="22"/>
          <w:u w:color="000000"/>
        </w:rPr>
        <w:t>n</w:t>
      </w:r>
      <w:proofErr w:type="gramEnd"/>
      <w:r w:rsidRPr="00D630EF">
        <w:rPr>
          <w:rFonts w:ascii="Arial" w:hAnsi="Arial" w:cs="Arial"/>
          <w:sz w:val="22"/>
          <w:szCs w:val="22"/>
          <w:u w:color="000000"/>
        </w:rPr>
        <w:t xml:space="preserve"> motivado a varios órganos internacionales que velan por la protección y vigencia de los derechos humanos a emitir info</w:t>
      </w:r>
      <w:r w:rsidR="00A044FB">
        <w:rPr>
          <w:rFonts w:ascii="Arial" w:hAnsi="Arial" w:cs="Arial"/>
          <w:sz w:val="22"/>
          <w:szCs w:val="22"/>
          <w:u w:color="000000"/>
        </w:rPr>
        <w:t xml:space="preserve">rmes, normativa, </w:t>
      </w:r>
      <w:r w:rsidR="00A044FB" w:rsidRPr="00D630EF">
        <w:rPr>
          <w:rFonts w:ascii="Arial" w:hAnsi="Arial" w:cs="Arial"/>
          <w:sz w:val="22"/>
          <w:szCs w:val="22"/>
          <w:u w:color="000000"/>
        </w:rPr>
        <w:t>instrumentos</w:t>
      </w:r>
      <w:r w:rsidR="00A044FB">
        <w:rPr>
          <w:rFonts w:ascii="Arial" w:hAnsi="Arial" w:cs="Arial"/>
          <w:sz w:val="22"/>
          <w:szCs w:val="22"/>
          <w:u w:color="000000"/>
        </w:rPr>
        <w:t>, principios</w:t>
      </w:r>
      <w:r w:rsidR="00AE57A7">
        <w:rPr>
          <w:rFonts w:ascii="Arial" w:hAnsi="Arial" w:cs="Arial"/>
          <w:sz w:val="22"/>
          <w:szCs w:val="22"/>
          <w:u w:color="000000"/>
        </w:rPr>
        <w:t xml:space="preserve"> e</w:t>
      </w:r>
      <w:r w:rsidR="00A044FB">
        <w:rPr>
          <w:rFonts w:ascii="Arial" w:hAnsi="Arial" w:cs="Arial"/>
          <w:sz w:val="22"/>
          <w:szCs w:val="22"/>
          <w:u w:color="000000"/>
        </w:rPr>
        <w:t xml:space="preserve"> instructivos </w:t>
      </w:r>
      <w:r w:rsidRPr="00D630EF">
        <w:rPr>
          <w:rFonts w:ascii="Arial" w:hAnsi="Arial" w:cs="Arial"/>
          <w:sz w:val="22"/>
          <w:szCs w:val="22"/>
          <w:u w:color="000000"/>
        </w:rPr>
        <w:t xml:space="preserve"> </w:t>
      </w:r>
      <w:r w:rsidR="00AE57A7">
        <w:rPr>
          <w:rFonts w:ascii="Arial" w:hAnsi="Arial" w:cs="Arial"/>
          <w:sz w:val="22"/>
          <w:szCs w:val="22"/>
          <w:u w:color="000000"/>
        </w:rPr>
        <w:t xml:space="preserve">que alienten la protección de los derechos humanos </w:t>
      </w:r>
      <w:r w:rsidRPr="00D630EF">
        <w:rPr>
          <w:rFonts w:ascii="Arial" w:hAnsi="Arial" w:cs="Arial"/>
          <w:sz w:val="22"/>
          <w:szCs w:val="22"/>
          <w:u w:color="000000"/>
        </w:rPr>
        <w:t xml:space="preserve">y lograr la realización de la justicia. </w:t>
      </w:r>
    </w:p>
    <w:p w:rsidR="00AD346E" w:rsidRPr="00D630EF" w:rsidRDefault="00AD346E" w:rsidP="00D630EF">
      <w:pPr>
        <w:pStyle w:val="Body1"/>
        <w:spacing w:before="20" w:line="360" w:lineRule="auto"/>
        <w:jc w:val="both"/>
        <w:outlineLvl w:val="0"/>
        <w:rPr>
          <w:rFonts w:ascii="Arial" w:hAnsi="Arial" w:cs="Arial"/>
          <w:sz w:val="22"/>
          <w:szCs w:val="22"/>
          <w:u w:color="000000"/>
        </w:rPr>
      </w:pPr>
    </w:p>
    <w:p w:rsidR="00AD346E"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Las Naciones Unidas inician el tratamiento de la impunidad en el año de 1991, encarga</w:t>
      </w:r>
      <w:r w:rsidR="00EE067D">
        <w:rPr>
          <w:rFonts w:ascii="Arial" w:hAnsi="Arial" w:cs="Arial"/>
          <w:sz w:val="22"/>
          <w:szCs w:val="22"/>
          <w:u w:color="000000"/>
        </w:rPr>
        <w:t>n</w:t>
      </w:r>
      <w:r w:rsidRPr="00D630EF">
        <w:rPr>
          <w:rFonts w:ascii="Arial" w:hAnsi="Arial" w:cs="Arial"/>
          <w:sz w:val="22"/>
          <w:szCs w:val="22"/>
          <w:u w:color="000000"/>
        </w:rPr>
        <w:t xml:space="preserve">do </w:t>
      </w:r>
      <w:r w:rsidR="00AE57A7" w:rsidRPr="00D630EF">
        <w:rPr>
          <w:rFonts w:ascii="Arial" w:hAnsi="Arial" w:cs="Arial"/>
          <w:sz w:val="22"/>
          <w:szCs w:val="22"/>
          <w:u w:color="000000"/>
        </w:rPr>
        <w:t xml:space="preserve">de forma oficial </w:t>
      </w:r>
      <w:r w:rsidRPr="00D630EF">
        <w:rPr>
          <w:rFonts w:ascii="Arial" w:hAnsi="Arial" w:cs="Arial"/>
          <w:sz w:val="22"/>
          <w:szCs w:val="22"/>
          <w:u w:color="000000"/>
        </w:rPr>
        <w:t xml:space="preserve">al experto Louis </w:t>
      </w:r>
      <w:proofErr w:type="spellStart"/>
      <w:r w:rsidRPr="00D630EF">
        <w:rPr>
          <w:rFonts w:ascii="Arial" w:hAnsi="Arial" w:cs="Arial"/>
          <w:sz w:val="22"/>
          <w:szCs w:val="22"/>
          <w:u w:color="000000"/>
        </w:rPr>
        <w:t>Joinet</w:t>
      </w:r>
      <w:proofErr w:type="spellEnd"/>
      <w:r w:rsidRPr="00D630EF">
        <w:rPr>
          <w:rFonts w:ascii="Arial" w:hAnsi="Arial" w:cs="Arial"/>
          <w:sz w:val="22"/>
          <w:szCs w:val="22"/>
          <w:u w:color="000000"/>
        </w:rPr>
        <w:t xml:space="preserve"> la elaboración de varios documentos, acogiendo </w:t>
      </w:r>
      <w:r w:rsidR="00D630EF" w:rsidRPr="00D630EF">
        <w:rPr>
          <w:rFonts w:ascii="Arial" w:hAnsi="Arial" w:cs="Arial"/>
          <w:sz w:val="22"/>
          <w:szCs w:val="22"/>
          <w:u w:color="000000"/>
        </w:rPr>
        <w:t>además</w:t>
      </w:r>
      <w:r w:rsidRPr="00D630EF">
        <w:rPr>
          <w:rFonts w:ascii="Arial" w:hAnsi="Arial" w:cs="Arial"/>
          <w:sz w:val="22"/>
          <w:szCs w:val="22"/>
          <w:u w:color="000000"/>
        </w:rPr>
        <w:t xml:space="preserve"> informes de </w:t>
      </w:r>
      <w:proofErr w:type="spellStart"/>
      <w:r w:rsidRPr="00D630EF">
        <w:rPr>
          <w:rFonts w:ascii="Arial" w:hAnsi="Arial" w:cs="Arial"/>
          <w:sz w:val="22"/>
          <w:szCs w:val="22"/>
          <w:u w:color="000000"/>
        </w:rPr>
        <w:t>ONGs</w:t>
      </w:r>
      <w:proofErr w:type="spellEnd"/>
      <w:r w:rsidRPr="00D630EF">
        <w:rPr>
          <w:rFonts w:ascii="Arial" w:hAnsi="Arial" w:cs="Arial"/>
          <w:sz w:val="22"/>
          <w:szCs w:val="22"/>
          <w:u w:color="000000"/>
        </w:rPr>
        <w:t xml:space="preserve"> que han </w:t>
      </w:r>
      <w:proofErr w:type="spellStart"/>
      <w:r w:rsidRPr="00D630EF">
        <w:rPr>
          <w:rFonts w:ascii="Arial" w:hAnsi="Arial" w:cs="Arial"/>
          <w:sz w:val="22"/>
          <w:szCs w:val="22"/>
          <w:u w:color="000000"/>
        </w:rPr>
        <w:t>aportando</w:t>
      </w:r>
      <w:proofErr w:type="spellEnd"/>
      <w:r w:rsidRPr="00D630EF">
        <w:rPr>
          <w:rFonts w:ascii="Arial" w:hAnsi="Arial" w:cs="Arial"/>
          <w:sz w:val="22"/>
          <w:szCs w:val="22"/>
          <w:u w:color="000000"/>
        </w:rPr>
        <w:t xml:space="preserve"> en la reflexión del tema</w:t>
      </w:r>
      <w:r w:rsidR="00530F8A">
        <w:rPr>
          <w:rStyle w:val="Refdenotaalpie"/>
          <w:rFonts w:ascii="Arial" w:hAnsi="Arial" w:cs="Arial"/>
          <w:sz w:val="22"/>
          <w:szCs w:val="22"/>
          <w:u w:color="000000"/>
        </w:rPr>
        <w:footnoteReference w:id="1"/>
      </w:r>
      <w:r w:rsidRPr="00D630EF">
        <w:rPr>
          <w:rFonts w:ascii="Arial" w:hAnsi="Arial" w:cs="Arial"/>
          <w:sz w:val="22"/>
          <w:szCs w:val="22"/>
          <w:u w:color="000000"/>
        </w:rPr>
        <w:t xml:space="preserve">. </w:t>
      </w:r>
    </w:p>
    <w:p w:rsidR="00B228E7" w:rsidRPr="00D630EF" w:rsidRDefault="00B228E7" w:rsidP="009D5ED1">
      <w:pPr>
        <w:pStyle w:val="Body1"/>
        <w:spacing w:before="20" w:line="360" w:lineRule="auto"/>
        <w:jc w:val="both"/>
        <w:outlineLvl w:val="0"/>
        <w:rPr>
          <w:rFonts w:ascii="Arial" w:hAnsi="Arial" w:cs="Arial"/>
          <w:sz w:val="22"/>
          <w:szCs w:val="22"/>
          <w:u w:val="single" w:color="000000"/>
        </w:rPr>
      </w:pPr>
    </w:p>
    <w:p w:rsidR="00B228E7" w:rsidRPr="00D630EF" w:rsidRDefault="00B228E7" w:rsidP="00B228E7">
      <w:pPr>
        <w:pStyle w:val="Body1"/>
        <w:spacing w:line="360" w:lineRule="auto"/>
        <w:jc w:val="both"/>
        <w:rPr>
          <w:rFonts w:ascii="Arial" w:hAnsi="Arial" w:cs="Arial"/>
          <w:sz w:val="22"/>
          <w:szCs w:val="22"/>
        </w:rPr>
      </w:pPr>
      <w:r>
        <w:rPr>
          <w:rFonts w:ascii="Arial" w:hAnsi="Arial" w:cs="Arial"/>
          <w:sz w:val="22"/>
          <w:szCs w:val="22"/>
        </w:rPr>
        <w:t>Por otro lado, desde sus primeras decisiones, la Corte IDH consideró que existen medidas de reparación además de la indemnización pecuniaria. Por ejemplo, en los casos Velásquez Rodríguez</w:t>
      </w:r>
      <w:r>
        <w:rPr>
          <w:rStyle w:val="Refdenotaalpie"/>
          <w:rFonts w:ascii="Arial" w:hAnsi="Arial" w:cs="Arial"/>
          <w:sz w:val="22"/>
          <w:szCs w:val="22"/>
        </w:rPr>
        <w:footnoteReference w:id="2"/>
      </w:r>
      <w:r>
        <w:rPr>
          <w:rFonts w:ascii="Arial" w:hAnsi="Arial" w:cs="Arial"/>
          <w:sz w:val="22"/>
          <w:szCs w:val="22"/>
        </w:rPr>
        <w:t xml:space="preserve"> y Godínez Cruz</w:t>
      </w:r>
      <w:r>
        <w:rPr>
          <w:rStyle w:val="Refdenotaalpie"/>
          <w:rFonts w:ascii="Arial" w:hAnsi="Arial" w:cs="Arial"/>
          <w:sz w:val="22"/>
          <w:szCs w:val="22"/>
        </w:rPr>
        <w:footnoteReference w:id="3"/>
      </w:r>
      <w:r>
        <w:rPr>
          <w:rFonts w:ascii="Arial" w:hAnsi="Arial" w:cs="Arial"/>
          <w:sz w:val="22"/>
          <w:szCs w:val="22"/>
        </w:rPr>
        <w:t xml:space="preserve">. En el caso </w:t>
      </w:r>
      <w:proofErr w:type="spellStart"/>
      <w:r>
        <w:rPr>
          <w:rFonts w:ascii="Arial" w:hAnsi="Arial" w:cs="Arial"/>
          <w:sz w:val="22"/>
          <w:szCs w:val="22"/>
        </w:rPr>
        <w:t>Aloeboetoe</w:t>
      </w:r>
      <w:proofErr w:type="spellEnd"/>
      <w:r>
        <w:rPr>
          <w:rFonts w:ascii="Arial" w:hAnsi="Arial" w:cs="Arial"/>
          <w:sz w:val="22"/>
          <w:szCs w:val="22"/>
        </w:rPr>
        <w:t xml:space="preserve"> y otros, la Corte IDH señaló: </w:t>
      </w:r>
      <w:r w:rsidRPr="005B4C96">
        <w:rPr>
          <w:rFonts w:ascii="Arial" w:hAnsi="Arial" w:cs="Arial"/>
          <w:i/>
          <w:sz w:val="22"/>
          <w:szCs w:val="22"/>
        </w:rPr>
        <w:t>“el derecho de los familiares de la víctima de conocer [. . .] dónde se encuentran sus restos, representa una justa expectativa que el Estado debe satisfacer con los medios a su alcance”</w:t>
      </w:r>
      <w:r>
        <w:rPr>
          <w:rStyle w:val="Refdenotaalpie"/>
          <w:rFonts w:ascii="Arial" w:hAnsi="Arial" w:cs="Arial"/>
          <w:i/>
          <w:sz w:val="22"/>
          <w:szCs w:val="22"/>
        </w:rPr>
        <w:footnoteReference w:id="4"/>
      </w:r>
      <w:r>
        <w:rPr>
          <w:rFonts w:ascii="Arial" w:hAnsi="Arial" w:cs="Arial"/>
          <w:i/>
          <w:sz w:val="22"/>
          <w:szCs w:val="22"/>
        </w:rPr>
        <w:t xml:space="preserve">. </w:t>
      </w:r>
      <w:r>
        <w:rPr>
          <w:rFonts w:ascii="Arial" w:hAnsi="Arial" w:cs="Arial"/>
          <w:sz w:val="22"/>
          <w:szCs w:val="22"/>
        </w:rPr>
        <w:t xml:space="preserve">Lo que representa una medida de satisfacción a favor de los familiares de las víctimas en cuanto al deber del Estado responsable de investigar los hechos violatorios. </w:t>
      </w:r>
    </w:p>
    <w:p w:rsidR="00AD346E" w:rsidRDefault="00AD346E" w:rsidP="009D5ED1">
      <w:pPr>
        <w:pStyle w:val="Body1"/>
        <w:spacing w:line="360" w:lineRule="auto"/>
        <w:jc w:val="both"/>
        <w:rPr>
          <w:rFonts w:ascii="Arial" w:hAnsi="Arial" w:cs="Arial"/>
          <w:sz w:val="22"/>
          <w:szCs w:val="22"/>
        </w:rPr>
      </w:pPr>
      <w:r w:rsidRPr="00D630EF">
        <w:rPr>
          <w:rFonts w:ascii="Arial" w:hAnsi="Arial" w:cs="Arial"/>
          <w:sz w:val="22"/>
          <w:szCs w:val="22"/>
        </w:rPr>
        <w:lastRenderedPageBreak/>
        <w:t xml:space="preserve">El análisis del problema de la </w:t>
      </w:r>
      <w:r w:rsidR="00AE57A7">
        <w:rPr>
          <w:rFonts w:ascii="Arial" w:hAnsi="Arial" w:cs="Arial"/>
          <w:sz w:val="22"/>
          <w:szCs w:val="22"/>
        </w:rPr>
        <w:t>impunidad lleva a la reflexión sobre la falta de judicialización de</w:t>
      </w:r>
      <w:r w:rsidRPr="00D630EF">
        <w:rPr>
          <w:rFonts w:ascii="Arial" w:hAnsi="Arial" w:cs="Arial"/>
          <w:sz w:val="22"/>
          <w:szCs w:val="22"/>
        </w:rPr>
        <w:t xml:space="preserve"> la responsabilidad internacional de los Estados</w:t>
      </w:r>
      <w:r w:rsidR="00AE57A7">
        <w:rPr>
          <w:rFonts w:ascii="Arial" w:hAnsi="Arial" w:cs="Arial"/>
          <w:sz w:val="22"/>
          <w:szCs w:val="22"/>
        </w:rPr>
        <w:t xml:space="preserve"> en la violación de derechos</w:t>
      </w:r>
      <w:r w:rsidR="003D043F">
        <w:rPr>
          <w:rFonts w:ascii="Arial" w:hAnsi="Arial" w:cs="Arial"/>
          <w:sz w:val="22"/>
          <w:szCs w:val="22"/>
        </w:rPr>
        <w:t>, tal carencia posteriormente desemboca en</w:t>
      </w:r>
      <w:r w:rsidRPr="00D630EF">
        <w:rPr>
          <w:rFonts w:ascii="Arial" w:hAnsi="Arial" w:cs="Arial"/>
          <w:sz w:val="22"/>
          <w:szCs w:val="22"/>
        </w:rPr>
        <w:t xml:space="preserve"> falta de reparación a las víctimas, </w:t>
      </w:r>
      <w:r w:rsidR="00AE57A7">
        <w:rPr>
          <w:rFonts w:ascii="Arial" w:hAnsi="Arial" w:cs="Arial"/>
          <w:sz w:val="22"/>
          <w:szCs w:val="22"/>
        </w:rPr>
        <w:t xml:space="preserve">y </w:t>
      </w:r>
      <w:r w:rsidRPr="00D630EF">
        <w:rPr>
          <w:rFonts w:ascii="Arial" w:hAnsi="Arial" w:cs="Arial"/>
          <w:sz w:val="22"/>
          <w:szCs w:val="22"/>
        </w:rPr>
        <w:t xml:space="preserve">aún </w:t>
      </w:r>
      <w:r w:rsidR="00D630EF" w:rsidRPr="00D630EF">
        <w:rPr>
          <w:rFonts w:ascii="Arial" w:hAnsi="Arial" w:cs="Arial"/>
          <w:sz w:val="22"/>
          <w:szCs w:val="22"/>
        </w:rPr>
        <w:t>más</w:t>
      </w:r>
      <w:r w:rsidR="00AE57A7">
        <w:rPr>
          <w:rFonts w:ascii="Arial" w:hAnsi="Arial" w:cs="Arial"/>
          <w:sz w:val="22"/>
          <w:szCs w:val="22"/>
        </w:rPr>
        <w:t xml:space="preserve"> la falta</w:t>
      </w:r>
      <w:r w:rsidRPr="00D630EF">
        <w:rPr>
          <w:rFonts w:ascii="Arial" w:hAnsi="Arial" w:cs="Arial"/>
          <w:sz w:val="22"/>
          <w:szCs w:val="22"/>
        </w:rPr>
        <w:t xml:space="preserve"> de una reparación integral.</w:t>
      </w:r>
    </w:p>
    <w:p w:rsidR="003D043F" w:rsidRDefault="003D043F" w:rsidP="009D5ED1">
      <w:pPr>
        <w:pStyle w:val="Body1"/>
        <w:spacing w:line="360" w:lineRule="auto"/>
        <w:jc w:val="both"/>
        <w:rPr>
          <w:rFonts w:ascii="Arial" w:hAnsi="Arial" w:cs="Arial"/>
          <w:sz w:val="22"/>
          <w:szCs w:val="22"/>
        </w:rPr>
      </w:pPr>
    </w:p>
    <w:p w:rsidR="003D043F" w:rsidRPr="00D630EF" w:rsidRDefault="003D043F" w:rsidP="003D043F">
      <w:pPr>
        <w:pStyle w:val="Body1"/>
        <w:spacing w:before="20" w:line="360" w:lineRule="auto"/>
        <w:jc w:val="both"/>
        <w:outlineLvl w:val="0"/>
        <w:rPr>
          <w:rFonts w:ascii="Arial" w:hAnsi="Arial" w:cs="Arial"/>
          <w:b/>
          <w:sz w:val="22"/>
          <w:szCs w:val="22"/>
          <w:u w:color="000000"/>
        </w:rPr>
      </w:pPr>
      <w:r>
        <w:rPr>
          <w:rFonts w:ascii="Arial" w:hAnsi="Arial" w:cs="Arial"/>
          <w:sz w:val="22"/>
          <w:szCs w:val="22"/>
          <w:u w:color="000000"/>
        </w:rPr>
        <w:t>La labor de sistematizar ciertos</w:t>
      </w:r>
      <w:r w:rsidRPr="00D630EF">
        <w:rPr>
          <w:rFonts w:ascii="Arial" w:hAnsi="Arial" w:cs="Arial"/>
          <w:sz w:val="22"/>
          <w:szCs w:val="22"/>
          <w:u w:color="000000"/>
        </w:rPr>
        <w:t xml:space="preserve"> principios para evitar la impunidad de los autores de violaciones de derechos humanos estuvo a cargo de la Subcomisión de Prevención de las Discriminaciones y Protección de las Minorías de Naciones Uni</w:t>
      </w:r>
      <w:r>
        <w:rPr>
          <w:rFonts w:ascii="Arial" w:hAnsi="Arial" w:cs="Arial"/>
          <w:sz w:val="22"/>
          <w:szCs w:val="22"/>
          <w:u w:color="000000"/>
        </w:rPr>
        <w:t>das, estudio que tomó seis años</w:t>
      </w:r>
      <w:r w:rsidRPr="00D630EF">
        <w:rPr>
          <w:rFonts w:ascii="Arial" w:hAnsi="Arial" w:cs="Arial"/>
          <w:sz w:val="22"/>
          <w:szCs w:val="22"/>
          <w:u w:color="000000"/>
          <w:vertAlign w:val="superscript"/>
        </w:rPr>
        <w:footnoteReference w:id="5"/>
      </w:r>
      <w:r>
        <w:rPr>
          <w:rFonts w:ascii="Arial" w:hAnsi="Arial" w:cs="Arial"/>
          <w:sz w:val="22"/>
          <w:szCs w:val="22"/>
          <w:u w:color="000000"/>
        </w:rPr>
        <w:t>.</w:t>
      </w:r>
    </w:p>
    <w:p w:rsidR="005B4C96" w:rsidRDefault="005B4C96" w:rsidP="009D5ED1">
      <w:pPr>
        <w:pStyle w:val="Body1"/>
        <w:spacing w:line="360" w:lineRule="auto"/>
        <w:jc w:val="both"/>
        <w:rPr>
          <w:rFonts w:ascii="Arial" w:hAnsi="Arial" w:cs="Arial"/>
          <w:sz w:val="22"/>
          <w:szCs w:val="22"/>
        </w:rPr>
      </w:pPr>
    </w:p>
    <w:p w:rsidR="00AD346E" w:rsidRPr="00D630EF" w:rsidRDefault="003D043F" w:rsidP="009D5ED1">
      <w:pPr>
        <w:pStyle w:val="Body1"/>
        <w:spacing w:line="360" w:lineRule="auto"/>
        <w:jc w:val="both"/>
        <w:rPr>
          <w:rFonts w:ascii="Arial" w:hAnsi="Arial" w:cs="Arial"/>
          <w:sz w:val="22"/>
          <w:szCs w:val="22"/>
        </w:rPr>
      </w:pPr>
      <w:r>
        <w:rPr>
          <w:rFonts w:ascii="Arial" w:hAnsi="Arial" w:cs="Arial"/>
          <w:sz w:val="22"/>
          <w:szCs w:val="22"/>
        </w:rPr>
        <w:t>El</w:t>
      </w:r>
      <w:r w:rsidR="004E6D71">
        <w:rPr>
          <w:rFonts w:ascii="Arial" w:hAnsi="Arial" w:cs="Arial"/>
          <w:sz w:val="22"/>
          <w:szCs w:val="22"/>
        </w:rPr>
        <w:t xml:space="preserve"> informe del Relator Especial</w:t>
      </w:r>
      <w:r w:rsidR="00AD346E" w:rsidRPr="00D630EF">
        <w:rPr>
          <w:rFonts w:ascii="Arial" w:hAnsi="Arial" w:cs="Arial"/>
          <w:sz w:val="22"/>
          <w:szCs w:val="22"/>
        </w:rPr>
        <w:t xml:space="preserve"> </w:t>
      </w:r>
      <w:proofErr w:type="spellStart"/>
      <w:r w:rsidR="00AD346E" w:rsidRPr="00D630EF">
        <w:rPr>
          <w:rFonts w:ascii="Arial" w:hAnsi="Arial" w:cs="Arial"/>
          <w:sz w:val="22"/>
          <w:szCs w:val="22"/>
        </w:rPr>
        <w:t>Theo</w:t>
      </w:r>
      <w:proofErr w:type="spellEnd"/>
      <w:r w:rsidR="00AD346E" w:rsidRPr="00D630EF">
        <w:rPr>
          <w:rFonts w:ascii="Arial" w:hAnsi="Arial" w:cs="Arial"/>
          <w:sz w:val="22"/>
          <w:szCs w:val="22"/>
        </w:rPr>
        <w:t xml:space="preserve"> Van </w:t>
      </w:r>
      <w:proofErr w:type="spellStart"/>
      <w:r w:rsidR="00AD346E" w:rsidRPr="00D630EF">
        <w:rPr>
          <w:rFonts w:ascii="Arial" w:hAnsi="Arial" w:cs="Arial"/>
          <w:sz w:val="22"/>
          <w:szCs w:val="22"/>
        </w:rPr>
        <w:t>Boven</w:t>
      </w:r>
      <w:proofErr w:type="spellEnd"/>
      <w:r w:rsidR="00AD346E" w:rsidRPr="00D630EF">
        <w:rPr>
          <w:rFonts w:ascii="Arial" w:hAnsi="Arial" w:cs="Arial"/>
          <w:sz w:val="22"/>
          <w:szCs w:val="22"/>
        </w:rPr>
        <w:t>, realizado en 1993</w:t>
      </w:r>
      <w:r w:rsidR="00EE067D">
        <w:rPr>
          <w:rFonts w:ascii="Arial" w:hAnsi="Arial" w:cs="Arial"/>
          <w:sz w:val="22"/>
          <w:szCs w:val="22"/>
        </w:rPr>
        <w:t>,</w:t>
      </w:r>
      <w:r w:rsidR="00AD346E" w:rsidRPr="00D630EF">
        <w:rPr>
          <w:rFonts w:ascii="Arial" w:hAnsi="Arial" w:cs="Arial"/>
          <w:sz w:val="22"/>
          <w:szCs w:val="22"/>
        </w:rPr>
        <w:t xml:space="preserve"> acogido por la Comisión </w:t>
      </w:r>
      <w:r w:rsidR="004E6D71">
        <w:rPr>
          <w:rFonts w:ascii="Arial" w:hAnsi="Arial" w:cs="Arial"/>
          <w:sz w:val="22"/>
          <w:szCs w:val="22"/>
        </w:rPr>
        <w:t xml:space="preserve">Especial </w:t>
      </w:r>
      <w:r w:rsidR="00AD346E" w:rsidRPr="00D630EF">
        <w:rPr>
          <w:rFonts w:ascii="Arial" w:hAnsi="Arial" w:cs="Arial"/>
          <w:sz w:val="22"/>
          <w:szCs w:val="22"/>
        </w:rPr>
        <w:t>de Derechos Humanos de la ONU, da inicio junto a otros documentos y reuniones consultivas, al debate sobre</w:t>
      </w:r>
      <w:r>
        <w:rPr>
          <w:rFonts w:ascii="Arial" w:hAnsi="Arial" w:cs="Arial"/>
          <w:sz w:val="22"/>
          <w:szCs w:val="22"/>
        </w:rPr>
        <w:t xml:space="preserve"> la necesidad de aprobar estos principios donde se</w:t>
      </w:r>
      <w:r w:rsidR="00AD346E" w:rsidRPr="00D630EF">
        <w:rPr>
          <w:rFonts w:ascii="Arial" w:hAnsi="Arial" w:cs="Arial"/>
          <w:sz w:val="22"/>
          <w:szCs w:val="22"/>
        </w:rPr>
        <w:t xml:space="preserve"> establezcan las bases para la reparación integral</w:t>
      </w:r>
      <w:r w:rsidR="006A7127">
        <w:rPr>
          <w:rFonts w:ascii="Arial" w:hAnsi="Arial" w:cs="Arial"/>
          <w:sz w:val="22"/>
          <w:szCs w:val="22"/>
        </w:rPr>
        <w:t xml:space="preserve"> de derechos humanos vulnerados.</w:t>
      </w:r>
      <w:r w:rsidR="00AD346E" w:rsidRPr="00D630EF">
        <w:rPr>
          <w:rFonts w:ascii="Arial" w:hAnsi="Arial" w:cs="Arial"/>
          <w:sz w:val="22"/>
          <w:szCs w:val="22"/>
        </w:rPr>
        <w:t xml:space="preserve"> </w:t>
      </w:r>
      <w:r w:rsidR="006A7127" w:rsidRPr="006A7127">
        <w:rPr>
          <w:rFonts w:ascii="Arial" w:hAnsi="Arial" w:cs="Arial"/>
          <w:sz w:val="22"/>
          <w:szCs w:val="22"/>
        </w:rPr>
        <w:t>El 16 de diciembre de 2005</w:t>
      </w:r>
      <w:r w:rsidR="006A7127">
        <w:rPr>
          <w:rFonts w:ascii="Arial" w:hAnsi="Arial" w:cs="Arial"/>
          <w:sz w:val="22"/>
          <w:szCs w:val="22"/>
        </w:rPr>
        <w:t xml:space="preserve"> la </w:t>
      </w:r>
      <w:r w:rsidR="006A7127" w:rsidRPr="006A7127">
        <w:rPr>
          <w:rFonts w:ascii="Arial" w:hAnsi="Arial" w:cs="Arial"/>
          <w:sz w:val="22"/>
          <w:szCs w:val="22"/>
        </w:rPr>
        <w:t xml:space="preserve">Asamblea General </w:t>
      </w:r>
      <w:r w:rsidR="00932E47">
        <w:rPr>
          <w:rFonts w:ascii="Arial" w:hAnsi="Arial" w:cs="Arial"/>
          <w:sz w:val="22"/>
          <w:szCs w:val="22"/>
        </w:rPr>
        <w:t xml:space="preserve">de las Naciones Unidas </w:t>
      </w:r>
      <w:r w:rsidR="006A7127">
        <w:rPr>
          <w:rFonts w:ascii="Arial" w:hAnsi="Arial" w:cs="Arial"/>
          <w:sz w:val="22"/>
          <w:szCs w:val="22"/>
        </w:rPr>
        <w:t xml:space="preserve">aprobó los </w:t>
      </w:r>
      <w:r w:rsidR="00AD346E" w:rsidRPr="00D630EF">
        <w:rPr>
          <w:rFonts w:ascii="Arial" w:hAnsi="Arial" w:cs="Arial"/>
          <w:sz w:val="22"/>
          <w:szCs w:val="22"/>
        </w:rPr>
        <w:t xml:space="preserve">Principios y Directrices </w:t>
      </w:r>
      <w:r w:rsidR="00932E47">
        <w:rPr>
          <w:rFonts w:ascii="Arial" w:hAnsi="Arial" w:cs="Arial"/>
          <w:sz w:val="22"/>
          <w:szCs w:val="22"/>
        </w:rPr>
        <w:t xml:space="preserve">básicos </w:t>
      </w:r>
      <w:r w:rsidR="006A7127">
        <w:rPr>
          <w:rFonts w:ascii="Arial" w:hAnsi="Arial" w:cs="Arial"/>
          <w:sz w:val="22"/>
          <w:szCs w:val="22"/>
        </w:rPr>
        <w:t>del derecho a la reparación</w:t>
      </w:r>
      <w:r w:rsidR="00AD346E" w:rsidRPr="00D630EF">
        <w:rPr>
          <w:rFonts w:ascii="Arial" w:hAnsi="Arial" w:cs="Arial"/>
          <w:sz w:val="22"/>
          <w:szCs w:val="22"/>
          <w:vertAlign w:val="superscript"/>
        </w:rPr>
        <w:footnoteReference w:id="6"/>
      </w:r>
      <w:r w:rsidR="006A7127">
        <w:rPr>
          <w:rFonts w:ascii="Arial" w:hAnsi="Arial" w:cs="Arial"/>
          <w:sz w:val="22"/>
          <w:szCs w:val="22"/>
        </w:rPr>
        <w:t>.</w:t>
      </w:r>
      <w:r w:rsidR="00AD346E" w:rsidRPr="00D630EF">
        <w:rPr>
          <w:rFonts w:ascii="Arial" w:hAnsi="Arial" w:cs="Arial"/>
          <w:sz w:val="22"/>
          <w:szCs w:val="22"/>
        </w:rPr>
        <w:t xml:space="preserve"> </w:t>
      </w:r>
    </w:p>
    <w:p w:rsidR="00AD346E" w:rsidRPr="00D630EF" w:rsidRDefault="00AD346E" w:rsidP="00D630EF">
      <w:pPr>
        <w:pStyle w:val="Body1"/>
        <w:spacing w:line="360" w:lineRule="auto"/>
        <w:jc w:val="both"/>
        <w:rPr>
          <w:rFonts w:ascii="Arial" w:hAnsi="Arial" w:cs="Arial"/>
          <w:sz w:val="22"/>
          <w:szCs w:val="22"/>
        </w:rPr>
      </w:pPr>
    </w:p>
    <w:p w:rsidR="00AD346E" w:rsidRPr="00D630EF" w:rsidRDefault="00AD346E" w:rsidP="009D5ED1">
      <w:pPr>
        <w:pStyle w:val="Body1"/>
        <w:spacing w:line="360" w:lineRule="auto"/>
        <w:jc w:val="both"/>
        <w:rPr>
          <w:rFonts w:ascii="Arial" w:hAnsi="Arial" w:cs="Arial"/>
          <w:sz w:val="22"/>
          <w:szCs w:val="22"/>
        </w:rPr>
      </w:pPr>
      <w:r w:rsidRPr="00D630EF">
        <w:rPr>
          <w:rFonts w:ascii="Arial" w:hAnsi="Arial" w:cs="Arial"/>
          <w:sz w:val="22"/>
          <w:szCs w:val="22"/>
        </w:rPr>
        <w:t>El instrumento mencionado en el párrafo anterior, permite delimitar los alcances y contenido del derecho a la reparación que incluye:</w:t>
      </w:r>
    </w:p>
    <w:p w:rsidR="00AD346E" w:rsidRPr="00D630EF" w:rsidRDefault="00AD346E" w:rsidP="00D630EF">
      <w:pPr>
        <w:pStyle w:val="Body1"/>
        <w:spacing w:line="360" w:lineRule="auto"/>
        <w:jc w:val="both"/>
        <w:rPr>
          <w:rFonts w:ascii="Arial" w:hAnsi="Arial" w:cs="Arial"/>
          <w:sz w:val="22"/>
          <w:szCs w:val="22"/>
        </w:rPr>
      </w:pPr>
    </w:p>
    <w:p w:rsidR="00AD346E" w:rsidRPr="000C62B1" w:rsidRDefault="00AE57A7" w:rsidP="009B60C1">
      <w:pPr>
        <w:pStyle w:val="Body1"/>
        <w:numPr>
          <w:ilvl w:val="1"/>
          <w:numId w:val="0"/>
        </w:numPr>
        <w:spacing w:line="276" w:lineRule="auto"/>
        <w:ind w:left="720"/>
        <w:jc w:val="both"/>
        <w:rPr>
          <w:rFonts w:ascii="Arial" w:hAnsi="Arial" w:cs="Arial"/>
          <w:position w:val="-2"/>
          <w:sz w:val="20"/>
        </w:rPr>
      </w:pPr>
      <w:r w:rsidRPr="000C62B1">
        <w:rPr>
          <w:rFonts w:ascii="Arial" w:hAnsi="Arial" w:cs="Arial"/>
          <w:sz w:val="20"/>
        </w:rPr>
        <w:t>-</w:t>
      </w:r>
      <w:r w:rsidR="00AD346E" w:rsidRPr="000C62B1">
        <w:rPr>
          <w:rFonts w:ascii="Arial" w:hAnsi="Arial" w:cs="Arial"/>
          <w:sz w:val="20"/>
        </w:rPr>
        <w:t>La adopción de disposiciones legislativas, administrativas o de otro carácter que sean apropiadas para impedir las violaciones</w:t>
      </w:r>
    </w:p>
    <w:p w:rsidR="00AD346E" w:rsidRPr="000C62B1" w:rsidRDefault="00AE57A7" w:rsidP="00337420">
      <w:pPr>
        <w:pStyle w:val="Body1"/>
        <w:numPr>
          <w:ilvl w:val="1"/>
          <w:numId w:val="0"/>
        </w:numPr>
        <w:spacing w:line="276" w:lineRule="auto"/>
        <w:ind w:left="720"/>
        <w:jc w:val="both"/>
        <w:rPr>
          <w:rFonts w:ascii="Arial" w:hAnsi="Arial" w:cs="Arial"/>
          <w:position w:val="-2"/>
          <w:sz w:val="20"/>
        </w:rPr>
      </w:pPr>
      <w:r w:rsidRPr="000C62B1">
        <w:rPr>
          <w:rFonts w:ascii="Arial" w:hAnsi="Arial" w:cs="Arial"/>
          <w:sz w:val="20"/>
        </w:rPr>
        <w:t>-</w:t>
      </w:r>
      <w:r w:rsidR="00AD346E" w:rsidRPr="000C62B1">
        <w:rPr>
          <w:rFonts w:ascii="Arial" w:hAnsi="Arial" w:cs="Arial"/>
          <w:sz w:val="20"/>
        </w:rPr>
        <w:t>La investigación de las violaciones y, en su caso, la adopción de medidas contra los presuntos responsables;</w:t>
      </w:r>
    </w:p>
    <w:p w:rsidR="00AD346E" w:rsidRPr="000C62B1" w:rsidRDefault="00AE57A7" w:rsidP="00337420">
      <w:pPr>
        <w:pStyle w:val="Body1"/>
        <w:numPr>
          <w:ilvl w:val="1"/>
          <w:numId w:val="0"/>
        </w:numPr>
        <w:spacing w:line="276" w:lineRule="auto"/>
        <w:ind w:left="720"/>
        <w:jc w:val="both"/>
        <w:rPr>
          <w:rFonts w:ascii="Arial" w:hAnsi="Arial" w:cs="Arial"/>
          <w:position w:val="-2"/>
          <w:sz w:val="20"/>
        </w:rPr>
      </w:pPr>
      <w:r w:rsidRPr="000C62B1">
        <w:rPr>
          <w:rFonts w:ascii="Arial" w:hAnsi="Arial" w:cs="Arial"/>
          <w:sz w:val="20"/>
        </w:rPr>
        <w:t>-</w:t>
      </w:r>
      <w:r w:rsidR="00AD346E" w:rsidRPr="000C62B1">
        <w:rPr>
          <w:rFonts w:ascii="Arial" w:hAnsi="Arial" w:cs="Arial"/>
          <w:sz w:val="20"/>
        </w:rPr>
        <w:t>La garantía de un acceso equitativo y efectivo a la justicia a quienes afirman ser víctimas de una violación de sus derechos humanos; y</w:t>
      </w:r>
    </w:p>
    <w:p w:rsidR="00AD346E" w:rsidRPr="000C62B1" w:rsidRDefault="00AE57A7" w:rsidP="00337420">
      <w:pPr>
        <w:pStyle w:val="Body1"/>
        <w:numPr>
          <w:ilvl w:val="1"/>
          <w:numId w:val="0"/>
        </w:numPr>
        <w:spacing w:line="276" w:lineRule="auto"/>
        <w:ind w:firstLine="720"/>
        <w:jc w:val="both"/>
        <w:rPr>
          <w:rFonts w:ascii="Arial" w:hAnsi="Arial" w:cs="Arial"/>
          <w:position w:val="-2"/>
          <w:sz w:val="20"/>
        </w:rPr>
      </w:pPr>
      <w:r w:rsidRPr="000C62B1">
        <w:rPr>
          <w:rFonts w:ascii="Arial" w:hAnsi="Arial" w:cs="Arial"/>
          <w:sz w:val="20"/>
        </w:rPr>
        <w:t>-</w:t>
      </w:r>
      <w:r w:rsidR="00AD346E" w:rsidRPr="000C62B1">
        <w:rPr>
          <w:rFonts w:ascii="Arial" w:hAnsi="Arial" w:cs="Arial"/>
          <w:sz w:val="20"/>
        </w:rPr>
        <w:t>El proporcionar a las víctimas recursos eficaces, incluyendo la reparación</w:t>
      </w:r>
      <w:r w:rsidR="00AD346E" w:rsidRPr="000C62B1">
        <w:rPr>
          <w:rFonts w:ascii="Arial" w:hAnsi="Arial" w:cs="Arial"/>
          <w:sz w:val="20"/>
          <w:vertAlign w:val="superscript"/>
        </w:rPr>
        <w:footnoteReference w:id="7"/>
      </w:r>
    </w:p>
    <w:p w:rsidR="00AD346E" w:rsidRPr="00D630EF" w:rsidRDefault="00AD346E" w:rsidP="00D630EF">
      <w:pPr>
        <w:pStyle w:val="Body1"/>
        <w:spacing w:before="20" w:line="360" w:lineRule="auto"/>
        <w:outlineLvl w:val="0"/>
        <w:rPr>
          <w:rFonts w:ascii="Arial" w:hAnsi="Arial" w:cs="Arial"/>
          <w:b/>
          <w:sz w:val="22"/>
          <w:szCs w:val="22"/>
          <w:u w:color="000000"/>
        </w:rPr>
      </w:pPr>
    </w:p>
    <w:p w:rsidR="00AD346E" w:rsidRPr="00D630EF" w:rsidRDefault="00AE57A7" w:rsidP="009D5ED1">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Entre las obligaciones del Estado</w:t>
      </w:r>
      <w:r w:rsidR="00AD346E" w:rsidRPr="00D630EF">
        <w:rPr>
          <w:rFonts w:ascii="Arial" w:hAnsi="Arial" w:cs="Arial"/>
          <w:sz w:val="22"/>
          <w:szCs w:val="22"/>
          <w:u w:color="000000"/>
        </w:rPr>
        <w:t xml:space="preserve"> se encuentra la protección, vigencia y difusión de los derechos humanos, siendo el ente al que se le han entregado las atribuciones para hacerlo, posee una gran cuota de poder que no debe ser utilizada en detrimento de los derechos humanos</w:t>
      </w:r>
      <w:r w:rsidR="00214291">
        <w:rPr>
          <w:rFonts w:ascii="Arial" w:hAnsi="Arial" w:cs="Arial"/>
          <w:sz w:val="22"/>
          <w:szCs w:val="22"/>
          <w:u w:color="000000"/>
        </w:rPr>
        <w:t>,</w:t>
      </w:r>
      <w:r w:rsidR="00AD346E" w:rsidRPr="00D630EF">
        <w:rPr>
          <w:rFonts w:ascii="Arial" w:hAnsi="Arial" w:cs="Arial"/>
          <w:sz w:val="22"/>
          <w:szCs w:val="22"/>
          <w:u w:color="000000"/>
        </w:rPr>
        <w:t xml:space="preserve"> peor aún para su</w:t>
      </w:r>
      <w:r w:rsidR="00735D0F">
        <w:rPr>
          <w:rFonts w:ascii="Arial" w:hAnsi="Arial" w:cs="Arial"/>
          <w:sz w:val="22"/>
          <w:szCs w:val="22"/>
          <w:u w:color="000000"/>
        </w:rPr>
        <w:t xml:space="preserve"> violación, es por ello que el Equipo de Salud Mental </w:t>
      </w:r>
      <w:r w:rsidR="00735D0F">
        <w:rPr>
          <w:rFonts w:ascii="Arial" w:hAnsi="Arial" w:cs="Arial"/>
          <w:sz w:val="22"/>
          <w:szCs w:val="22"/>
          <w:u w:color="000000"/>
        </w:rPr>
        <w:lastRenderedPageBreak/>
        <w:t>del Centro de Estudios Legales y Sociales (CELS), en un artículo para el Instituto Interamericano de Derechos Humanos,</w:t>
      </w:r>
      <w:r w:rsidR="00AD346E" w:rsidRPr="00D630EF">
        <w:rPr>
          <w:rFonts w:ascii="Arial" w:hAnsi="Arial" w:cs="Arial"/>
          <w:sz w:val="22"/>
          <w:szCs w:val="22"/>
          <w:u w:color="000000"/>
        </w:rPr>
        <w:t xml:space="preserve"> señala que entre el ciudadano como sujeto de derecho y el Estado, la cuota de poder es to</w:t>
      </w:r>
      <w:r w:rsidR="00214291">
        <w:rPr>
          <w:rFonts w:ascii="Arial" w:hAnsi="Arial" w:cs="Arial"/>
          <w:sz w:val="22"/>
          <w:szCs w:val="22"/>
          <w:u w:color="000000"/>
        </w:rPr>
        <w:t>talmente asimétrica, cuando el E</w:t>
      </w:r>
      <w:r w:rsidR="00AD346E" w:rsidRPr="00D630EF">
        <w:rPr>
          <w:rFonts w:ascii="Arial" w:hAnsi="Arial" w:cs="Arial"/>
          <w:sz w:val="22"/>
          <w:szCs w:val="22"/>
          <w:u w:color="000000"/>
        </w:rPr>
        <w:t>stado "rompe el contrato", los efectos son devastadores</w:t>
      </w:r>
      <w:r w:rsidR="00D82DA6">
        <w:rPr>
          <w:rFonts w:ascii="Arial" w:hAnsi="Arial" w:cs="Arial"/>
          <w:sz w:val="22"/>
          <w:szCs w:val="22"/>
          <w:u w:color="000000"/>
        </w:rPr>
        <w:t xml:space="preserve"> para la sociedad en general</w:t>
      </w:r>
      <w:r w:rsidR="00AD346E" w:rsidRPr="00D630EF">
        <w:rPr>
          <w:rFonts w:ascii="Arial" w:hAnsi="Arial" w:cs="Arial"/>
          <w:sz w:val="22"/>
          <w:szCs w:val="22"/>
          <w:u w:color="000000"/>
          <w:vertAlign w:val="superscript"/>
        </w:rPr>
        <w:footnoteReference w:id="8"/>
      </w:r>
      <w:r w:rsidR="00D82DA6">
        <w:rPr>
          <w:rFonts w:ascii="Arial" w:hAnsi="Arial" w:cs="Arial"/>
          <w:sz w:val="22"/>
          <w:szCs w:val="22"/>
          <w:u w:color="000000"/>
        </w:rPr>
        <w:t>.</w:t>
      </w:r>
    </w:p>
    <w:p w:rsidR="00AD346E" w:rsidRPr="00D630EF" w:rsidRDefault="00AD346E" w:rsidP="00AE57A7">
      <w:pPr>
        <w:pStyle w:val="Body1"/>
        <w:spacing w:before="20" w:line="360" w:lineRule="auto"/>
        <w:outlineLvl w:val="0"/>
        <w:rPr>
          <w:rFonts w:ascii="Arial" w:hAnsi="Arial" w:cs="Arial"/>
          <w:sz w:val="22"/>
          <w:szCs w:val="22"/>
          <w:u w:color="000000"/>
        </w:rPr>
      </w:pPr>
    </w:p>
    <w:p w:rsidR="00AD346E" w:rsidRPr="009D5ED1" w:rsidRDefault="00102AD1" w:rsidP="00B656C2">
      <w:pPr>
        <w:pStyle w:val="Body1"/>
        <w:numPr>
          <w:ilvl w:val="2"/>
          <w:numId w:val="7"/>
        </w:numPr>
        <w:spacing w:before="20" w:line="360" w:lineRule="auto"/>
        <w:jc w:val="both"/>
        <w:outlineLvl w:val="2"/>
        <w:rPr>
          <w:rFonts w:ascii="Arial" w:hAnsi="Arial" w:cs="Arial"/>
          <w:b/>
          <w:sz w:val="22"/>
          <w:szCs w:val="22"/>
          <w:u w:color="000000"/>
        </w:rPr>
      </w:pPr>
      <w:bookmarkStart w:id="2" w:name="_Toc356432239"/>
      <w:r>
        <w:rPr>
          <w:rFonts w:ascii="Arial" w:hAnsi="Arial" w:cs="Arial"/>
          <w:b/>
          <w:sz w:val="22"/>
          <w:szCs w:val="22"/>
          <w:u w:color="000000"/>
        </w:rPr>
        <w:t>La impunidad generalizada en la judicialización a los responsables de v</w:t>
      </w:r>
      <w:r w:rsidRPr="009D5ED1">
        <w:rPr>
          <w:rFonts w:ascii="Arial" w:hAnsi="Arial" w:cs="Arial"/>
          <w:b/>
          <w:sz w:val="22"/>
          <w:szCs w:val="22"/>
          <w:u w:color="000000"/>
        </w:rPr>
        <w:t>io</w:t>
      </w:r>
      <w:r>
        <w:rPr>
          <w:rFonts w:ascii="Arial" w:hAnsi="Arial" w:cs="Arial"/>
          <w:b/>
          <w:sz w:val="22"/>
          <w:szCs w:val="22"/>
          <w:u w:color="000000"/>
        </w:rPr>
        <w:t>laciones a los derechos humanos</w:t>
      </w:r>
      <w:bookmarkEnd w:id="2"/>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C978A4" w:rsidP="009D5ED1">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Como ya se mencionó, en la generalidad de los</w:t>
      </w:r>
      <w:r w:rsidR="00AD346E" w:rsidRPr="00D630EF">
        <w:rPr>
          <w:rFonts w:ascii="Arial" w:hAnsi="Arial" w:cs="Arial"/>
          <w:sz w:val="22"/>
          <w:szCs w:val="22"/>
          <w:u w:color="000000"/>
        </w:rPr>
        <w:t xml:space="preserve"> países que atr</w:t>
      </w:r>
      <w:r w:rsidR="00D82DA6">
        <w:rPr>
          <w:rFonts w:ascii="Arial" w:hAnsi="Arial" w:cs="Arial"/>
          <w:sz w:val="22"/>
          <w:szCs w:val="22"/>
          <w:u w:color="000000"/>
        </w:rPr>
        <w:t>avesaron por dictaduras se cometieron</w:t>
      </w:r>
      <w:r w:rsidR="00AD346E" w:rsidRPr="00D630EF">
        <w:rPr>
          <w:rFonts w:ascii="Arial" w:hAnsi="Arial" w:cs="Arial"/>
          <w:sz w:val="22"/>
          <w:szCs w:val="22"/>
          <w:u w:color="000000"/>
        </w:rPr>
        <w:t xml:space="preserve"> actos de violación a los derechos humanos por parte de sus autoridades de facto. De alguna u otra forma en los últimos años los gobiernos autoritarios vienen siendo sustituidos por gobiernos co</w:t>
      </w:r>
      <w:r w:rsidR="008934C0">
        <w:rPr>
          <w:rFonts w:ascii="Arial" w:hAnsi="Arial" w:cs="Arial"/>
          <w:sz w:val="22"/>
          <w:szCs w:val="22"/>
          <w:u w:color="000000"/>
        </w:rPr>
        <w:t>n tendencias democráticas, esto</w:t>
      </w:r>
      <w:r w:rsidR="00AD346E" w:rsidRPr="00D630EF">
        <w:rPr>
          <w:rFonts w:ascii="Arial" w:hAnsi="Arial" w:cs="Arial"/>
          <w:sz w:val="22"/>
          <w:szCs w:val="22"/>
          <w:u w:color="000000"/>
        </w:rPr>
        <w:t xml:space="preserve"> </w:t>
      </w:r>
      <w:r w:rsidR="008934C0">
        <w:rPr>
          <w:rFonts w:ascii="Arial" w:hAnsi="Arial" w:cs="Arial"/>
          <w:sz w:val="22"/>
          <w:szCs w:val="22"/>
          <w:u w:color="000000"/>
        </w:rPr>
        <w:t>h</w:t>
      </w:r>
      <w:r w:rsidR="009B34EA">
        <w:rPr>
          <w:rFonts w:ascii="Arial" w:hAnsi="Arial" w:cs="Arial"/>
          <w:sz w:val="22"/>
          <w:szCs w:val="22"/>
          <w:u w:color="000000"/>
        </w:rPr>
        <w:t>a propiciado la denuncia</w:t>
      </w:r>
      <w:r w:rsidR="00AD346E" w:rsidRPr="00D630EF">
        <w:rPr>
          <w:rFonts w:ascii="Arial" w:hAnsi="Arial" w:cs="Arial"/>
          <w:sz w:val="22"/>
          <w:szCs w:val="22"/>
          <w:u w:color="000000"/>
        </w:rPr>
        <w:t xml:space="preserve"> de presuntos actos de </w:t>
      </w:r>
      <w:r w:rsidR="00613EF4">
        <w:rPr>
          <w:rFonts w:ascii="Arial" w:hAnsi="Arial" w:cs="Arial"/>
          <w:sz w:val="22"/>
          <w:szCs w:val="22"/>
          <w:u w:color="000000"/>
        </w:rPr>
        <w:t>impunidad que subsisten hasta la actualidad</w:t>
      </w:r>
      <w:r w:rsidR="008934C0">
        <w:rPr>
          <w:rFonts w:ascii="Arial" w:hAnsi="Arial" w:cs="Arial"/>
          <w:sz w:val="22"/>
          <w:szCs w:val="22"/>
          <w:u w:color="000000"/>
        </w:rPr>
        <w:t>.</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9D5ED1">
      <w:pPr>
        <w:pStyle w:val="Body1"/>
        <w:spacing w:line="360" w:lineRule="auto"/>
        <w:jc w:val="both"/>
        <w:rPr>
          <w:rFonts w:ascii="Arial" w:hAnsi="Arial" w:cs="Arial"/>
          <w:sz w:val="22"/>
          <w:szCs w:val="22"/>
        </w:rPr>
      </w:pPr>
      <w:r w:rsidRPr="00D630EF">
        <w:rPr>
          <w:rFonts w:ascii="Arial" w:hAnsi="Arial" w:cs="Arial"/>
          <w:sz w:val="22"/>
          <w:szCs w:val="22"/>
        </w:rPr>
        <w:t>La Comisión de Derechos Humanos de las Naciones Unidas</w:t>
      </w:r>
      <w:r w:rsidRPr="00D630EF">
        <w:rPr>
          <w:rFonts w:ascii="Arial" w:hAnsi="Arial" w:cs="Arial"/>
          <w:sz w:val="22"/>
          <w:szCs w:val="22"/>
          <w:vertAlign w:val="superscript"/>
        </w:rPr>
        <w:footnoteReference w:id="9"/>
      </w:r>
      <w:r w:rsidRPr="00D630EF">
        <w:rPr>
          <w:rFonts w:ascii="Arial" w:hAnsi="Arial" w:cs="Arial"/>
          <w:sz w:val="22"/>
          <w:szCs w:val="22"/>
        </w:rPr>
        <w:t xml:space="preserve">, con el afán de evaluar la situación en cuanto a la impunidad de los responsables por violaciones a los derechos humanos, sobre todo por la excesiva aplicación de amnistías por parte de los Estados, </w:t>
      </w:r>
      <w:r w:rsidR="00456374">
        <w:rPr>
          <w:rFonts w:ascii="Arial" w:hAnsi="Arial" w:cs="Arial"/>
          <w:sz w:val="22"/>
          <w:szCs w:val="22"/>
        </w:rPr>
        <w:t>ha realizado</w:t>
      </w:r>
      <w:r w:rsidRPr="00D630EF">
        <w:rPr>
          <w:rFonts w:ascii="Arial" w:hAnsi="Arial" w:cs="Arial"/>
          <w:sz w:val="22"/>
          <w:szCs w:val="22"/>
        </w:rPr>
        <w:t xml:space="preserve"> informes cuyas conclusiones han motivado el interés de organismos internacionales, instituciones privadas y colectivos de activistas. Felipe Gómez Isa afirma que entre las medidas de impunidad que los Estados han adoptado encontramos: </w:t>
      </w:r>
    </w:p>
    <w:p w:rsidR="00AD346E" w:rsidRPr="00D630EF" w:rsidRDefault="00AD346E" w:rsidP="00D630EF">
      <w:pPr>
        <w:pStyle w:val="Body1"/>
        <w:spacing w:line="360" w:lineRule="auto"/>
        <w:rPr>
          <w:rFonts w:ascii="Arial" w:hAnsi="Arial" w:cs="Arial"/>
          <w:sz w:val="22"/>
          <w:szCs w:val="22"/>
        </w:rPr>
      </w:pPr>
    </w:p>
    <w:p w:rsidR="00AD346E" w:rsidRPr="000C62B1" w:rsidRDefault="008C52DE" w:rsidP="00337420">
      <w:pPr>
        <w:pStyle w:val="Body1"/>
        <w:spacing w:line="276" w:lineRule="auto"/>
        <w:ind w:left="720"/>
        <w:jc w:val="both"/>
        <w:rPr>
          <w:rFonts w:ascii="Arial" w:hAnsi="Arial" w:cs="Arial"/>
          <w:sz w:val="20"/>
        </w:rPr>
      </w:pPr>
      <w:r>
        <w:rPr>
          <w:rFonts w:ascii="Arial" w:hAnsi="Arial" w:cs="Arial"/>
          <w:sz w:val="20"/>
        </w:rPr>
        <w:t>(</w:t>
      </w:r>
      <w:r w:rsidR="00AD346E" w:rsidRPr="000C62B1">
        <w:rPr>
          <w:rFonts w:ascii="Arial" w:hAnsi="Arial" w:cs="Arial"/>
          <w:sz w:val="20"/>
        </w:rPr>
        <w:t>...</w:t>
      </w:r>
      <w:r>
        <w:rPr>
          <w:rFonts w:ascii="Arial" w:hAnsi="Arial" w:cs="Arial"/>
          <w:sz w:val="20"/>
        </w:rPr>
        <w:t xml:space="preserve">) </w:t>
      </w:r>
      <w:r w:rsidR="00AD346E" w:rsidRPr="000C62B1">
        <w:rPr>
          <w:rFonts w:ascii="Arial" w:hAnsi="Arial" w:cs="Arial"/>
          <w:sz w:val="20"/>
        </w:rPr>
        <w:t>la institución de la prescripción, la errónea concesión de asilo a responsables de las violaciones, la denegación de su extradición, la obediencia debida, las inmunidades de que gozan los responsables políticos, las leyes sobre arrepentidos, la competencia de tribunales militares</w:t>
      </w:r>
      <w:r>
        <w:rPr>
          <w:rFonts w:ascii="Arial" w:hAnsi="Arial" w:cs="Arial"/>
          <w:sz w:val="20"/>
        </w:rPr>
        <w:t>(</w:t>
      </w:r>
      <w:r w:rsidR="00AD346E" w:rsidRPr="000C62B1">
        <w:rPr>
          <w:rFonts w:ascii="Arial" w:hAnsi="Arial" w:cs="Arial"/>
          <w:sz w:val="20"/>
        </w:rPr>
        <w:t>...</w:t>
      </w:r>
      <w:r>
        <w:rPr>
          <w:rFonts w:ascii="Arial" w:hAnsi="Arial" w:cs="Arial"/>
          <w:sz w:val="20"/>
        </w:rPr>
        <w:t>)</w:t>
      </w:r>
      <w:r w:rsidR="00AD346E" w:rsidRPr="000C62B1">
        <w:rPr>
          <w:rFonts w:ascii="Arial" w:hAnsi="Arial" w:cs="Arial"/>
          <w:sz w:val="20"/>
        </w:rPr>
        <w:t xml:space="preserve"> En todos estos casos, el Conjunto de Principios actualizado para la lucha contra la impunidad establece que los estados "incorporarán garantías contra las posibles desviaciones a que pueda dar lugar" su aplicación</w:t>
      </w:r>
      <w:r w:rsidR="00456374" w:rsidRPr="000C62B1">
        <w:rPr>
          <w:rFonts w:ascii="Arial" w:hAnsi="Arial" w:cs="Arial"/>
          <w:sz w:val="20"/>
          <w:vertAlign w:val="superscript"/>
        </w:rPr>
        <w:footnoteReference w:id="10"/>
      </w:r>
      <w:r w:rsidR="00456374">
        <w:rPr>
          <w:rFonts w:ascii="Arial" w:hAnsi="Arial" w:cs="Arial"/>
          <w:sz w:val="20"/>
        </w:rPr>
        <w:t xml:space="preserve"> </w:t>
      </w:r>
      <w:r w:rsidR="00AD346E" w:rsidRPr="000C62B1">
        <w:rPr>
          <w:rFonts w:ascii="Arial" w:hAnsi="Arial" w:cs="Arial"/>
          <w:sz w:val="20"/>
          <w:vertAlign w:val="superscript"/>
        </w:rPr>
        <w:footnoteReference w:id="11"/>
      </w:r>
      <w:r w:rsidR="00456374">
        <w:rPr>
          <w:rFonts w:ascii="Arial" w:hAnsi="Arial" w:cs="Arial"/>
          <w:sz w:val="20"/>
        </w:rPr>
        <w:t>.</w:t>
      </w:r>
      <w:r w:rsidR="00AD346E" w:rsidRPr="000C62B1">
        <w:rPr>
          <w:rFonts w:ascii="Arial" w:hAnsi="Arial" w:cs="Arial"/>
          <w:sz w:val="20"/>
        </w:rPr>
        <w:t xml:space="preserve"> </w:t>
      </w:r>
    </w:p>
    <w:p w:rsidR="00AD346E" w:rsidRPr="00D630EF" w:rsidRDefault="00AD346E" w:rsidP="00D630EF">
      <w:pPr>
        <w:pStyle w:val="Body1"/>
        <w:spacing w:line="360" w:lineRule="auto"/>
        <w:jc w:val="both"/>
        <w:rPr>
          <w:rFonts w:ascii="Arial" w:hAnsi="Arial" w:cs="Arial"/>
          <w:sz w:val="22"/>
          <w:szCs w:val="22"/>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El volver a conocer los casos de violación a los derechos humanos donde ha existido impunidad  para llegar a la verdad de los hechos y llevar ante la justicia a los </w:t>
      </w:r>
      <w:r w:rsidRPr="00D630EF">
        <w:rPr>
          <w:rFonts w:ascii="Arial" w:hAnsi="Arial" w:cs="Arial"/>
          <w:sz w:val="22"/>
          <w:szCs w:val="22"/>
          <w:u w:color="000000"/>
        </w:rPr>
        <w:lastRenderedPageBreak/>
        <w:t xml:space="preserve">responsables es una evidencia de la voluntad de los Estados y sus autoridades de iniciar procesos de reparación. Establecer condiciones que benefician a los victimarios concediéndoles amnistías y perdón no solamente perjudica a las víctimas  y a sus familiares sino a toda la sociedad </w:t>
      </w:r>
      <w:r w:rsidR="00AE57A7">
        <w:rPr>
          <w:rFonts w:ascii="Arial" w:hAnsi="Arial" w:cs="Arial"/>
          <w:sz w:val="22"/>
          <w:szCs w:val="22"/>
          <w:u w:color="000000"/>
        </w:rPr>
        <w:t>llevando a un desconocimiento general de</w:t>
      </w:r>
      <w:r w:rsidRPr="00D630EF">
        <w:rPr>
          <w:rFonts w:ascii="Arial" w:hAnsi="Arial" w:cs="Arial"/>
          <w:sz w:val="22"/>
          <w:szCs w:val="22"/>
          <w:u w:color="000000"/>
        </w:rPr>
        <w:t xml:space="preserve"> los acontecimientos </w:t>
      </w:r>
      <w:r w:rsidR="00456374">
        <w:rPr>
          <w:rFonts w:ascii="Arial" w:hAnsi="Arial" w:cs="Arial"/>
          <w:sz w:val="22"/>
          <w:szCs w:val="22"/>
          <w:u w:color="000000"/>
        </w:rPr>
        <w:t>que forman parte de su realidad.</w:t>
      </w:r>
      <w:r w:rsidRPr="00D630EF">
        <w:rPr>
          <w:rFonts w:ascii="Arial" w:hAnsi="Arial" w:cs="Arial"/>
          <w:sz w:val="22"/>
          <w:szCs w:val="22"/>
          <w:u w:color="000000"/>
        </w:rPr>
        <w:t xml:space="preserve"> </w:t>
      </w:r>
      <w:r w:rsidR="00456374">
        <w:rPr>
          <w:rFonts w:ascii="Arial" w:hAnsi="Arial" w:cs="Arial"/>
          <w:sz w:val="22"/>
          <w:szCs w:val="22"/>
          <w:u w:color="000000"/>
        </w:rPr>
        <w:t>También</w:t>
      </w:r>
      <w:r w:rsidR="00B31EA0">
        <w:rPr>
          <w:rFonts w:ascii="Arial" w:hAnsi="Arial" w:cs="Arial"/>
          <w:sz w:val="22"/>
          <w:szCs w:val="22"/>
          <w:u w:color="000000"/>
        </w:rPr>
        <w:t xml:space="preserve"> </w:t>
      </w:r>
      <w:r w:rsidRPr="00D630EF">
        <w:rPr>
          <w:rFonts w:ascii="Arial" w:hAnsi="Arial" w:cs="Arial"/>
          <w:sz w:val="22"/>
          <w:szCs w:val="22"/>
          <w:u w:color="000000"/>
        </w:rPr>
        <w:t xml:space="preserve">se </w:t>
      </w:r>
      <w:r w:rsidR="00D630EF" w:rsidRPr="00D630EF">
        <w:rPr>
          <w:rFonts w:ascii="Arial" w:hAnsi="Arial" w:cs="Arial"/>
          <w:sz w:val="22"/>
          <w:szCs w:val="22"/>
          <w:u w:color="000000"/>
        </w:rPr>
        <w:t>está</w:t>
      </w:r>
      <w:r w:rsidRPr="00D630EF">
        <w:rPr>
          <w:rFonts w:ascii="Arial" w:hAnsi="Arial" w:cs="Arial"/>
          <w:sz w:val="22"/>
          <w:szCs w:val="22"/>
          <w:u w:color="000000"/>
        </w:rPr>
        <w:t xml:space="preserve"> permitiendo la impleme</w:t>
      </w:r>
      <w:r w:rsidR="00D630EF">
        <w:rPr>
          <w:rFonts w:ascii="Arial" w:hAnsi="Arial" w:cs="Arial"/>
          <w:sz w:val="22"/>
          <w:szCs w:val="22"/>
          <w:u w:color="000000"/>
        </w:rPr>
        <w:t>n</w:t>
      </w:r>
      <w:r w:rsidRPr="00D630EF">
        <w:rPr>
          <w:rFonts w:ascii="Arial" w:hAnsi="Arial" w:cs="Arial"/>
          <w:sz w:val="22"/>
          <w:szCs w:val="22"/>
          <w:u w:color="000000"/>
        </w:rPr>
        <w:t>tación de un marco jurídico y político de vulneración a los derechos humanos, los e</w:t>
      </w:r>
      <w:r w:rsidR="00456374">
        <w:rPr>
          <w:rFonts w:ascii="Arial" w:hAnsi="Arial" w:cs="Arial"/>
          <w:sz w:val="22"/>
          <w:szCs w:val="22"/>
          <w:u w:color="000000"/>
        </w:rPr>
        <w:t>sfuerzos por evitar que se come</w:t>
      </w:r>
      <w:r w:rsidRPr="00D630EF">
        <w:rPr>
          <w:rFonts w:ascii="Arial" w:hAnsi="Arial" w:cs="Arial"/>
          <w:sz w:val="22"/>
          <w:szCs w:val="22"/>
          <w:u w:color="000000"/>
        </w:rPr>
        <w:t>tan nuevas violaciones se vuelven inútiles, y los mecanismo</w:t>
      </w:r>
      <w:r w:rsidR="00B31EA0">
        <w:rPr>
          <w:rFonts w:ascii="Arial" w:hAnsi="Arial" w:cs="Arial"/>
          <w:sz w:val="22"/>
          <w:szCs w:val="22"/>
          <w:u w:color="000000"/>
        </w:rPr>
        <w:t>s</w:t>
      </w:r>
      <w:r w:rsidRPr="00D630EF">
        <w:rPr>
          <w:rFonts w:ascii="Arial" w:hAnsi="Arial" w:cs="Arial"/>
          <w:sz w:val="22"/>
          <w:szCs w:val="22"/>
          <w:u w:color="000000"/>
        </w:rPr>
        <w:t xml:space="preserve"> e</w:t>
      </w:r>
      <w:r w:rsidR="00214291">
        <w:rPr>
          <w:rFonts w:ascii="Arial" w:hAnsi="Arial" w:cs="Arial"/>
          <w:sz w:val="22"/>
          <w:szCs w:val="22"/>
          <w:u w:color="000000"/>
        </w:rPr>
        <w:t xml:space="preserve"> instituciones que promueve</w:t>
      </w:r>
      <w:r w:rsidR="00456374">
        <w:rPr>
          <w:rFonts w:ascii="Arial" w:hAnsi="Arial" w:cs="Arial"/>
          <w:sz w:val="22"/>
          <w:szCs w:val="22"/>
          <w:u w:color="000000"/>
        </w:rPr>
        <w:t>n la</w:t>
      </w:r>
      <w:r w:rsidRPr="00D630EF">
        <w:rPr>
          <w:rFonts w:ascii="Arial" w:hAnsi="Arial" w:cs="Arial"/>
          <w:sz w:val="22"/>
          <w:szCs w:val="22"/>
          <w:u w:color="000000"/>
        </w:rPr>
        <w:t xml:space="preserve"> protección de los derechos sufren retrocesos que impiden su desarrollo y progreso.</w:t>
      </w:r>
    </w:p>
    <w:p w:rsidR="00AD346E" w:rsidRPr="00D630EF" w:rsidRDefault="00AD346E" w:rsidP="00D630EF">
      <w:pPr>
        <w:pStyle w:val="Body1"/>
        <w:spacing w:before="20" w:line="360" w:lineRule="auto"/>
        <w:outlineLvl w:val="0"/>
        <w:rPr>
          <w:rFonts w:ascii="Arial" w:hAnsi="Arial" w:cs="Arial"/>
          <w:sz w:val="22"/>
          <w:szCs w:val="22"/>
          <w:u w:color="000000"/>
        </w:rPr>
      </w:pPr>
    </w:p>
    <w:p w:rsidR="002601D7"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La impunidad puede evidenciarse además en aquellos casos que son admitidos en por la CIDH, ya que ello demuestra que los mecanismos internos de protección </w:t>
      </w:r>
      <w:r w:rsidR="00613EF4">
        <w:rPr>
          <w:rFonts w:ascii="Arial" w:hAnsi="Arial" w:cs="Arial"/>
          <w:sz w:val="22"/>
          <w:szCs w:val="22"/>
          <w:u w:color="000000"/>
        </w:rPr>
        <w:t xml:space="preserve">de derechos de los Estados </w:t>
      </w:r>
      <w:r w:rsidRPr="00D630EF">
        <w:rPr>
          <w:rFonts w:ascii="Arial" w:hAnsi="Arial" w:cs="Arial"/>
          <w:sz w:val="22"/>
          <w:szCs w:val="22"/>
          <w:u w:color="000000"/>
        </w:rPr>
        <w:t>son deficientes o no están cumplimiento con sus respectivas obligaciones. En este sentido en la mayor medida en que se presenten casos en los órg</w:t>
      </w:r>
      <w:r w:rsidR="00613EF4">
        <w:rPr>
          <w:rFonts w:ascii="Arial" w:hAnsi="Arial" w:cs="Arial"/>
          <w:sz w:val="22"/>
          <w:szCs w:val="22"/>
          <w:u w:color="000000"/>
        </w:rPr>
        <w:t>anos de justicia internacional,</w:t>
      </w:r>
      <w:r w:rsidRPr="00D630EF">
        <w:rPr>
          <w:rFonts w:ascii="Arial" w:hAnsi="Arial" w:cs="Arial"/>
          <w:sz w:val="22"/>
          <w:szCs w:val="22"/>
          <w:u w:color="000000"/>
        </w:rPr>
        <w:t xml:space="preserve"> implica un mayor desconocimiento de los derechos por parte de los Estados. </w:t>
      </w:r>
      <w:r w:rsidR="008934C0">
        <w:rPr>
          <w:rFonts w:ascii="Arial" w:hAnsi="Arial" w:cs="Arial"/>
          <w:sz w:val="22"/>
          <w:szCs w:val="22"/>
          <w:u w:color="000000"/>
        </w:rPr>
        <w:t>La Corte IDH respecto a este punto ha definido la impunidad como:</w:t>
      </w:r>
    </w:p>
    <w:p w:rsidR="002601D7" w:rsidRDefault="002601D7" w:rsidP="008934C0">
      <w:pPr>
        <w:pStyle w:val="Body1"/>
        <w:spacing w:before="20" w:line="360" w:lineRule="auto"/>
        <w:jc w:val="both"/>
        <w:outlineLvl w:val="0"/>
        <w:rPr>
          <w:rFonts w:ascii="Arial" w:hAnsi="Arial" w:cs="Arial"/>
          <w:sz w:val="22"/>
          <w:szCs w:val="22"/>
          <w:u w:color="000000"/>
        </w:rPr>
      </w:pPr>
    </w:p>
    <w:p w:rsidR="008934C0" w:rsidRPr="000C62B1" w:rsidRDefault="000C62B1" w:rsidP="00337420">
      <w:pPr>
        <w:pStyle w:val="Body1"/>
        <w:spacing w:before="20" w:line="276" w:lineRule="auto"/>
        <w:ind w:left="720"/>
        <w:jc w:val="both"/>
        <w:outlineLvl w:val="0"/>
        <w:rPr>
          <w:rFonts w:ascii="Arial" w:hAnsi="Arial" w:cs="Arial"/>
          <w:sz w:val="20"/>
          <w:u w:color="000000"/>
        </w:rPr>
      </w:pPr>
      <w:r>
        <w:rPr>
          <w:rFonts w:ascii="Arial" w:hAnsi="Arial" w:cs="Arial"/>
          <w:sz w:val="20"/>
          <w:u w:color="000000"/>
        </w:rPr>
        <w:t>(</w:t>
      </w:r>
      <w:r w:rsidR="002601D7" w:rsidRPr="000C62B1">
        <w:rPr>
          <w:rFonts w:ascii="Arial" w:hAnsi="Arial" w:cs="Arial"/>
          <w:sz w:val="20"/>
          <w:u w:color="000000"/>
        </w:rPr>
        <w:t>…</w:t>
      </w:r>
      <w:r>
        <w:rPr>
          <w:rFonts w:ascii="Arial" w:hAnsi="Arial" w:cs="Arial"/>
          <w:sz w:val="20"/>
          <w:u w:color="000000"/>
        </w:rPr>
        <w:t>)</w:t>
      </w:r>
      <w:r w:rsidR="00214291">
        <w:rPr>
          <w:rFonts w:ascii="Arial" w:hAnsi="Arial" w:cs="Arial"/>
          <w:sz w:val="20"/>
          <w:u w:color="000000"/>
        </w:rPr>
        <w:t xml:space="preserve"> </w:t>
      </w:r>
      <w:r w:rsidR="002601D7" w:rsidRPr="000C62B1">
        <w:rPr>
          <w:rFonts w:ascii="Arial" w:hAnsi="Arial" w:cs="Arial"/>
          <w:sz w:val="20"/>
          <w:u w:color="000000"/>
        </w:rPr>
        <w:t>la falta en su conjunto de investigación, persecución, captura, enjuiciamiento y condena de los responsables de las violaciones de los derechos protegidos por la Convención Americana. El Estado está obligado a combatir esta situación por todos los medios disponibles, ya que ésta propicia la repetición crónica de las violaciones de derechos humanos y la total indefensión de las víctimas y de sus familiares</w:t>
      </w:r>
      <w:r w:rsidR="002601D7" w:rsidRPr="000C62B1">
        <w:rPr>
          <w:rStyle w:val="Refdenotaalpie"/>
          <w:rFonts w:ascii="Arial" w:hAnsi="Arial" w:cs="Arial"/>
          <w:sz w:val="20"/>
          <w:u w:color="000000"/>
        </w:rPr>
        <w:footnoteReference w:id="12"/>
      </w:r>
      <w:r w:rsidR="008934C0" w:rsidRPr="000C62B1">
        <w:rPr>
          <w:rFonts w:ascii="Arial" w:hAnsi="Arial" w:cs="Arial"/>
          <w:sz w:val="20"/>
          <w:u w:color="000000"/>
        </w:rPr>
        <w:t xml:space="preserve"> </w:t>
      </w:r>
    </w:p>
    <w:p w:rsidR="008934C0" w:rsidRDefault="008934C0" w:rsidP="00244B68">
      <w:pPr>
        <w:pStyle w:val="Body1"/>
        <w:spacing w:before="20" w:line="360" w:lineRule="auto"/>
        <w:jc w:val="both"/>
        <w:outlineLvl w:val="0"/>
        <w:rPr>
          <w:rFonts w:ascii="Arial" w:hAnsi="Arial" w:cs="Arial"/>
          <w:sz w:val="22"/>
          <w:szCs w:val="22"/>
          <w:u w:color="000000"/>
        </w:rPr>
      </w:pPr>
    </w:p>
    <w:p w:rsidR="00244B68" w:rsidRDefault="002601D7" w:rsidP="009D5ED1">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S</w:t>
      </w:r>
      <w:r w:rsidR="00AD346E" w:rsidRPr="00D630EF">
        <w:rPr>
          <w:rFonts w:ascii="Arial" w:hAnsi="Arial" w:cs="Arial"/>
          <w:sz w:val="22"/>
          <w:szCs w:val="22"/>
          <w:u w:color="000000"/>
        </w:rPr>
        <w:t xml:space="preserve">i bien los regímenes de gobierno tienden a ser </w:t>
      </w:r>
      <w:r w:rsidR="004A04BF" w:rsidRPr="00D630EF">
        <w:rPr>
          <w:rFonts w:ascii="Arial" w:hAnsi="Arial" w:cs="Arial"/>
          <w:sz w:val="22"/>
          <w:szCs w:val="22"/>
          <w:u w:color="000000"/>
        </w:rPr>
        <w:t>más</w:t>
      </w:r>
      <w:r w:rsidR="00AD346E" w:rsidRPr="00D630EF">
        <w:rPr>
          <w:rFonts w:ascii="Arial" w:hAnsi="Arial" w:cs="Arial"/>
          <w:sz w:val="22"/>
          <w:szCs w:val="22"/>
          <w:u w:color="000000"/>
        </w:rPr>
        <w:t xml:space="preserve"> democráticos y abiertos al debate de la protección de los derechos humanos, existen aún barreras que deben ser superadas. Los marcos jurídicos de los Estados deben tender hacia un mayor reconocimiento de los derechos humanos, partiendo desde las constituciones, las leyes, reglamentos, estatutos, instructivos y </w:t>
      </w:r>
      <w:r w:rsidR="00D630EF" w:rsidRPr="00D630EF">
        <w:rPr>
          <w:rFonts w:ascii="Arial" w:hAnsi="Arial" w:cs="Arial"/>
          <w:sz w:val="22"/>
          <w:szCs w:val="22"/>
          <w:u w:color="000000"/>
        </w:rPr>
        <w:t>demás</w:t>
      </w:r>
      <w:r w:rsidR="00AD346E" w:rsidRPr="00D630EF">
        <w:rPr>
          <w:rFonts w:ascii="Arial" w:hAnsi="Arial" w:cs="Arial"/>
          <w:sz w:val="22"/>
          <w:szCs w:val="22"/>
          <w:u w:color="000000"/>
        </w:rPr>
        <w:t xml:space="preserve"> instrumentos </w:t>
      </w:r>
      <w:r w:rsidR="00B31EA0">
        <w:rPr>
          <w:rFonts w:ascii="Arial" w:hAnsi="Arial" w:cs="Arial"/>
          <w:sz w:val="22"/>
          <w:szCs w:val="22"/>
          <w:u w:color="000000"/>
        </w:rPr>
        <w:t xml:space="preserve">que </w:t>
      </w:r>
      <w:r w:rsidR="00AD346E" w:rsidRPr="00D630EF">
        <w:rPr>
          <w:rFonts w:ascii="Arial" w:hAnsi="Arial" w:cs="Arial"/>
          <w:sz w:val="22"/>
          <w:szCs w:val="22"/>
          <w:u w:color="000000"/>
        </w:rPr>
        <w:t>deben dar contenido a dicha protección</w:t>
      </w:r>
      <w:r w:rsidR="00214291">
        <w:rPr>
          <w:rFonts w:ascii="Arial" w:hAnsi="Arial" w:cs="Arial"/>
          <w:sz w:val="22"/>
          <w:szCs w:val="22"/>
          <w:u w:color="000000"/>
        </w:rPr>
        <w:t>,</w:t>
      </w:r>
      <w:r w:rsidR="00AD346E" w:rsidRPr="00D630EF">
        <w:rPr>
          <w:rFonts w:ascii="Arial" w:hAnsi="Arial" w:cs="Arial"/>
          <w:sz w:val="22"/>
          <w:szCs w:val="22"/>
          <w:u w:color="000000"/>
        </w:rPr>
        <w:t xml:space="preserve"> desde el establecimiento de principios hasta las normas que regulen la ejecución y cumplimiento de los postulados, los mecanismos deben</w:t>
      </w:r>
      <w:r w:rsidR="00B31EA0">
        <w:rPr>
          <w:rFonts w:ascii="Arial" w:hAnsi="Arial" w:cs="Arial"/>
          <w:sz w:val="22"/>
          <w:szCs w:val="22"/>
          <w:u w:color="000000"/>
        </w:rPr>
        <w:t xml:space="preserve"> estar perfectamente delineados</w:t>
      </w:r>
      <w:r w:rsidR="00AD346E" w:rsidRPr="00D630EF">
        <w:rPr>
          <w:rFonts w:ascii="Arial" w:hAnsi="Arial" w:cs="Arial"/>
          <w:sz w:val="22"/>
          <w:szCs w:val="22"/>
          <w:u w:color="000000"/>
        </w:rPr>
        <w:t xml:space="preserve"> y determinados, así como las autoridades que vigilen su cumplimiento. </w:t>
      </w:r>
    </w:p>
    <w:p w:rsidR="00244B68" w:rsidRDefault="00244B68" w:rsidP="00244B68">
      <w:pPr>
        <w:pStyle w:val="Body1"/>
        <w:spacing w:before="20" w:line="360" w:lineRule="auto"/>
        <w:jc w:val="both"/>
        <w:outlineLvl w:val="0"/>
        <w:rPr>
          <w:rFonts w:ascii="Arial" w:hAnsi="Arial" w:cs="Arial"/>
          <w:sz w:val="22"/>
          <w:szCs w:val="22"/>
          <w:u w:color="000000"/>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No se puede admitir que las víctimas vuelvan a ser victimizadas con procedimientos inciertos y autoridades parcializadas que únicamente promueven un criterio de desconfianza frente a la administración de justicia.</w:t>
      </w:r>
    </w:p>
    <w:p w:rsidR="00AD346E" w:rsidRPr="00D630EF" w:rsidRDefault="00AD346E" w:rsidP="00D630EF">
      <w:pPr>
        <w:pStyle w:val="Body1"/>
        <w:spacing w:before="20" w:line="360" w:lineRule="auto"/>
        <w:jc w:val="both"/>
        <w:outlineLvl w:val="0"/>
        <w:rPr>
          <w:rFonts w:ascii="Arial" w:hAnsi="Arial" w:cs="Arial"/>
          <w:sz w:val="22"/>
          <w:szCs w:val="22"/>
          <w:u w:color="000000"/>
        </w:rPr>
      </w:pPr>
    </w:p>
    <w:p w:rsidR="00AD346E"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Se espera de los Estados un mayor compromiso en los casos de violación a los derechos humanos, ya que fue</w:t>
      </w:r>
      <w:r w:rsidR="00214291">
        <w:rPr>
          <w:rFonts w:ascii="Arial" w:hAnsi="Arial" w:cs="Arial"/>
          <w:sz w:val="22"/>
          <w:szCs w:val="22"/>
          <w:u w:color="000000"/>
        </w:rPr>
        <w:t xml:space="preserve">ron </w:t>
      </w:r>
      <w:r w:rsidRPr="00D630EF">
        <w:rPr>
          <w:rFonts w:ascii="Arial" w:hAnsi="Arial" w:cs="Arial"/>
          <w:sz w:val="22"/>
          <w:szCs w:val="22"/>
          <w:u w:color="000000"/>
        </w:rPr>
        <w:t>l</w:t>
      </w:r>
      <w:r w:rsidR="00214291">
        <w:rPr>
          <w:rFonts w:ascii="Arial" w:hAnsi="Arial" w:cs="Arial"/>
          <w:sz w:val="22"/>
          <w:szCs w:val="22"/>
          <w:u w:color="000000"/>
        </w:rPr>
        <w:t>os</w:t>
      </w:r>
      <w:r w:rsidRPr="00D630EF">
        <w:rPr>
          <w:rFonts w:ascii="Arial" w:hAnsi="Arial" w:cs="Arial"/>
          <w:sz w:val="22"/>
          <w:szCs w:val="22"/>
          <w:u w:color="000000"/>
        </w:rPr>
        <w:t xml:space="preserve"> mismo</w:t>
      </w:r>
      <w:r w:rsidR="00214291">
        <w:rPr>
          <w:rFonts w:ascii="Arial" w:hAnsi="Arial" w:cs="Arial"/>
          <w:sz w:val="22"/>
          <w:szCs w:val="22"/>
          <w:u w:color="000000"/>
        </w:rPr>
        <w:t>s</w:t>
      </w:r>
      <w:r w:rsidRPr="00D630EF">
        <w:rPr>
          <w:rFonts w:ascii="Arial" w:hAnsi="Arial" w:cs="Arial"/>
          <w:sz w:val="22"/>
          <w:szCs w:val="22"/>
          <w:u w:color="000000"/>
        </w:rPr>
        <w:t xml:space="preserve"> Estado</w:t>
      </w:r>
      <w:r w:rsidR="00214291">
        <w:rPr>
          <w:rFonts w:ascii="Arial" w:hAnsi="Arial" w:cs="Arial"/>
          <w:sz w:val="22"/>
          <w:szCs w:val="22"/>
          <w:u w:color="000000"/>
        </w:rPr>
        <w:t xml:space="preserve">s </w:t>
      </w:r>
      <w:r w:rsidRPr="00D630EF">
        <w:rPr>
          <w:rFonts w:ascii="Arial" w:hAnsi="Arial" w:cs="Arial"/>
          <w:sz w:val="22"/>
          <w:szCs w:val="22"/>
          <w:u w:color="000000"/>
        </w:rPr>
        <w:t>l</w:t>
      </w:r>
      <w:r w:rsidR="00214291">
        <w:rPr>
          <w:rFonts w:ascii="Arial" w:hAnsi="Arial" w:cs="Arial"/>
          <w:sz w:val="22"/>
          <w:szCs w:val="22"/>
          <w:u w:color="000000"/>
        </w:rPr>
        <w:t>os</w:t>
      </w:r>
      <w:r w:rsidRPr="00D630EF">
        <w:rPr>
          <w:rFonts w:ascii="Arial" w:hAnsi="Arial" w:cs="Arial"/>
          <w:sz w:val="22"/>
          <w:szCs w:val="22"/>
          <w:u w:color="000000"/>
        </w:rPr>
        <w:t xml:space="preserve"> que propi</w:t>
      </w:r>
      <w:r w:rsidR="00214291">
        <w:rPr>
          <w:rFonts w:ascii="Arial" w:hAnsi="Arial" w:cs="Arial"/>
          <w:sz w:val="22"/>
          <w:szCs w:val="22"/>
          <w:u w:color="000000"/>
        </w:rPr>
        <w:t>ciaron</w:t>
      </w:r>
      <w:r w:rsidR="00B31EA0">
        <w:rPr>
          <w:rFonts w:ascii="Arial" w:hAnsi="Arial" w:cs="Arial"/>
          <w:sz w:val="22"/>
          <w:szCs w:val="22"/>
          <w:u w:color="000000"/>
        </w:rPr>
        <w:t xml:space="preserve"> las vulneraciones </w:t>
      </w:r>
      <w:r w:rsidR="00214291">
        <w:rPr>
          <w:rFonts w:ascii="Arial" w:hAnsi="Arial" w:cs="Arial"/>
          <w:sz w:val="22"/>
          <w:szCs w:val="22"/>
          <w:u w:color="000000"/>
        </w:rPr>
        <w:t>por ello son los</w:t>
      </w:r>
      <w:r w:rsidRPr="00D630EF">
        <w:rPr>
          <w:rFonts w:ascii="Arial" w:hAnsi="Arial" w:cs="Arial"/>
          <w:sz w:val="22"/>
          <w:szCs w:val="22"/>
          <w:u w:color="000000"/>
        </w:rPr>
        <w:t xml:space="preserve"> </w:t>
      </w:r>
      <w:r w:rsidR="00214291">
        <w:rPr>
          <w:rFonts w:ascii="Arial" w:hAnsi="Arial" w:cs="Arial"/>
          <w:sz w:val="22"/>
          <w:szCs w:val="22"/>
          <w:u w:color="000000"/>
        </w:rPr>
        <w:t>llamados a</w:t>
      </w:r>
      <w:r w:rsidRPr="00D630EF">
        <w:rPr>
          <w:rFonts w:ascii="Arial" w:hAnsi="Arial" w:cs="Arial"/>
          <w:sz w:val="22"/>
          <w:szCs w:val="22"/>
          <w:u w:color="000000"/>
        </w:rPr>
        <w:t xml:space="preserve"> </w:t>
      </w:r>
      <w:r w:rsidR="00B31EA0" w:rsidRPr="00D630EF">
        <w:rPr>
          <w:rFonts w:ascii="Arial" w:hAnsi="Arial" w:cs="Arial"/>
          <w:sz w:val="22"/>
          <w:szCs w:val="22"/>
          <w:u w:color="000000"/>
        </w:rPr>
        <w:t>favorecer</w:t>
      </w:r>
      <w:r w:rsidRPr="00D630EF">
        <w:rPr>
          <w:rFonts w:ascii="Arial" w:hAnsi="Arial" w:cs="Arial"/>
          <w:sz w:val="22"/>
          <w:szCs w:val="22"/>
          <w:u w:color="000000"/>
        </w:rPr>
        <w:t xml:space="preserve"> el resarcimiento y la reparación integral cuando las responsabilidades han sido determinadas. No se trata de procesos judiciales en los que </w:t>
      </w:r>
      <w:r w:rsidR="00B31EA0">
        <w:rPr>
          <w:rFonts w:ascii="Arial" w:hAnsi="Arial" w:cs="Arial"/>
          <w:sz w:val="22"/>
          <w:szCs w:val="22"/>
          <w:u w:color="000000"/>
        </w:rPr>
        <w:t xml:space="preserve">las </w:t>
      </w:r>
      <w:r w:rsidRPr="00D630EF">
        <w:rPr>
          <w:rFonts w:ascii="Arial" w:hAnsi="Arial" w:cs="Arial"/>
          <w:sz w:val="22"/>
          <w:szCs w:val="22"/>
          <w:u w:color="000000"/>
        </w:rPr>
        <w:t>parte</w:t>
      </w:r>
      <w:r w:rsidR="00B31EA0">
        <w:rPr>
          <w:rFonts w:ascii="Arial" w:hAnsi="Arial" w:cs="Arial"/>
          <w:sz w:val="22"/>
          <w:szCs w:val="22"/>
          <w:u w:color="000000"/>
        </w:rPr>
        <w:t>s</w:t>
      </w:r>
      <w:r w:rsidRPr="00D630EF">
        <w:rPr>
          <w:rFonts w:ascii="Arial" w:hAnsi="Arial" w:cs="Arial"/>
          <w:sz w:val="22"/>
          <w:szCs w:val="22"/>
          <w:u w:color="000000"/>
        </w:rPr>
        <w:t xml:space="preserve"> van a medir fuerzas, sino </w:t>
      </w:r>
      <w:proofErr w:type="spellStart"/>
      <w:r w:rsidRPr="00D630EF">
        <w:rPr>
          <w:rFonts w:ascii="Arial" w:hAnsi="Arial" w:cs="Arial"/>
          <w:sz w:val="22"/>
          <w:szCs w:val="22"/>
          <w:u w:color="000000"/>
        </w:rPr>
        <w:t>mas</w:t>
      </w:r>
      <w:proofErr w:type="spellEnd"/>
      <w:r w:rsidRPr="00D630EF">
        <w:rPr>
          <w:rFonts w:ascii="Arial" w:hAnsi="Arial" w:cs="Arial"/>
          <w:sz w:val="22"/>
          <w:szCs w:val="22"/>
          <w:u w:color="000000"/>
        </w:rPr>
        <w:t xml:space="preserve"> bien el reconocimiento de responsabilidades y la adopción de procedimientos </w:t>
      </w:r>
      <w:proofErr w:type="spellStart"/>
      <w:r w:rsidRPr="00D630EF">
        <w:rPr>
          <w:rFonts w:ascii="Arial" w:hAnsi="Arial" w:cs="Arial"/>
          <w:sz w:val="22"/>
          <w:szCs w:val="22"/>
          <w:u w:color="000000"/>
        </w:rPr>
        <w:t>reparatorios</w:t>
      </w:r>
      <w:proofErr w:type="spellEnd"/>
      <w:r w:rsidRPr="00D630EF">
        <w:rPr>
          <w:rFonts w:ascii="Arial" w:hAnsi="Arial" w:cs="Arial"/>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9D5ED1" w:rsidRDefault="00102AD1" w:rsidP="00B656C2">
      <w:pPr>
        <w:pStyle w:val="Body1"/>
        <w:numPr>
          <w:ilvl w:val="2"/>
          <w:numId w:val="7"/>
        </w:numPr>
        <w:spacing w:before="20" w:line="360" w:lineRule="auto"/>
        <w:jc w:val="both"/>
        <w:outlineLvl w:val="2"/>
        <w:rPr>
          <w:rFonts w:ascii="Arial" w:hAnsi="Arial" w:cs="Arial"/>
          <w:b/>
          <w:sz w:val="22"/>
          <w:szCs w:val="22"/>
          <w:u w:color="000000"/>
        </w:rPr>
      </w:pPr>
      <w:bookmarkStart w:id="3" w:name="_Toc356432240"/>
      <w:r>
        <w:rPr>
          <w:rFonts w:ascii="Arial" w:hAnsi="Arial" w:cs="Arial"/>
          <w:b/>
          <w:sz w:val="22"/>
          <w:szCs w:val="22"/>
          <w:u w:color="000000"/>
        </w:rPr>
        <w:t>L</w:t>
      </w:r>
      <w:r w:rsidRPr="009D5ED1">
        <w:rPr>
          <w:rFonts w:ascii="Arial" w:hAnsi="Arial" w:cs="Arial"/>
          <w:b/>
          <w:sz w:val="22"/>
          <w:szCs w:val="22"/>
          <w:u w:color="000000"/>
        </w:rPr>
        <w:t>a trilogía de los derechos a l</w:t>
      </w:r>
      <w:r>
        <w:rPr>
          <w:rFonts w:ascii="Arial" w:hAnsi="Arial" w:cs="Arial"/>
          <w:b/>
          <w:sz w:val="22"/>
          <w:szCs w:val="22"/>
          <w:u w:color="000000"/>
        </w:rPr>
        <w:t>a verdad, justicia y reparación</w:t>
      </w:r>
      <w:bookmarkEnd w:id="3"/>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090448" w:rsidP="009D5ED1">
      <w:pPr>
        <w:pStyle w:val="Body1"/>
        <w:spacing w:line="360" w:lineRule="auto"/>
        <w:jc w:val="both"/>
        <w:rPr>
          <w:rFonts w:ascii="Arial" w:hAnsi="Arial" w:cs="Arial"/>
          <w:sz w:val="22"/>
          <w:szCs w:val="22"/>
        </w:rPr>
      </w:pPr>
      <w:r>
        <w:rPr>
          <w:rFonts w:ascii="Arial" w:hAnsi="Arial" w:cs="Arial"/>
          <w:sz w:val="22"/>
          <w:szCs w:val="22"/>
        </w:rPr>
        <w:t>Los derechos humanos</w:t>
      </w:r>
      <w:r w:rsidR="00AD346E" w:rsidRPr="00D630EF">
        <w:rPr>
          <w:rFonts w:ascii="Arial" w:hAnsi="Arial" w:cs="Arial"/>
          <w:sz w:val="22"/>
          <w:szCs w:val="22"/>
        </w:rPr>
        <w:t xml:space="preserve"> </w:t>
      </w:r>
      <w:r w:rsidR="00540A0B">
        <w:rPr>
          <w:rFonts w:ascii="Arial" w:hAnsi="Arial" w:cs="Arial"/>
          <w:sz w:val="22"/>
          <w:szCs w:val="22"/>
        </w:rPr>
        <w:t>deben tener un desarrollo progresivo</w:t>
      </w:r>
      <w:r w:rsidR="00AD346E" w:rsidRPr="00D630EF">
        <w:rPr>
          <w:rFonts w:ascii="Arial" w:hAnsi="Arial" w:cs="Arial"/>
          <w:sz w:val="22"/>
          <w:szCs w:val="22"/>
        </w:rPr>
        <w:t xml:space="preserve"> en el </w:t>
      </w:r>
      <w:r w:rsidR="00540A0B">
        <w:rPr>
          <w:rFonts w:ascii="Arial" w:hAnsi="Arial" w:cs="Arial"/>
          <w:sz w:val="22"/>
          <w:szCs w:val="22"/>
        </w:rPr>
        <w:t>sentido de extender y ampliar su</w:t>
      </w:r>
      <w:r w:rsidR="00AD346E" w:rsidRPr="00D630EF">
        <w:rPr>
          <w:rFonts w:ascii="Arial" w:hAnsi="Arial" w:cs="Arial"/>
          <w:sz w:val="22"/>
          <w:szCs w:val="22"/>
        </w:rPr>
        <w:t xml:space="preserve"> reconocimiento y protección, </w:t>
      </w:r>
      <w:r w:rsidR="00540A0B">
        <w:rPr>
          <w:rFonts w:ascii="Arial" w:hAnsi="Arial" w:cs="Arial"/>
          <w:sz w:val="22"/>
          <w:szCs w:val="22"/>
        </w:rPr>
        <w:t>los Estados deben dotarles de</w:t>
      </w:r>
      <w:r w:rsidR="00AD346E" w:rsidRPr="00D630EF">
        <w:rPr>
          <w:rFonts w:ascii="Arial" w:hAnsi="Arial" w:cs="Arial"/>
          <w:sz w:val="22"/>
          <w:szCs w:val="22"/>
        </w:rPr>
        <w:t xml:space="preserve"> mayor contenido y mecanismos </w:t>
      </w:r>
      <w:r w:rsidR="00540A0B">
        <w:rPr>
          <w:rFonts w:ascii="Arial" w:hAnsi="Arial" w:cs="Arial"/>
          <w:sz w:val="22"/>
          <w:szCs w:val="22"/>
        </w:rPr>
        <w:t xml:space="preserve">de aplicación </w:t>
      </w:r>
      <w:r w:rsidR="00AD346E" w:rsidRPr="00D630EF">
        <w:rPr>
          <w:rFonts w:ascii="Arial" w:hAnsi="Arial" w:cs="Arial"/>
          <w:sz w:val="22"/>
          <w:szCs w:val="22"/>
        </w:rPr>
        <w:t xml:space="preserve">tanto a nivel cuantitativo como cualitativo. En la actualidad el debate en torno a una mayor protección de los derechos humanos se ha centrado en su reparación y las cualidades que dicha reparación debe reunir, </w:t>
      </w:r>
      <w:r w:rsidR="00D630EF" w:rsidRPr="00D630EF">
        <w:rPr>
          <w:rFonts w:ascii="Arial" w:hAnsi="Arial" w:cs="Arial"/>
          <w:sz w:val="22"/>
          <w:szCs w:val="22"/>
        </w:rPr>
        <w:t>considerándola</w:t>
      </w:r>
      <w:r w:rsidR="00AD346E" w:rsidRPr="00D630EF">
        <w:rPr>
          <w:rFonts w:ascii="Arial" w:hAnsi="Arial" w:cs="Arial"/>
          <w:sz w:val="22"/>
          <w:szCs w:val="22"/>
        </w:rPr>
        <w:t xml:space="preserve"> como</w:t>
      </w:r>
      <w:r w:rsidR="00D225AF">
        <w:rPr>
          <w:rFonts w:ascii="Arial" w:hAnsi="Arial" w:cs="Arial"/>
          <w:sz w:val="22"/>
          <w:szCs w:val="22"/>
        </w:rPr>
        <w:t xml:space="preserve"> </w:t>
      </w:r>
      <w:r w:rsidR="00AD346E" w:rsidRPr="00D630EF">
        <w:rPr>
          <w:rFonts w:ascii="Arial" w:hAnsi="Arial" w:cs="Arial"/>
          <w:sz w:val="22"/>
          <w:szCs w:val="22"/>
        </w:rPr>
        <w:t>objetivo necesario para sa</w:t>
      </w:r>
      <w:r w:rsidR="00B31EA0">
        <w:rPr>
          <w:rFonts w:ascii="Arial" w:hAnsi="Arial" w:cs="Arial"/>
          <w:sz w:val="22"/>
          <w:szCs w:val="22"/>
        </w:rPr>
        <w:t>lvaguardar los derechos humanos</w:t>
      </w:r>
      <w:r w:rsidR="00540A0B">
        <w:rPr>
          <w:rFonts w:ascii="Arial" w:hAnsi="Arial" w:cs="Arial"/>
          <w:sz w:val="22"/>
          <w:szCs w:val="22"/>
        </w:rPr>
        <w:t xml:space="preserve">. </w:t>
      </w:r>
    </w:p>
    <w:p w:rsidR="00AD346E" w:rsidRPr="00D630EF" w:rsidRDefault="00AD346E" w:rsidP="00D630EF">
      <w:pPr>
        <w:pStyle w:val="Body1"/>
        <w:spacing w:line="360" w:lineRule="auto"/>
        <w:jc w:val="both"/>
        <w:rPr>
          <w:rFonts w:ascii="Arial" w:hAnsi="Arial" w:cs="Arial"/>
          <w:sz w:val="22"/>
          <w:szCs w:val="22"/>
        </w:rPr>
      </w:pPr>
    </w:p>
    <w:p w:rsidR="00AD346E" w:rsidRPr="00D630EF" w:rsidRDefault="00AD346E" w:rsidP="009D5ED1">
      <w:pPr>
        <w:pStyle w:val="Body1"/>
        <w:spacing w:line="360" w:lineRule="auto"/>
        <w:jc w:val="both"/>
        <w:rPr>
          <w:rFonts w:ascii="Arial" w:hAnsi="Arial" w:cs="Arial"/>
          <w:sz w:val="22"/>
          <w:szCs w:val="22"/>
        </w:rPr>
      </w:pPr>
      <w:r w:rsidRPr="00D630EF">
        <w:rPr>
          <w:rFonts w:ascii="Arial" w:hAnsi="Arial" w:cs="Arial"/>
          <w:sz w:val="22"/>
          <w:szCs w:val="22"/>
        </w:rPr>
        <w:t>En torno al tema</w:t>
      </w:r>
      <w:r w:rsidR="00C24F6A">
        <w:rPr>
          <w:rFonts w:ascii="Arial" w:hAnsi="Arial" w:cs="Arial"/>
          <w:sz w:val="22"/>
          <w:szCs w:val="22"/>
        </w:rPr>
        <w:t>,</w:t>
      </w:r>
      <w:r w:rsidRPr="00D630EF">
        <w:rPr>
          <w:rFonts w:ascii="Arial" w:hAnsi="Arial" w:cs="Arial"/>
          <w:sz w:val="22"/>
          <w:szCs w:val="22"/>
        </w:rPr>
        <w:t xml:space="preserve"> los tratadistas han identificado varios elementos que deben reunirse para alcanzar una reparación integral, se ha considerado en este sentido una trilog</w:t>
      </w:r>
      <w:r w:rsidR="00B31EA0">
        <w:rPr>
          <w:rFonts w:ascii="Arial" w:hAnsi="Arial" w:cs="Arial"/>
          <w:sz w:val="22"/>
          <w:szCs w:val="22"/>
        </w:rPr>
        <w:t>ía de derechos, los que se encuentran</w:t>
      </w:r>
      <w:r w:rsidRPr="00D630EF">
        <w:rPr>
          <w:rFonts w:ascii="Arial" w:hAnsi="Arial" w:cs="Arial"/>
          <w:sz w:val="22"/>
          <w:szCs w:val="22"/>
        </w:rPr>
        <w:t xml:space="preserve"> necesariamente complementados </w:t>
      </w:r>
      <w:r w:rsidR="00B31EA0">
        <w:rPr>
          <w:rFonts w:ascii="Arial" w:hAnsi="Arial" w:cs="Arial"/>
          <w:sz w:val="22"/>
          <w:szCs w:val="22"/>
        </w:rPr>
        <w:t xml:space="preserve">y </w:t>
      </w:r>
      <w:r w:rsidR="00C24F6A">
        <w:rPr>
          <w:rFonts w:ascii="Arial" w:hAnsi="Arial" w:cs="Arial"/>
          <w:sz w:val="22"/>
          <w:szCs w:val="22"/>
        </w:rPr>
        <w:t>cuya observancia promueve</w:t>
      </w:r>
      <w:r w:rsidRPr="00D630EF">
        <w:rPr>
          <w:rFonts w:ascii="Arial" w:hAnsi="Arial" w:cs="Arial"/>
          <w:sz w:val="22"/>
          <w:szCs w:val="22"/>
        </w:rPr>
        <w:t xml:space="preserve"> el objetivo </w:t>
      </w:r>
      <w:r w:rsidR="00B31EA0">
        <w:rPr>
          <w:rFonts w:ascii="Arial" w:hAnsi="Arial" w:cs="Arial"/>
          <w:sz w:val="22"/>
          <w:szCs w:val="22"/>
        </w:rPr>
        <w:t xml:space="preserve">final </w:t>
      </w:r>
      <w:r w:rsidRPr="00D630EF">
        <w:rPr>
          <w:rFonts w:ascii="Arial" w:hAnsi="Arial" w:cs="Arial"/>
          <w:sz w:val="22"/>
          <w:szCs w:val="22"/>
        </w:rPr>
        <w:t>de la reparación. Se trata de los derechos a la verdad, a la justicia y</w:t>
      </w:r>
      <w:r w:rsidR="00B31EA0">
        <w:rPr>
          <w:rFonts w:ascii="Arial" w:hAnsi="Arial" w:cs="Arial"/>
          <w:sz w:val="22"/>
          <w:szCs w:val="22"/>
        </w:rPr>
        <w:t xml:space="preserve"> a la reparación. Cabe </w:t>
      </w:r>
      <w:r w:rsidRPr="00D630EF">
        <w:rPr>
          <w:rFonts w:ascii="Arial" w:hAnsi="Arial" w:cs="Arial"/>
          <w:sz w:val="22"/>
          <w:szCs w:val="22"/>
        </w:rPr>
        <w:t>r</w:t>
      </w:r>
      <w:r w:rsidR="00B31EA0">
        <w:rPr>
          <w:rFonts w:ascii="Arial" w:hAnsi="Arial" w:cs="Arial"/>
          <w:sz w:val="22"/>
          <w:szCs w:val="22"/>
        </w:rPr>
        <w:t>ecalcar</w:t>
      </w:r>
      <w:r w:rsidRPr="00D630EF">
        <w:rPr>
          <w:rFonts w:ascii="Arial" w:hAnsi="Arial" w:cs="Arial"/>
          <w:sz w:val="22"/>
          <w:szCs w:val="22"/>
        </w:rPr>
        <w:t xml:space="preserve"> que únicamente si se garantiza el ejercicio de los derechos a la verdad y a la justicia se puede alcanzar una verdadera reparación</w:t>
      </w:r>
      <w:r w:rsidR="00530F8A">
        <w:rPr>
          <w:rStyle w:val="Refdenotaalpie"/>
          <w:rFonts w:ascii="Arial" w:hAnsi="Arial" w:cs="Arial"/>
          <w:sz w:val="22"/>
          <w:szCs w:val="22"/>
        </w:rPr>
        <w:footnoteReference w:id="13"/>
      </w:r>
      <w:r w:rsidRPr="00D630EF">
        <w:rPr>
          <w:rFonts w:ascii="Arial" w:hAnsi="Arial" w:cs="Arial"/>
          <w:sz w:val="22"/>
          <w:szCs w:val="22"/>
        </w:rPr>
        <w:t>.</w:t>
      </w:r>
    </w:p>
    <w:p w:rsidR="00AD346E" w:rsidRPr="00D630EF" w:rsidRDefault="00AD346E" w:rsidP="00D630EF">
      <w:pPr>
        <w:pStyle w:val="Body1"/>
        <w:spacing w:before="20" w:line="360" w:lineRule="auto"/>
        <w:outlineLvl w:val="0"/>
        <w:rPr>
          <w:rFonts w:ascii="Arial" w:hAnsi="Arial" w:cs="Arial"/>
          <w:sz w:val="22"/>
          <w:szCs w:val="22"/>
          <w:u w:color="000000"/>
        </w:rPr>
      </w:pPr>
    </w:p>
    <w:p w:rsidR="00E27CE8"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Al estar los derechos a la verdad y a la justicia directamente ligados a la reparación, existe una estr</w:t>
      </w:r>
      <w:r w:rsidR="00E5345D">
        <w:rPr>
          <w:rFonts w:ascii="Arial" w:hAnsi="Arial" w:cs="Arial"/>
          <w:sz w:val="22"/>
          <w:szCs w:val="22"/>
          <w:u w:color="000000"/>
        </w:rPr>
        <w:t>uctura lógica que debe seguirse;</w:t>
      </w:r>
      <w:r w:rsidRPr="00D630EF">
        <w:rPr>
          <w:rFonts w:ascii="Arial" w:hAnsi="Arial" w:cs="Arial"/>
          <w:sz w:val="22"/>
          <w:szCs w:val="22"/>
          <w:u w:color="000000"/>
        </w:rPr>
        <w:t xml:space="preserve"> así por ejemplo en los casos de muerte y desaparición de las víctimas, los familiares esperan que el proceso de reparación inicie precisamente con el conocimiento de la verdad de los acontecimient</w:t>
      </w:r>
      <w:r w:rsidR="00E27CE8">
        <w:rPr>
          <w:rFonts w:ascii="Arial" w:hAnsi="Arial" w:cs="Arial"/>
          <w:sz w:val="22"/>
          <w:szCs w:val="22"/>
          <w:u w:color="000000"/>
        </w:rPr>
        <w:t>os, el saber qué ocurrió con las víctimas</w:t>
      </w:r>
      <w:r w:rsidRPr="00D630EF">
        <w:rPr>
          <w:rFonts w:ascii="Arial" w:hAnsi="Arial" w:cs="Arial"/>
          <w:sz w:val="22"/>
          <w:szCs w:val="22"/>
          <w:u w:color="000000"/>
        </w:rPr>
        <w:t>, las circunstancias que envolvieron los acontecimientos y los responsables de las violaciones. La falta de certeza y el desconocimiento en general provoca un daño profundo a nivel psicológico</w:t>
      </w:r>
      <w:r w:rsidR="00B31EA0">
        <w:rPr>
          <w:rFonts w:ascii="Arial" w:hAnsi="Arial" w:cs="Arial"/>
          <w:sz w:val="22"/>
          <w:szCs w:val="22"/>
          <w:u w:color="000000"/>
        </w:rPr>
        <w:t xml:space="preserve"> en los familiares</w:t>
      </w:r>
      <w:r w:rsidR="004E529D">
        <w:rPr>
          <w:rStyle w:val="Refdenotaalpie"/>
          <w:rFonts w:ascii="Arial" w:hAnsi="Arial" w:cs="Arial"/>
          <w:sz w:val="22"/>
          <w:szCs w:val="22"/>
          <w:u w:color="000000"/>
        </w:rPr>
        <w:footnoteReference w:id="14"/>
      </w:r>
      <w:r w:rsidRPr="00D630EF">
        <w:rPr>
          <w:rFonts w:ascii="Arial" w:hAnsi="Arial" w:cs="Arial"/>
          <w:sz w:val="22"/>
          <w:szCs w:val="22"/>
          <w:u w:color="000000"/>
        </w:rPr>
        <w:t xml:space="preserve">. </w:t>
      </w:r>
    </w:p>
    <w:p w:rsidR="00E27CE8" w:rsidRDefault="00E27CE8" w:rsidP="00244B68">
      <w:pPr>
        <w:pStyle w:val="Body1"/>
        <w:spacing w:before="20" w:line="360" w:lineRule="auto"/>
        <w:jc w:val="both"/>
        <w:outlineLvl w:val="0"/>
        <w:rPr>
          <w:rFonts w:ascii="Arial" w:hAnsi="Arial" w:cs="Arial"/>
          <w:sz w:val="22"/>
          <w:szCs w:val="22"/>
          <w:u w:color="000000"/>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lastRenderedPageBreak/>
        <w:t xml:space="preserve">La verdad no solo es </w:t>
      </w:r>
      <w:r w:rsidR="00E27CE8">
        <w:rPr>
          <w:rFonts w:ascii="Arial" w:hAnsi="Arial" w:cs="Arial"/>
          <w:sz w:val="22"/>
          <w:szCs w:val="22"/>
          <w:u w:color="000000"/>
        </w:rPr>
        <w:t xml:space="preserve">un </w:t>
      </w:r>
      <w:r w:rsidRPr="00D630EF">
        <w:rPr>
          <w:rFonts w:ascii="Arial" w:hAnsi="Arial" w:cs="Arial"/>
          <w:sz w:val="22"/>
          <w:szCs w:val="22"/>
          <w:u w:color="000000"/>
        </w:rPr>
        <w:t>derecho de las víctimas y de sus familiares sino d</w:t>
      </w:r>
      <w:r w:rsidR="00B31EA0">
        <w:rPr>
          <w:rFonts w:ascii="Arial" w:hAnsi="Arial" w:cs="Arial"/>
          <w:sz w:val="22"/>
          <w:szCs w:val="22"/>
          <w:u w:color="000000"/>
        </w:rPr>
        <w:t>e la sociedad en general, que al</w:t>
      </w:r>
      <w:r w:rsidRPr="00D630EF">
        <w:rPr>
          <w:rFonts w:ascii="Arial" w:hAnsi="Arial" w:cs="Arial"/>
          <w:sz w:val="22"/>
          <w:szCs w:val="22"/>
          <w:u w:color="000000"/>
        </w:rPr>
        <w:t xml:space="preserve"> </w:t>
      </w:r>
      <w:r w:rsidR="00B31EA0">
        <w:rPr>
          <w:rFonts w:ascii="Arial" w:hAnsi="Arial" w:cs="Arial"/>
          <w:sz w:val="22"/>
          <w:szCs w:val="22"/>
          <w:u w:color="000000"/>
        </w:rPr>
        <w:t>conocer</w:t>
      </w:r>
      <w:r w:rsidRPr="00D630EF">
        <w:rPr>
          <w:rFonts w:ascii="Arial" w:hAnsi="Arial" w:cs="Arial"/>
          <w:sz w:val="22"/>
          <w:szCs w:val="22"/>
          <w:u w:color="000000"/>
        </w:rPr>
        <w:t xml:space="preserve"> los hechos puede plantear acciones </w:t>
      </w:r>
      <w:r w:rsidR="00E5345D">
        <w:rPr>
          <w:rFonts w:ascii="Arial" w:hAnsi="Arial" w:cs="Arial"/>
          <w:sz w:val="22"/>
          <w:szCs w:val="22"/>
          <w:u w:color="000000"/>
        </w:rPr>
        <w:t>colectivas</w:t>
      </w:r>
      <w:r w:rsidR="00B31EA0">
        <w:rPr>
          <w:rFonts w:ascii="Arial" w:hAnsi="Arial" w:cs="Arial"/>
          <w:sz w:val="22"/>
          <w:szCs w:val="22"/>
          <w:u w:color="000000"/>
        </w:rPr>
        <w:t xml:space="preserve"> </w:t>
      </w:r>
      <w:r w:rsidRPr="00D630EF">
        <w:rPr>
          <w:rFonts w:ascii="Arial" w:hAnsi="Arial" w:cs="Arial"/>
          <w:sz w:val="22"/>
          <w:szCs w:val="22"/>
          <w:u w:color="000000"/>
        </w:rPr>
        <w:t>que eviten posteriores vu</w:t>
      </w:r>
      <w:r w:rsidR="00E27CE8">
        <w:rPr>
          <w:rFonts w:ascii="Arial" w:hAnsi="Arial" w:cs="Arial"/>
          <w:sz w:val="22"/>
          <w:szCs w:val="22"/>
          <w:u w:color="000000"/>
        </w:rPr>
        <w:t>lneraciones. La verdad genera un</w:t>
      </w:r>
      <w:r w:rsidRPr="00D630EF">
        <w:rPr>
          <w:rFonts w:ascii="Arial" w:hAnsi="Arial" w:cs="Arial"/>
          <w:sz w:val="22"/>
          <w:szCs w:val="22"/>
          <w:u w:color="000000"/>
        </w:rPr>
        <w:t xml:space="preserve"> recuerdo que debe mantenerse en la memoria de la comunidad, este recuerdo permite la identific</w:t>
      </w:r>
      <w:r w:rsidR="00B31EA0">
        <w:rPr>
          <w:rFonts w:ascii="Arial" w:hAnsi="Arial" w:cs="Arial"/>
          <w:sz w:val="22"/>
          <w:szCs w:val="22"/>
          <w:u w:color="000000"/>
        </w:rPr>
        <w:t>ación de situaciones que pueden encaminar</w:t>
      </w:r>
      <w:r w:rsidRPr="00D630EF">
        <w:rPr>
          <w:rFonts w:ascii="Arial" w:hAnsi="Arial" w:cs="Arial"/>
          <w:sz w:val="22"/>
          <w:szCs w:val="22"/>
          <w:u w:color="000000"/>
        </w:rPr>
        <w:t xml:space="preserve"> </w:t>
      </w:r>
      <w:r w:rsidR="00B31EA0">
        <w:rPr>
          <w:rFonts w:ascii="Arial" w:hAnsi="Arial" w:cs="Arial"/>
          <w:sz w:val="22"/>
          <w:szCs w:val="22"/>
          <w:u w:color="000000"/>
        </w:rPr>
        <w:t xml:space="preserve">y </w:t>
      </w:r>
      <w:r w:rsidR="00B31EA0" w:rsidRPr="00D630EF">
        <w:rPr>
          <w:rFonts w:ascii="Arial" w:hAnsi="Arial" w:cs="Arial"/>
          <w:sz w:val="22"/>
          <w:szCs w:val="22"/>
          <w:u w:color="000000"/>
        </w:rPr>
        <w:t>desencadenar</w:t>
      </w:r>
      <w:r w:rsidR="00B31EA0">
        <w:rPr>
          <w:rFonts w:ascii="Arial" w:hAnsi="Arial" w:cs="Arial"/>
          <w:sz w:val="22"/>
          <w:szCs w:val="22"/>
          <w:u w:color="000000"/>
        </w:rPr>
        <w:t xml:space="preserve"> </w:t>
      </w:r>
      <w:r w:rsidR="00962FBF">
        <w:rPr>
          <w:rFonts w:ascii="Arial" w:hAnsi="Arial" w:cs="Arial"/>
          <w:sz w:val="22"/>
          <w:szCs w:val="22"/>
          <w:u w:color="000000"/>
        </w:rPr>
        <w:t>en la vulneración de</w:t>
      </w:r>
      <w:r w:rsidRPr="00D630EF">
        <w:rPr>
          <w:rFonts w:ascii="Arial" w:hAnsi="Arial" w:cs="Arial"/>
          <w:sz w:val="22"/>
          <w:szCs w:val="22"/>
          <w:u w:color="000000"/>
        </w:rPr>
        <w:t xml:space="preserve"> derechos lo que promueve la denuncia preventiva de hechos </w:t>
      </w:r>
      <w:r w:rsidR="00962FBF">
        <w:rPr>
          <w:rFonts w:ascii="Arial" w:hAnsi="Arial" w:cs="Arial"/>
          <w:sz w:val="22"/>
          <w:szCs w:val="22"/>
          <w:u w:color="000000"/>
        </w:rPr>
        <w:t xml:space="preserve">para evitar </w:t>
      </w:r>
      <w:r w:rsidRPr="00D630EF">
        <w:rPr>
          <w:rFonts w:ascii="Arial" w:hAnsi="Arial" w:cs="Arial"/>
          <w:sz w:val="22"/>
          <w:szCs w:val="22"/>
          <w:u w:color="000000"/>
        </w:rPr>
        <w:t>desastrosas conclusiones</w:t>
      </w:r>
      <w:r w:rsidRPr="00D630EF">
        <w:rPr>
          <w:rFonts w:ascii="Arial" w:hAnsi="Arial" w:cs="Arial"/>
          <w:sz w:val="22"/>
          <w:szCs w:val="22"/>
          <w:u w:color="000000"/>
          <w:vertAlign w:val="superscript"/>
        </w:rPr>
        <w:footnoteReference w:id="15"/>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La verdad brinda elementos necesarios y primordiales para judicializar a los presuntos infractores, da a las autoridades de justicia criterios para identificar a</w:t>
      </w:r>
      <w:r w:rsidR="00962FBF">
        <w:rPr>
          <w:rFonts w:ascii="Arial" w:hAnsi="Arial" w:cs="Arial"/>
          <w:sz w:val="22"/>
          <w:szCs w:val="22"/>
          <w:u w:color="000000"/>
        </w:rPr>
        <w:t xml:space="preserve"> los responsables y hacer prevalecer</w:t>
      </w:r>
      <w:r w:rsidRPr="00D630EF">
        <w:rPr>
          <w:rFonts w:ascii="Arial" w:hAnsi="Arial" w:cs="Arial"/>
          <w:sz w:val="22"/>
          <w:szCs w:val="22"/>
          <w:u w:color="000000"/>
        </w:rPr>
        <w:t xml:space="preserve"> el derecho a la justicia. El derecho a la verdad debe ser entendido </w:t>
      </w:r>
      <w:r w:rsidR="00D630EF" w:rsidRPr="00D630EF">
        <w:rPr>
          <w:rFonts w:ascii="Arial" w:hAnsi="Arial" w:cs="Arial"/>
          <w:sz w:val="22"/>
          <w:szCs w:val="22"/>
          <w:u w:color="000000"/>
        </w:rPr>
        <w:t>además</w:t>
      </w:r>
      <w:r w:rsidRPr="00D630EF">
        <w:rPr>
          <w:rFonts w:ascii="Arial" w:hAnsi="Arial" w:cs="Arial"/>
          <w:sz w:val="22"/>
          <w:szCs w:val="22"/>
          <w:u w:color="000000"/>
        </w:rPr>
        <w:t xml:space="preserve"> como la apertura de las autoridades a dar toda la información q</w:t>
      </w:r>
      <w:r w:rsidR="00E5345D">
        <w:rPr>
          <w:rFonts w:ascii="Arial" w:hAnsi="Arial" w:cs="Arial"/>
          <w:sz w:val="22"/>
          <w:szCs w:val="22"/>
          <w:u w:color="000000"/>
        </w:rPr>
        <w:t>ue reposa en archivos estatales.</w:t>
      </w:r>
      <w:r w:rsidRPr="00D630EF">
        <w:rPr>
          <w:rFonts w:ascii="Arial" w:hAnsi="Arial" w:cs="Arial"/>
          <w:sz w:val="22"/>
          <w:szCs w:val="22"/>
          <w:u w:color="000000"/>
        </w:rPr>
        <w:t xml:space="preserve"> </w:t>
      </w:r>
      <w:r w:rsidR="00E5345D" w:rsidRPr="00D630EF">
        <w:rPr>
          <w:rFonts w:ascii="Arial" w:hAnsi="Arial" w:cs="Arial"/>
          <w:sz w:val="22"/>
          <w:szCs w:val="22"/>
          <w:u w:color="000000"/>
        </w:rPr>
        <w:t>El</w:t>
      </w:r>
      <w:r w:rsidRPr="00D630EF">
        <w:rPr>
          <w:rFonts w:ascii="Arial" w:hAnsi="Arial" w:cs="Arial"/>
          <w:sz w:val="22"/>
          <w:szCs w:val="22"/>
          <w:u w:color="000000"/>
        </w:rPr>
        <w:t xml:space="preserve"> Estado tiene además la obligación de preservar los archivos de los acontecimientos históricos sobre todos los archivos que involucran vulne</w:t>
      </w:r>
      <w:r w:rsidR="00C94FB7">
        <w:rPr>
          <w:rFonts w:ascii="Arial" w:hAnsi="Arial" w:cs="Arial"/>
          <w:sz w:val="22"/>
          <w:szCs w:val="22"/>
          <w:u w:color="000000"/>
        </w:rPr>
        <w:t>ración a los derechos humanos, e</w:t>
      </w:r>
      <w:r w:rsidRPr="00D630EF">
        <w:rPr>
          <w:rFonts w:ascii="Arial" w:hAnsi="Arial" w:cs="Arial"/>
          <w:sz w:val="22"/>
          <w:szCs w:val="22"/>
          <w:u w:color="000000"/>
        </w:rPr>
        <w:t xml:space="preserve">l acceso a tales documentos a través del derecho a la verdad permite a las </w:t>
      </w:r>
      <w:r w:rsidR="00E56A05" w:rsidRPr="00D630EF">
        <w:rPr>
          <w:rFonts w:ascii="Arial" w:hAnsi="Arial" w:cs="Arial"/>
          <w:sz w:val="22"/>
          <w:szCs w:val="22"/>
          <w:u w:color="000000"/>
        </w:rPr>
        <w:t>víctimas</w:t>
      </w:r>
      <w:r w:rsidRPr="00D630EF">
        <w:rPr>
          <w:rFonts w:ascii="Arial" w:hAnsi="Arial" w:cs="Arial"/>
          <w:sz w:val="22"/>
          <w:szCs w:val="22"/>
          <w:u w:color="000000"/>
        </w:rPr>
        <w:t xml:space="preserve"> y a sus familiares exponer los </w:t>
      </w:r>
      <w:r w:rsidR="00D630EF" w:rsidRPr="00D630EF">
        <w:rPr>
          <w:rFonts w:ascii="Arial" w:hAnsi="Arial" w:cs="Arial"/>
          <w:sz w:val="22"/>
          <w:szCs w:val="22"/>
          <w:u w:color="000000"/>
        </w:rPr>
        <w:t>documentos</w:t>
      </w:r>
      <w:r w:rsidRPr="00D630EF">
        <w:rPr>
          <w:rFonts w:ascii="Arial" w:hAnsi="Arial" w:cs="Arial"/>
          <w:sz w:val="22"/>
          <w:szCs w:val="22"/>
          <w:u w:color="000000"/>
        </w:rPr>
        <w:t xml:space="preserve"> como evidencia para hacer valer sus derechos</w:t>
      </w:r>
      <w:r w:rsidR="00E27CE8">
        <w:rPr>
          <w:rFonts w:ascii="Arial" w:hAnsi="Arial" w:cs="Arial"/>
          <w:sz w:val="22"/>
          <w:szCs w:val="22"/>
          <w:u w:color="000000"/>
        </w:rPr>
        <w:t xml:space="preserve"> en los respectivos procesos</w:t>
      </w:r>
      <w:r w:rsidRPr="00D630EF">
        <w:rPr>
          <w:rFonts w:ascii="Arial" w:hAnsi="Arial" w:cs="Arial"/>
          <w:sz w:val="22"/>
          <w:szCs w:val="22"/>
          <w:u w:color="000000"/>
        </w:rPr>
        <w:t>.</w:t>
      </w:r>
      <w:r w:rsidRPr="00D630EF">
        <w:rPr>
          <w:rFonts w:ascii="Arial" w:hAnsi="Arial" w:cs="Arial"/>
          <w:sz w:val="22"/>
          <w:szCs w:val="22"/>
          <w:u w:color="000000"/>
          <w:vertAlign w:val="superscript"/>
        </w:rPr>
        <w:footnoteReference w:id="16"/>
      </w:r>
    </w:p>
    <w:p w:rsidR="00AD346E" w:rsidRPr="00D630EF" w:rsidRDefault="00AD346E" w:rsidP="00D630EF">
      <w:pPr>
        <w:pStyle w:val="Body1"/>
        <w:spacing w:before="20" w:line="360" w:lineRule="auto"/>
        <w:outlineLvl w:val="0"/>
        <w:rPr>
          <w:rFonts w:ascii="Arial" w:hAnsi="Arial" w:cs="Arial"/>
          <w:sz w:val="22"/>
          <w:szCs w:val="22"/>
          <w:u w:color="000000"/>
        </w:rPr>
      </w:pPr>
      <w:r w:rsidRPr="00D630EF">
        <w:rPr>
          <w:rFonts w:ascii="Arial" w:hAnsi="Arial" w:cs="Arial"/>
          <w:sz w:val="22"/>
          <w:szCs w:val="22"/>
          <w:u w:color="000000"/>
        </w:rPr>
        <w:t xml:space="preserve"> </w:t>
      </w:r>
    </w:p>
    <w:p w:rsidR="00AD346E" w:rsidRPr="00D630EF" w:rsidRDefault="00AD346E" w:rsidP="00D630EF">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 En los casos de violación de derechos humanos las reservas de informaci</w:t>
      </w:r>
      <w:r w:rsidR="002C1099">
        <w:rPr>
          <w:rFonts w:ascii="Arial" w:hAnsi="Arial" w:cs="Arial"/>
          <w:sz w:val="22"/>
          <w:szCs w:val="22"/>
          <w:u w:color="000000"/>
        </w:rPr>
        <w:t>ón aún en los casos determinados</w:t>
      </w:r>
      <w:r w:rsidRPr="00D630EF">
        <w:rPr>
          <w:rFonts w:ascii="Arial" w:hAnsi="Arial" w:cs="Arial"/>
          <w:sz w:val="22"/>
          <w:szCs w:val="22"/>
          <w:u w:color="000000"/>
        </w:rPr>
        <w:t xml:space="preserve"> por ley deben ser superadas, ya que se debe procurar una mayor protección a los derechos humanos que</w:t>
      </w:r>
      <w:r w:rsidR="00965BB2">
        <w:rPr>
          <w:rFonts w:ascii="Arial" w:hAnsi="Arial" w:cs="Arial"/>
          <w:sz w:val="22"/>
          <w:szCs w:val="22"/>
          <w:u w:color="000000"/>
        </w:rPr>
        <w:t xml:space="preserve"> a</w:t>
      </w:r>
      <w:r w:rsidRPr="00D630EF">
        <w:rPr>
          <w:rFonts w:ascii="Arial" w:hAnsi="Arial" w:cs="Arial"/>
          <w:sz w:val="22"/>
          <w:szCs w:val="22"/>
          <w:u w:color="000000"/>
        </w:rPr>
        <w:t xml:space="preserve"> </w:t>
      </w:r>
      <w:r w:rsidR="0092796A">
        <w:rPr>
          <w:rFonts w:ascii="Arial" w:hAnsi="Arial" w:cs="Arial"/>
          <w:sz w:val="22"/>
          <w:szCs w:val="22"/>
          <w:u w:color="000000"/>
        </w:rPr>
        <w:t>tales reservas</w:t>
      </w:r>
      <w:r w:rsidR="0092796A">
        <w:rPr>
          <w:rStyle w:val="Refdenotaalpie"/>
          <w:rFonts w:ascii="Arial" w:hAnsi="Arial" w:cs="Arial"/>
          <w:sz w:val="22"/>
          <w:szCs w:val="22"/>
          <w:u w:color="000000"/>
        </w:rPr>
        <w:footnoteReference w:id="17"/>
      </w:r>
      <w:r w:rsidRPr="00D630EF">
        <w:rPr>
          <w:rFonts w:ascii="Arial" w:hAnsi="Arial" w:cs="Arial"/>
          <w:sz w:val="22"/>
          <w:szCs w:val="22"/>
          <w:u w:color="000000"/>
        </w:rPr>
        <w:t xml:space="preserve">. En todo </w:t>
      </w:r>
      <w:r w:rsidR="002C1099">
        <w:rPr>
          <w:rFonts w:ascii="Arial" w:hAnsi="Arial" w:cs="Arial"/>
          <w:sz w:val="22"/>
          <w:szCs w:val="22"/>
          <w:u w:color="000000"/>
        </w:rPr>
        <w:t>caso</w:t>
      </w:r>
      <w:r w:rsidR="00E5345D">
        <w:rPr>
          <w:rFonts w:ascii="Arial" w:hAnsi="Arial" w:cs="Arial"/>
          <w:sz w:val="22"/>
          <w:szCs w:val="22"/>
          <w:u w:color="000000"/>
        </w:rPr>
        <w:t>,</w:t>
      </w:r>
      <w:r w:rsidR="002C1099">
        <w:rPr>
          <w:rFonts w:ascii="Arial" w:hAnsi="Arial" w:cs="Arial"/>
          <w:sz w:val="22"/>
          <w:szCs w:val="22"/>
          <w:u w:color="000000"/>
        </w:rPr>
        <w:t xml:space="preserve"> tal apertura debe procurarse</w:t>
      </w:r>
      <w:r w:rsidRPr="00D630EF">
        <w:rPr>
          <w:rFonts w:ascii="Arial" w:hAnsi="Arial" w:cs="Arial"/>
          <w:sz w:val="22"/>
          <w:szCs w:val="22"/>
          <w:u w:color="000000"/>
        </w:rPr>
        <w:t xml:space="preserve"> a los interesados, es decir, victimas, familiares</w:t>
      </w:r>
      <w:r w:rsidR="00E5345D">
        <w:rPr>
          <w:rFonts w:ascii="Arial" w:hAnsi="Arial" w:cs="Arial"/>
          <w:sz w:val="22"/>
          <w:szCs w:val="22"/>
          <w:u w:color="000000"/>
        </w:rPr>
        <w:t>,</w:t>
      </w:r>
      <w:r w:rsidRPr="00D630EF">
        <w:rPr>
          <w:rFonts w:ascii="Arial" w:hAnsi="Arial" w:cs="Arial"/>
          <w:sz w:val="22"/>
          <w:szCs w:val="22"/>
          <w:u w:color="000000"/>
        </w:rPr>
        <w:t xml:space="preserve"> profesionales del derecho y autoridades de la administración de justicia, una apertura demasiado amplia o una publicidad desmedida </w:t>
      </w:r>
      <w:r w:rsidR="00E870AC">
        <w:rPr>
          <w:rFonts w:ascii="Arial" w:hAnsi="Arial" w:cs="Arial"/>
          <w:sz w:val="22"/>
          <w:szCs w:val="22"/>
          <w:u w:color="000000"/>
        </w:rPr>
        <w:t xml:space="preserve">a personas que no tienen relación directa con los casos de violación, </w:t>
      </w:r>
      <w:r w:rsidR="00C94FB7">
        <w:rPr>
          <w:rFonts w:ascii="Arial" w:hAnsi="Arial" w:cs="Arial"/>
          <w:sz w:val="22"/>
          <w:szCs w:val="22"/>
          <w:u w:color="000000"/>
        </w:rPr>
        <w:t xml:space="preserve">sobre todo en las etapas de investigación, </w:t>
      </w:r>
      <w:r w:rsidRPr="00D630EF">
        <w:rPr>
          <w:rFonts w:ascii="Arial" w:hAnsi="Arial" w:cs="Arial"/>
          <w:sz w:val="22"/>
          <w:szCs w:val="22"/>
          <w:u w:color="000000"/>
        </w:rPr>
        <w:t xml:space="preserve">podría afectar </w:t>
      </w:r>
      <w:r w:rsidR="00C94FB7">
        <w:rPr>
          <w:rFonts w:ascii="Arial" w:hAnsi="Arial" w:cs="Arial"/>
          <w:sz w:val="22"/>
          <w:szCs w:val="22"/>
          <w:u w:color="000000"/>
        </w:rPr>
        <w:t>aún más a las víctimas</w:t>
      </w:r>
      <w:r w:rsidRPr="00D630EF">
        <w:rPr>
          <w:rFonts w:ascii="Arial" w:hAnsi="Arial" w:cs="Arial"/>
          <w:sz w:val="22"/>
          <w:szCs w:val="22"/>
          <w:u w:color="000000"/>
        </w:rPr>
        <w:t xml:space="preserve"> vulnerando su derecho a la intimidad.</w:t>
      </w:r>
    </w:p>
    <w:p w:rsidR="00AD346E" w:rsidRPr="00D630EF" w:rsidRDefault="00AD346E" w:rsidP="00D630EF">
      <w:pPr>
        <w:pStyle w:val="Body1"/>
        <w:spacing w:line="360" w:lineRule="auto"/>
        <w:jc w:val="both"/>
        <w:rPr>
          <w:rFonts w:ascii="Arial" w:hAnsi="Arial" w:cs="Arial"/>
          <w:sz w:val="22"/>
          <w:szCs w:val="22"/>
        </w:rPr>
      </w:pPr>
    </w:p>
    <w:p w:rsidR="00AD346E" w:rsidRPr="00D630EF" w:rsidRDefault="00AD346E" w:rsidP="009D5ED1">
      <w:pPr>
        <w:pStyle w:val="Body1"/>
        <w:spacing w:line="360" w:lineRule="auto"/>
        <w:jc w:val="both"/>
        <w:rPr>
          <w:rFonts w:ascii="Arial" w:hAnsi="Arial" w:cs="Arial"/>
          <w:sz w:val="22"/>
          <w:szCs w:val="22"/>
        </w:rPr>
      </w:pPr>
      <w:r w:rsidRPr="00D630EF">
        <w:rPr>
          <w:rFonts w:ascii="Arial" w:hAnsi="Arial" w:cs="Arial"/>
          <w:sz w:val="22"/>
          <w:szCs w:val="22"/>
        </w:rPr>
        <w:t>El derecho a la verdad supone una obligación de los Estados de volver al tratamiento de terribles acontecimientos que con el paso del tiempo puede</w:t>
      </w:r>
      <w:r w:rsidR="0092796A">
        <w:rPr>
          <w:rFonts w:ascii="Arial" w:hAnsi="Arial" w:cs="Arial"/>
          <w:sz w:val="22"/>
          <w:szCs w:val="22"/>
        </w:rPr>
        <w:t>n</w:t>
      </w:r>
      <w:r w:rsidRPr="00D630EF">
        <w:rPr>
          <w:rFonts w:ascii="Arial" w:hAnsi="Arial" w:cs="Arial"/>
          <w:sz w:val="22"/>
          <w:szCs w:val="22"/>
        </w:rPr>
        <w:t xml:space="preserve"> ir perdiendo vigenci</w:t>
      </w:r>
      <w:r w:rsidR="0092796A">
        <w:rPr>
          <w:rFonts w:ascii="Arial" w:hAnsi="Arial" w:cs="Arial"/>
          <w:sz w:val="22"/>
          <w:szCs w:val="22"/>
        </w:rPr>
        <w:t>a y quedar en la impunidad</w:t>
      </w:r>
      <w:r w:rsidRPr="00D630EF">
        <w:rPr>
          <w:rFonts w:ascii="Arial" w:hAnsi="Arial" w:cs="Arial"/>
          <w:sz w:val="22"/>
          <w:szCs w:val="22"/>
        </w:rPr>
        <w:t>, hay que tener en cuenta que para las víctimas y sus familiares tales hechos no son fácilmente olvidados incluso si se alcanzan los objetivos de la reparación integral</w:t>
      </w:r>
      <w:r w:rsidR="0092796A">
        <w:rPr>
          <w:rFonts w:ascii="Arial" w:hAnsi="Arial" w:cs="Arial"/>
          <w:sz w:val="22"/>
          <w:szCs w:val="22"/>
        </w:rPr>
        <w:t>.</w:t>
      </w:r>
      <w:r w:rsidRPr="00D630EF">
        <w:rPr>
          <w:rFonts w:ascii="Arial" w:hAnsi="Arial" w:cs="Arial"/>
          <w:sz w:val="22"/>
          <w:szCs w:val="22"/>
        </w:rPr>
        <w:t xml:space="preserve">  </w:t>
      </w:r>
    </w:p>
    <w:p w:rsidR="004F7C11" w:rsidRPr="00D630EF" w:rsidRDefault="004F7C11" w:rsidP="00D630EF">
      <w:pPr>
        <w:pStyle w:val="Body1"/>
        <w:spacing w:line="360" w:lineRule="auto"/>
        <w:jc w:val="both"/>
        <w:rPr>
          <w:rFonts w:ascii="Arial" w:hAnsi="Arial" w:cs="Arial"/>
          <w:sz w:val="22"/>
          <w:szCs w:val="22"/>
        </w:rPr>
      </w:pPr>
    </w:p>
    <w:p w:rsidR="00AD346E" w:rsidRPr="00D630EF" w:rsidRDefault="0092796A" w:rsidP="009D5ED1">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lastRenderedPageBreak/>
        <w:t>Sobre</w:t>
      </w:r>
      <w:r w:rsidR="00AD346E" w:rsidRPr="00D630EF">
        <w:rPr>
          <w:rFonts w:ascii="Arial" w:hAnsi="Arial" w:cs="Arial"/>
          <w:sz w:val="22"/>
          <w:szCs w:val="22"/>
          <w:u w:color="000000"/>
        </w:rPr>
        <w:t xml:space="preserve"> la memoria como elemento fundamental del derecho a la verdad, </w:t>
      </w:r>
      <w:proofErr w:type="spellStart"/>
      <w:r w:rsidR="00AD346E" w:rsidRPr="00D630EF">
        <w:rPr>
          <w:rFonts w:ascii="Arial" w:hAnsi="Arial" w:cs="Arial"/>
          <w:sz w:val="22"/>
          <w:szCs w:val="22"/>
          <w:u w:color="000000"/>
        </w:rPr>
        <w:t>Tzvetan</w:t>
      </w:r>
      <w:proofErr w:type="spellEnd"/>
      <w:r w:rsidR="00AD346E" w:rsidRPr="00D630EF">
        <w:rPr>
          <w:rFonts w:ascii="Arial" w:hAnsi="Arial" w:cs="Arial"/>
          <w:sz w:val="22"/>
          <w:szCs w:val="22"/>
          <w:u w:color="000000"/>
        </w:rPr>
        <w:t xml:space="preserve"> </w:t>
      </w:r>
      <w:proofErr w:type="spellStart"/>
      <w:r w:rsidR="00AD346E" w:rsidRPr="00D630EF">
        <w:rPr>
          <w:rFonts w:ascii="Arial" w:hAnsi="Arial" w:cs="Arial"/>
          <w:sz w:val="22"/>
          <w:szCs w:val="22"/>
          <w:u w:color="000000"/>
        </w:rPr>
        <w:t>Todorov</w:t>
      </w:r>
      <w:proofErr w:type="spellEnd"/>
      <w:r w:rsidR="00AD346E" w:rsidRPr="00D630EF">
        <w:rPr>
          <w:rFonts w:ascii="Arial" w:hAnsi="Arial" w:cs="Arial"/>
          <w:sz w:val="22"/>
          <w:szCs w:val="22"/>
          <w:u w:color="000000"/>
        </w:rPr>
        <w:t xml:space="preserve"> señala que </w:t>
      </w:r>
      <w:r w:rsidR="00AD346E" w:rsidRPr="000C62B1">
        <w:rPr>
          <w:rFonts w:ascii="Arial" w:hAnsi="Arial" w:cs="Arial"/>
          <w:i/>
          <w:sz w:val="22"/>
          <w:szCs w:val="22"/>
          <w:u w:color="000000"/>
        </w:rPr>
        <w:t>"Los victimarios quieren olvidar, en tanto que las víctimas no pueden olvidar. Por ello, las víctimas tienen derecho a olvidar, en tanto que los victimarios tienen la obligación de recordar"</w:t>
      </w:r>
      <w:r w:rsidR="00AD346E" w:rsidRPr="00D630EF">
        <w:rPr>
          <w:rFonts w:ascii="Arial" w:hAnsi="Arial" w:cs="Arial"/>
          <w:sz w:val="22"/>
          <w:szCs w:val="22"/>
          <w:u w:color="000000"/>
          <w:vertAlign w:val="superscript"/>
        </w:rPr>
        <w:footnoteReference w:id="18"/>
      </w:r>
      <w:r w:rsidR="00C41D58">
        <w:rPr>
          <w:rFonts w:ascii="Arial" w:hAnsi="Arial" w:cs="Arial"/>
          <w:i/>
          <w:sz w:val="22"/>
          <w:szCs w:val="22"/>
          <w:u w:color="000000"/>
        </w:rPr>
        <w:t>.</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9D5ED1">
      <w:pPr>
        <w:pStyle w:val="Body1"/>
        <w:spacing w:line="360" w:lineRule="auto"/>
        <w:jc w:val="both"/>
        <w:rPr>
          <w:rFonts w:ascii="Arial" w:hAnsi="Arial" w:cs="Arial"/>
          <w:sz w:val="22"/>
          <w:szCs w:val="22"/>
        </w:rPr>
      </w:pPr>
      <w:r w:rsidRPr="00D630EF">
        <w:rPr>
          <w:rFonts w:ascii="Arial" w:hAnsi="Arial" w:cs="Arial"/>
          <w:sz w:val="22"/>
          <w:szCs w:val="22"/>
        </w:rPr>
        <w:t>El recuerdo nos lleva a encarar vergüenzas del pasado que deben ser enfrentadas tal como ocurrieron, ya que existen muchas interpretaciones retocadas.</w:t>
      </w:r>
      <w:r w:rsidRPr="00D630EF">
        <w:rPr>
          <w:rFonts w:ascii="Arial" w:hAnsi="Arial" w:cs="Arial"/>
          <w:sz w:val="22"/>
          <w:szCs w:val="22"/>
          <w:vertAlign w:val="superscript"/>
        </w:rPr>
        <w:footnoteReference w:id="19"/>
      </w:r>
    </w:p>
    <w:p w:rsidR="0092796A" w:rsidRDefault="0092796A" w:rsidP="0092796A">
      <w:pPr>
        <w:pStyle w:val="Body1"/>
        <w:spacing w:line="360" w:lineRule="auto"/>
        <w:jc w:val="both"/>
        <w:rPr>
          <w:rFonts w:ascii="Arial" w:hAnsi="Arial" w:cs="Arial"/>
          <w:sz w:val="22"/>
          <w:szCs w:val="22"/>
          <w:u w:val="single"/>
        </w:rPr>
      </w:pPr>
    </w:p>
    <w:p w:rsidR="0092796A" w:rsidRPr="0092796A" w:rsidRDefault="0092796A" w:rsidP="009D5ED1">
      <w:pPr>
        <w:pStyle w:val="Body1"/>
        <w:spacing w:line="360" w:lineRule="auto"/>
        <w:jc w:val="both"/>
        <w:rPr>
          <w:rFonts w:ascii="Arial" w:hAnsi="Arial" w:cs="Arial"/>
          <w:sz w:val="22"/>
          <w:szCs w:val="22"/>
        </w:rPr>
      </w:pPr>
      <w:r w:rsidRPr="0092796A">
        <w:rPr>
          <w:rFonts w:ascii="Arial" w:hAnsi="Arial" w:cs="Arial"/>
          <w:sz w:val="22"/>
          <w:szCs w:val="22"/>
        </w:rPr>
        <w:t>El derecho que toda persona tiene a la verdad, ha sido desarrollado por el derecho internacional</w:t>
      </w:r>
      <w:r w:rsidR="00734EC0">
        <w:rPr>
          <w:rFonts w:ascii="Arial" w:hAnsi="Arial" w:cs="Arial"/>
          <w:sz w:val="22"/>
          <w:szCs w:val="22"/>
        </w:rPr>
        <w:t>,</w:t>
      </w:r>
      <w:r w:rsidRPr="0092796A">
        <w:rPr>
          <w:rFonts w:ascii="Arial" w:hAnsi="Arial" w:cs="Arial"/>
          <w:sz w:val="22"/>
          <w:szCs w:val="22"/>
        </w:rPr>
        <w:t xml:space="preserve"> </w:t>
      </w:r>
      <w:r w:rsidR="00734EC0">
        <w:rPr>
          <w:rFonts w:ascii="Arial" w:hAnsi="Arial" w:cs="Arial"/>
          <w:sz w:val="22"/>
          <w:szCs w:val="22"/>
        </w:rPr>
        <w:t xml:space="preserve">al respecto se puede ampliar en el </w:t>
      </w:r>
      <w:r w:rsidR="00734EC0" w:rsidRPr="0092796A">
        <w:rPr>
          <w:rFonts w:ascii="Arial" w:hAnsi="Arial" w:cs="Arial"/>
          <w:sz w:val="22"/>
          <w:szCs w:val="22"/>
        </w:rPr>
        <w:t xml:space="preserve">Informe final revisado acerca de la cuestión de la impunidad de los autores de violaciones de los derechos humanos (derechos civiles y políticos) preparado por  L. </w:t>
      </w:r>
      <w:proofErr w:type="spellStart"/>
      <w:r w:rsidR="00734EC0" w:rsidRPr="0092796A">
        <w:rPr>
          <w:rFonts w:ascii="Arial" w:hAnsi="Arial" w:cs="Arial"/>
          <w:sz w:val="22"/>
          <w:szCs w:val="22"/>
        </w:rPr>
        <w:t>Joinet</w:t>
      </w:r>
      <w:proofErr w:type="spellEnd"/>
      <w:r w:rsidR="00734EC0">
        <w:rPr>
          <w:rStyle w:val="Refdenotaalpie"/>
          <w:rFonts w:ascii="Arial" w:hAnsi="Arial" w:cs="Arial"/>
          <w:sz w:val="22"/>
          <w:szCs w:val="22"/>
        </w:rPr>
        <w:footnoteReference w:id="20"/>
      </w:r>
      <w:r w:rsidR="00734EC0">
        <w:rPr>
          <w:rFonts w:ascii="Arial" w:hAnsi="Arial" w:cs="Arial"/>
          <w:sz w:val="22"/>
          <w:szCs w:val="22"/>
        </w:rPr>
        <w:t>;</w:t>
      </w:r>
      <w:r w:rsidRPr="0092796A">
        <w:rPr>
          <w:rFonts w:ascii="Arial" w:hAnsi="Arial" w:cs="Arial"/>
          <w:sz w:val="22"/>
          <w:szCs w:val="22"/>
        </w:rPr>
        <w:t xml:space="preserve"> </w:t>
      </w:r>
      <w:r w:rsidR="00734EC0">
        <w:rPr>
          <w:rFonts w:ascii="Arial" w:hAnsi="Arial" w:cs="Arial"/>
          <w:sz w:val="22"/>
          <w:szCs w:val="22"/>
        </w:rPr>
        <w:t xml:space="preserve">además el </w:t>
      </w:r>
      <w:r w:rsidR="00734EC0" w:rsidRPr="0092796A">
        <w:rPr>
          <w:rFonts w:ascii="Arial" w:hAnsi="Arial" w:cs="Arial"/>
          <w:sz w:val="22"/>
          <w:szCs w:val="22"/>
        </w:rPr>
        <w:t xml:space="preserve">Estudio relativo al derecho de restitución, indemnización y rehabilitación a las víctimas de violaciones flagrantes de los derechos humanos y las libertades fundamentales, Informe definitivo presentado por </w:t>
      </w:r>
      <w:proofErr w:type="spellStart"/>
      <w:r w:rsidR="00734EC0" w:rsidRPr="0092796A">
        <w:rPr>
          <w:rFonts w:ascii="Arial" w:hAnsi="Arial" w:cs="Arial"/>
          <w:sz w:val="22"/>
          <w:szCs w:val="22"/>
        </w:rPr>
        <w:t>Theo</w:t>
      </w:r>
      <w:proofErr w:type="spellEnd"/>
      <w:r w:rsidR="00734EC0" w:rsidRPr="0092796A">
        <w:rPr>
          <w:rFonts w:ascii="Arial" w:hAnsi="Arial" w:cs="Arial"/>
          <w:sz w:val="22"/>
          <w:szCs w:val="22"/>
        </w:rPr>
        <w:t xml:space="preserve"> van </w:t>
      </w:r>
      <w:proofErr w:type="spellStart"/>
      <w:r w:rsidR="00734EC0" w:rsidRPr="0092796A">
        <w:rPr>
          <w:rFonts w:ascii="Arial" w:hAnsi="Arial" w:cs="Arial"/>
          <w:sz w:val="22"/>
          <w:szCs w:val="22"/>
        </w:rPr>
        <w:t>Boven</w:t>
      </w:r>
      <w:proofErr w:type="spellEnd"/>
      <w:r w:rsidR="00734EC0">
        <w:rPr>
          <w:rStyle w:val="Refdenotaalpie"/>
          <w:rFonts w:ascii="Arial" w:hAnsi="Arial" w:cs="Arial"/>
          <w:sz w:val="22"/>
          <w:szCs w:val="22"/>
        </w:rPr>
        <w:footnoteReference w:id="21"/>
      </w:r>
      <w:r w:rsidR="00734EC0" w:rsidRPr="0092796A">
        <w:rPr>
          <w:rFonts w:ascii="Arial" w:hAnsi="Arial" w:cs="Arial"/>
          <w:sz w:val="22"/>
          <w:szCs w:val="22"/>
        </w:rPr>
        <w:t>,</w:t>
      </w:r>
      <w:r w:rsidR="00734EC0">
        <w:rPr>
          <w:rFonts w:ascii="Arial" w:hAnsi="Arial" w:cs="Arial"/>
          <w:sz w:val="22"/>
          <w:szCs w:val="22"/>
        </w:rPr>
        <w:t xml:space="preserve"> entre otros</w:t>
      </w:r>
      <w:r w:rsidR="00734EC0">
        <w:rPr>
          <w:rStyle w:val="Refdenotaalpie"/>
          <w:rFonts w:ascii="Arial" w:hAnsi="Arial" w:cs="Arial"/>
          <w:sz w:val="22"/>
          <w:szCs w:val="22"/>
        </w:rPr>
        <w:footnoteReference w:id="22"/>
      </w:r>
      <w:r w:rsidR="00C94FB7">
        <w:rPr>
          <w:rFonts w:ascii="Arial" w:hAnsi="Arial" w:cs="Arial"/>
          <w:sz w:val="22"/>
          <w:szCs w:val="22"/>
        </w:rPr>
        <w:t>.</w:t>
      </w:r>
      <w:r w:rsidR="00734EC0" w:rsidRPr="0092796A">
        <w:rPr>
          <w:rFonts w:ascii="Arial" w:hAnsi="Arial" w:cs="Arial"/>
          <w:sz w:val="22"/>
          <w:szCs w:val="22"/>
        </w:rPr>
        <w:t xml:space="preserve"> </w:t>
      </w:r>
    </w:p>
    <w:p w:rsidR="000C62B1" w:rsidRDefault="000C62B1" w:rsidP="00734EC0">
      <w:pPr>
        <w:pStyle w:val="Body1"/>
        <w:spacing w:before="20" w:line="360" w:lineRule="auto"/>
        <w:jc w:val="both"/>
        <w:outlineLvl w:val="0"/>
        <w:rPr>
          <w:rFonts w:ascii="Arial" w:hAnsi="Arial" w:cs="Arial"/>
          <w:sz w:val="22"/>
          <w:szCs w:val="22"/>
          <w:u w:color="000000"/>
        </w:rPr>
      </w:pPr>
    </w:p>
    <w:p w:rsidR="00AD346E" w:rsidRPr="00D630EF" w:rsidRDefault="00AD346E" w:rsidP="00734EC0">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En cuanto al derecho a la j</w:t>
      </w:r>
      <w:r w:rsidR="0092796A">
        <w:rPr>
          <w:rFonts w:ascii="Arial" w:hAnsi="Arial" w:cs="Arial"/>
          <w:sz w:val="22"/>
          <w:szCs w:val="22"/>
          <w:u w:color="000000"/>
        </w:rPr>
        <w:t>usticia su fin es el de acabar con</w:t>
      </w:r>
      <w:r w:rsidR="00C41D58">
        <w:rPr>
          <w:rFonts w:ascii="Arial" w:hAnsi="Arial" w:cs="Arial"/>
          <w:sz w:val="22"/>
          <w:szCs w:val="22"/>
          <w:u w:color="000000"/>
        </w:rPr>
        <w:t xml:space="preserve"> la impunidad.</w:t>
      </w:r>
      <w:r w:rsidRPr="00D630EF">
        <w:rPr>
          <w:rFonts w:ascii="Arial" w:hAnsi="Arial" w:cs="Arial"/>
          <w:sz w:val="22"/>
          <w:szCs w:val="22"/>
          <w:u w:color="000000"/>
        </w:rPr>
        <w:t xml:space="preserve"> </w:t>
      </w:r>
      <w:r w:rsidR="00C41D58" w:rsidRPr="00D630EF">
        <w:rPr>
          <w:rFonts w:ascii="Arial" w:hAnsi="Arial" w:cs="Arial"/>
          <w:sz w:val="22"/>
          <w:szCs w:val="22"/>
          <w:u w:color="000000"/>
        </w:rPr>
        <w:t>Este</w:t>
      </w:r>
      <w:r w:rsidRPr="00D630EF">
        <w:rPr>
          <w:rFonts w:ascii="Arial" w:hAnsi="Arial" w:cs="Arial"/>
          <w:sz w:val="22"/>
          <w:szCs w:val="22"/>
          <w:u w:color="000000"/>
        </w:rPr>
        <w:t xml:space="preserve"> derecho se garantiza en la medida en que se lleve a cabo un proceso </w:t>
      </w:r>
      <w:r w:rsidR="00C41D58">
        <w:rPr>
          <w:rFonts w:ascii="Arial" w:hAnsi="Arial" w:cs="Arial"/>
          <w:sz w:val="22"/>
          <w:szCs w:val="22"/>
          <w:u w:color="000000"/>
        </w:rPr>
        <w:t xml:space="preserve">judicial </w:t>
      </w:r>
      <w:r w:rsidRPr="00D630EF">
        <w:rPr>
          <w:rFonts w:ascii="Arial" w:hAnsi="Arial" w:cs="Arial"/>
          <w:sz w:val="22"/>
          <w:szCs w:val="22"/>
          <w:u w:color="000000"/>
        </w:rPr>
        <w:t>basado en la n</w:t>
      </w:r>
      <w:r w:rsidR="0092796A">
        <w:rPr>
          <w:rFonts w:ascii="Arial" w:hAnsi="Arial" w:cs="Arial"/>
          <w:sz w:val="22"/>
          <w:szCs w:val="22"/>
          <w:u w:color="000000"/>
        </w:rPr>
        <w:t>ormativa existente en el que</w:t>
      </w:r>
      <w:r w:rsidRPr="00D630EF">
        <w:rPr>
          <w:rFonts w:ascii="Arial" w:hAnsi="Arial" w:cs="Arial"/>
          <w:sz w:val="22"/>
          <w:szCs w:val="22"/>
          <w:u w:color="000000"/>
        </w:rPr>
        <w:t xml:space="preserve"> al determinarse responsabilidades se esta</w:t>
      </w:r>
      <w:r w:rsidR="002C1099">
        <w:rPr>
          <w:rFonts w:ascii="Arial" w:hAnsi="Arial" w:cs="Arial"/>
          <w:sz w:val="22"/>
          <w:szCs w:val="22"/>
          <w:u w:color="000000"/>
        </w:rPr>
        <w:t>blezcan las sanciones y penas</w:t>
      </w:r>
      <w:r w:rsidRPr="00D630EF">
        <w:rPr>
          <w:rFonts w:ascii="Arial" w:hAnsi="Arial" w:cs="Arial"/>
          <w:sz w:val="22"/>
          <w:szCs w:val="22"/>
          <w:u w:color="000000"/>
        </w:rPr>
        <w:t xml:space="preserve"> correspondientes.</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El Alto Comisionado de las Naciones Unidas en Colombia, se refiere al derecho a la justicia señalando que las víctimas son sus titulares y por medio de este</w:t>
      </w:r>
      <w:r w:rsidR="006F3E98">
        <w:rPr>
          <w:rFonts w:ascii="Arial" w:hAnsi="Arial" w:cs="Arial"/>
          <w:sz w:val="22"/>
          <w:szCs w:val="22"/>
          <w:u w:color="000000"/>
        </w:rPr>
        <w:t>,</w:t>
      </w:r>
      <w:r w:rsidRPr="00D630EF">
        <w:rPr>
          <w:rFonts w:ascii="Arial" w:hAnsi="Arial" w:cs="Arial"/>
          <w:sz w:val="22"/>
          <w:szCs w:val="22"/>
          <w:u w:color="000000"/>
        </w:rPr>
        <w:t xml:space="preserve"> pueden plantear las acciones y recursos correspondientes que permitan el inicio de las investigaciones de los hechos constitutivos de delitos graves para el derecho internacional, tal obligación recae tanto sobre autoridades nacionales como</w:t>
      </w:r>
      <w:r w:rsidR="006F3E98">
        <w:rPr>
          <w:rFonts w:ascii="Arial" w:hAnsi="Arial" w:cs="Arial"/>
          <w:sz w:val="22"/>
          <w:szCs w:val="22"/>
          <w:u w:color="000000"/>
        </w:rPr>
        <w:t xml:space="preserve"> internacionales, estas</w:t>
      </w:r>
      <w:r w:rsidRPr="00D630EF">
        <w:rPr>
          <w:rFonts w:ascii="Arial" w:hAnsi="Arial" w:cs="Arial"/>
          <w:sz w:val="22"/>
          <w:szCs w:val="22"/>
          <w:u w:color="000000"/>
        </w:rPr>
        <w:t xml:space="preserve"> acciones deben motivar los respectivos procesos de juzgamiento y de ser el caso se concluirá con la </w:t>
      </w:r>
      <w:r w:rsidRPr="00D630EF">
        <w:rPr>
          <w:rFonts w:ascii="Arial" w:hAnsi="Arial" w:cs="Arial"/>
          <w:sz w:val="22"/>
          <w:szCs w:val="22"/>
          <w:u w:color="000000"/>
        </w:rPr>
        <w:lastRenderedPageBreak/>
        <w:t>condena con penas apropiadas a los responsables. A parte de las sanciones, las sentencias deben determinar de forma clara las formas de reparación para el ca</w:t>
      </w:r>
      <w:r w:rsidR="00C41D58">
        <w:rPr>
          <w:rFonts w:ascii="Arial" w:hAnsi="Arial" w:cs="Arial"/>
          <w:sz w:val="22"/>
          <w:szCs w:val="22"/>
          <w:u w:color="000000"/>
        </w:rPr>
        <w:t xml:space="preserve">so concreto, la medida, forma, </w:t>
      </w:r>
      <w:r w:rsidRPr="00D630EF">
        <w:rPr>
          <w:rFonts w:ascii="Arial" w:hAnsi="Arial" w:cs="Arial"/>
          <w:sz w:val="22"/>
          <w:szCs w:val="22"/>
          <w:u w:color="000000"/>
        </w:rPr>
        <w:t>el tiempo y las autoridades encargadas del segu</w:t>
      </w:r>
      <w:r w:rsidR="00330CEC">
        <w:rPr>
          <w:rFonts w:ascii="Arial" w:hAnsi="Arial" w:cs="Arial"/>
          <w:sz w:val="22"/>
          <w:szCs w:val="22"/>
          <w:u w:color="000000"/>
        </w:rPr>
        <w:t>imiento en la ejecución de las</w:t>
      </w:r>
      <w:r w:rsidRPr="00D630EF">
        <w:rPr>
          <w:rFonts w:ascii="Arial" w:hAnsi="Arial" w:cs="Arial"/>
          <w:sz w:val="22"/>
          <w:szCs w:val="22"/>
          <w:u w:color="000000"/>
        </w:rPr>
        <w:t xml:space="preserve"> reparaciones; se deben incluir los meca</w:t>
      </w:r>
      <w:r w:rsidR="00074FC0">
        <w:rPr>
          <w:rFonts w:ascii="Arial" w:hAnsi="Arial" w:cs="Arial"/>
          <w:sz w:val="22"/>
          <w:szCs w:val="22"/>
          <w:u w:color="000000"/>
        </w:rPr>
        <w:t>nismos con los que cuentan las c</w:t>
      </w:r>
      <w:r w:rsidRPr="00D630EF">
        <w:rPr>
          <w:rFonts w:ascii="Arial" w:hAnsi="Arial" w:cs="Arial"/>
          <w:sz w:val="22"/>
          <w:szCs w:val="22"/>
          <w:u w:color="000000"/>
        </w:rPr>
        <w:t>ortes de justicia para verificar que las sentencias se están llevando a cabo, y las medidas que se pueden adoptar en caso de incumplimiento</w:t>
      </w:r>
      <w:r w:rsidRPr="00D630EF">
        <w:rPr>
          <w:rFonts w:ascii="Arial" w:hAnsi="Arial" w:cs="Arial"/>
          <w:sz w:val="22"/>
          <w:szCs w:val="22"/>
          <w:u w:color="000000"/>
          <w:vertAlign w:val="superscript"/>
        </w:rPr>
        <w:footnoteReference w:id="23"/>
      </w:r>
      <w:r w:rsidRPr="00D630EF">
        <w:rPr>
          <w:rFonts w:ascii="Arial" w:hAnsi="Arial" w:cs="Arial"/>
          <w:sz w:val="22"/>
          <w:szCs w:val="22"/>
          <w:u w:color="000000"/>
        </w:rPr>
        <w:t>.</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9D5ED1">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Para alcanzar un verdadero proceso de reparaci</w:t>
      </w:r>
      <w:r w:rsidR="00330CEC">
        <w:rPr>
          <w:rFonts w:ascii="Arial" w:hAnsi="Arial" w:cs="Arial"/>
          <w:sz w:val="22"/>
          <w:szCs w:val="22"/>
          <w:u w:color="000000"/>
        </w:rPr>
        <w:t>ón se requiere la voluntad del Estado para</w:t>
      </w:r>
      <w:r w:rsidRPr="00D630EF">
        <w:rPr>
          <w:rFonts w:ascii="Arial" w:hAnsi="Arial" w:cs="Arial"/>
          <w:sz w:val="22"/>
          <w:szCs w:val="22"/>
          <w:u w:color="000000"/>
        </w:rPr>
        <w:t xml:space="preserve"> propiciarlo</w:t>
      </w:r>
      <w:r w:rsidR="00734EC0">
        <w:rPr>
          <w:rFonts w:ascii="Arial" w:hAnsi="Arial" w:cs="Arial"/>
          <w:sz w:val="22"/>
          <w:szCs w:val="22"/>
          <w:u w:color="000000"/>
        </w:rPr>
        <w:t>,</w:t>
      </w:r>
      <w:r w:rsidRPr="00D630EF">
        <w:rPr>
          <w:rFonts w:ascii="Arial" w:hAnsi="Arial" w:cs="Arial"/>
          <w:sz w:val="22"/>
          <w:szCs w:val="22"/>
          <w:u w:color="000000"/>
        </w:rPr>
        <w:t xml:space="preserve"> en este sentido, en la medida en que se permita un acceso a la verdad y a la justicia se </w:t>
      </w:r>
      <w:r w:rsidR="006B2942" w:rsidRPr="00D630EF">
        <w:rPr>
          <w:rFonts w:ascii="Arial" w:hAnsi="Arial" w:cs="Arial"/>
          <w:sz w:val="22"/>
          <w:szCs w:val="22"/>
          <w:u w:color="000000"/>
        </w:rPr>
        <w:t>avizora</w:t>
      </w:r>
      <w:r w:rsidRPr="00D630EF">
        <w:rPr>
          <w:rFonts w:ascii="Arial" w:hAnsi="Arial" w:cs="Arial"/>
          <w:sz w:val="22"/>
          <w:szCs w:val="22"/>
          <w:u w:color="000000"/>
        </w:rPr>
        <w:t xml:space="preserve"> un desenlace prometedor  en cuanto a la reparación</w:t>
      </w:r>
      <w:r w:rsidRPr="00D630EF">
        <w:rPr>
          <w:rFonts w:ascii="Arial" w:hAnsi="Arial" w:cs="Arial"/>
          <w:sz w:val="22"/>
          <w:szCs w:val="22"/>
          <w:u w:color="000000"/>
          <w:vertAlign w:val="superscript"/>
        </w:rPr>
        <w:footnoteReference w:id="24"/>
      </w:r>
      <w:r w:rsidR="00C41D58">
        <w:rPr>
          <w:rFonts w:ascii="Arial" w:hAnsi="Arial" w:cs="Arial"/>
          <w:sz w:val="22"/>
          <w:szCs w:val="22"/>
          <w:u w:color="000000"/>
        </w:rPr>
        <w:t>.</w:t>
      </w:r>
    </w:p>
    <w:p w:rsidR="00AD346E" w:rsidRPr="00D630EF" w:rsidRDefault="00AD346E" w:rsidP="00244B68">
      <w:pPr>
        <w:pStyle w:val="Body1"/>
        <w:spacing w:before="20" w:line="360" w:lineRule="auto"/>
        <w:outlineLvl w:val="0"/>
        <w:rPr>
          <w:rFonts w:ascii="Arial" w:hAnsi="Arial" w:cs="Arial"/>
          <w:sz w:val="22"/>
          <w:szCs w:val="22"/>
          <w:u w:color="000000"/>
        </w:rPr>
      </w:pPr>
    </w:p>
    <w:p w:rsidR="00AD346E" w:rsidRPr="009D5ED1" w:rsidRDefault="00102AD1" w:rsidP="00B656C2">
      <w:pPr>
        <w:pStyle w:val="Body1"/>
        <w:numPr>
          <w:ilvl w:val="2"/>
          <w:numId w:val="7"/>
        </w:numPr>
        <w:spacing w:before="20" w:line="360" w:lineRule="auto"/>
        <w:jc w:val="both"/>
        <w:outlineLvl w:val="2"/>
        <w:rPr>
          <w:rFonts w:ascii="Arial" w:hAnsi="Arial" w:cs="Arial"/>
          <w:b/>
          <w:sz w:val="22"/>
          <w:szCs w:val="22"/>
          <w:u w:color="000000"/>
        </w:rPr>
      </w:pPr>
      <w:bookmarkStart w:id="4" w:name="_Toc356432241"/>
      <w:r>
        <w:rPr>
          <w:rFonts w:ascii="Arial" w:hAnsi="Arial" w:cs="Arial"/>
          <w:b/>
          <w:sz w:val="22"/>
          <w:szCs w:val="22"/>
          <w:u w:color="000000"/>
        </w:rPr>
        <w:t>L</w:t>
      </w:r>
      <w:r w:rsidRPr="009D5ED1">
        <w:rPr>
          <w:rFonts w:ascii="Arial" w:hAnsi="Arial" w:cs="Arial"/>
          <w:b/>
          <w:sz w:val="22"/>
          <w:szCs w:val="22"/>
          <w:u w:color="000000"/>
        </w:rPr>
        <w:t>a tendencia en la atención a las víctimas en los procesos de judicialización de los responsables de vio</w:t>
      </w:r>
      <w:r>
        <w:rPr>
          <w:rFonts w:ascii="Arial" w:hAnsi="Arial" w:cs="Arial"/>
          <w:b/>
          <w:sz w:val="22"/>
          <w:szCs w:val="22"/>
          <w:u w:color="000000"/>
        </w:rPr>
        <w:t>laciones a los derechos humanos</w:t>
      </w:r>
      <w:bookmarkEnd w:id="4"/>
    </w:p>
    <w:p w:rsidR="00AD346E" w:rsidRPr="00D630EF" w:rsidRDefault="00AD346E" w:rsidP="00D630EF">
      <w:pPr>
        <w:pStyle w:val="Body1"/>
        <w:spacing w:before="20" w:line="360" w:lineRule="auto"/>
        <w:outlineLvl w:val="0"/>
        <w:rPr>
          <w:rFonts w:ascii="Arial" w:hAnsi="Arial" w:cs="Arial"/>
          <w:sz w:val="22"/>
          <w:szCs w:val="22"/>
          <w:u w:color="000000"/>
        </w:rPr>
      </w:pPr>
    </w:p>
    <w:p w:rsidR="0037327F" w:rsidRDefault="00AD346E" w:rsidP="00DF2829">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En la circunscripción internacional de los países que forman parte de la OEA, el Sistema Interamericano </w:t>
      </w:r>
      <w:r w:rsidR="00330CEC">
        <w:rPr>
          <w:rFonts w:ascii="Arial" w:hAnsi="Arial" w:cs="Arial"/>
          <w:sz w:val="22"/>
          <w:szCs w:val="22"/>
          <w:u w:color="000000"/>
        </w:rPr>
        <w:t>de Derechos H</w:t>
      </w:r>
      <w:r w:rsidR="006B2942">
        <w:rPr>
          <w:rFonts w:ascii="Arial" w:hAnsi="Arial" w:cs="Arial"/>
          <w:sz w:val="22"/>
          <w:szCs w:val="22"/>
          <w:u w:color="000000"/>
        </w:rPr>
        <w:t>umanos se encarga d</w:t>
      </w:r>
      <w:r w:rsidR="00330CEC">
        <w:rPr>
          <w:rFonts w:ascii="Arial" w:hAnsi="Arial" w:cs="Arial"/>
          <w:sz w:val="22"/>
          <w:szCs w:val="22"/>
          <w:u w:color="000000"/>
        </w:rPr>
        <w:t>e la</w:t>
      </w:r>
      <w:r w:rsidRPr="00D630EF">
        <w:rPr>
          <w:rFonts w:ascii="Arial" w:hAnsi="Arial" w:cs="Arial"/>
          <w:sz w:val="22"/>
          <w:szCs w:val="22"/>
          <w:u w:color="000000"/>
        </w:rPr>
        <w:t xml:space="preserve"> promoción y protección</w:t>
      </w:r>
      <w:r w:rsidR="00330CEC">
        <w:rPr>
          <w:rFonts w:ascii="Arial" w:hAnsi="Arial" w:cs="Arial"/>
          <w:sz w:val="22"/>
          <w:szCs w:val="22"/>
          <w:u w:color="000000"/>
        </w:rPr>
        <w:t xml:space="preserve"> de los derechos</w:t>
      </w:r>
      <w:r w:rsidRPr="00D630EF">
        <w:rPr>
          <w:rFonts w:ascii="Arial" w:hAnsi="Arial" w:cs="Arial"/>
          <w:sz w:val="22"/>
          <w:szCs w:val="22"/>
          <w:u w:color="000000"/>
        </w:rPr>
        <w:t>. Existe un desarrollo perm</w:t>
      </w:r>
      <w:r w:rsidR="00B6006E">
        <w:rPr>
          <w:rFonts w:ascii="Arial" w:hAnsi="Arial" w:cs="Arial"/>
          <w:sz w:val="22"/>
          <w:szCs w:val="22"/>
          <w:u w:color="000000"/>
        </w:rPr>
        <w:t xml:space="preserve">anente </w:t>
      </w:r>
      <w:r w:rsidR="0037327F">
        <w:rPr>
          <w:rFonts w:ascii="Arial" w:hAnsi="Arial" w:cs="Arial"/>
          <w:sz w:val="22"/>
          <w:szCs w:val="22"/>
          <w:u w:color="000000"/>
        </w:rPr>
        <w:t>en</w:t>
      </w:r>
      <w:r w:rsidR="00B6006E">
        <w:rPr>
          <w:rFonts w:ascii="Arial" w:hAnsi="Arial" w:cs="Arial"/>
          <w:sz w:val="22"/>
          <w:szCs w:val="22"/>
          <w:u w:color="000000"/>
        </w:rPr>
        <w:t xml:space="preserve"> la</w:t>
      </w:r>
      <w:r w:rsidRPr="00D630EF">
        <w:rPr>
          <w:rFonts w:ascii="Arial" w:hAnsi="Arial" w:cs="Arial"/>
          <w:sz w:val="22"/>
          <w:szCs w:val="22"/>
          <w:u w:color="000000"/>
        </w:rPr>
        <w:t xml:space="preserve"> implementación de mecanismos que buscan una  atención interdisciplinaria, si bien el aspecto jurídico ocupa un papel importante</w:t>
      </w:r>
      <w:r w:rsidR="00B6006E">
        <w:rPr>
          <w:rFonts w:ascii="Arial" w:hAnsi="Arial" w:cs="Arial"/>
          <w:sz w:val="22"/>
          <w:szCs w:val="22"/>
          <w:u w:color="000000"/>
        </w:rPr>
        <w:t>, al respecto</w:t>
      </w:r>
      <w:r w:rsidRPr="00D630EF">
        <w:rPr>
          <w:rFonts w:ascii="Arial" w:hAnsi="Arial" w:cs="Arial"/>
          <w:sz w:val="22"/>
          <w:szCs w:val="22"/>
          <w:u w:color="000000"/>
        </w:rPr>
        <w:t xml:space="preserve"> s</w:t>
      </w:r>
      <w:r w:rsidR="006B2942">
        <w:rPr>
          <w:rFonts w:ascii="Arial" w:hAnsi="Arial" w:cs="Arial"/>
          <w:sz w:val="22"/>
          <w:szCs w:val="22"/>
          <w:u w:color="000000"/>
        </w:rPr>
        <w:t>e observa una tendencia hacia</w:t>
      </w:r>
      <w:r w:rsidRPr="00D630EF">
        <w:rPr>
          <w:rFonts w:ascii="Arial" w:hAnsi="Arial" w:cs="Arial"/>
          <w:sz w:val="22"/>
          <w:szCs w:val="22"/>
          <w:u w:color="000000"/>
        </w:rPr>
        <w:t xml:space="preserve"> l</w:t>
      </w:r>
      <w:r w:rsidR="00B6006E">
        <w:rPr>
          <w:rFonts w:ascii="Arial" w:hAnsi="Arial" w:cs="Arial"/>
          <w:sz w:val="22"/>
          <w:szCs w:val="22"/>
          <w:u w:color="000000"/>
        </w:rPr>
        <w:t>os aspectos psicológico y sociológico</w:t>
      </w:r>
      <w:r w:rsidRPr="00D630EF">
        <w:rPr>
          <w:rFonts w:ascii="Arial" w:hAnsi="Arial" w:cs="Arial"/>
          <w:sz w:val="22"/>
          <w:szCs w:val="22"/>
          <w:u w:color="000000"/>
        </w:rPr>
        <w:t xml:space="preserve"> tomando en cuenta que los casos presentan matices que escapan al ámbito me</w:t>
      </w:r>
      <w:r w:rsidR="006B2942">
        <w:rPr>
          <w:rFonts w:ascii="Arial" w:hAnsi="Arial" w:cs="Arial"/>
          <w:sz w:val="22"/>
          <w:szCs w:val="22"/>
          <w:u w:color="000000"/>
        </w:rPr>
        <w:t xml:space="preserve">ramente jurídico. </w:t>
      </w:r>
    </w:p>
    <w:p w:rsidR="0037327F" w:rsidRDefault="0037327F" w:rsidP="00DF2829">
      <w:pPr>
        <w:pStyle w:val="Body1"/>
        <w:spacing w:before="20" w:line="360" w:lineRule="auto"/>
        <w:jc w:val="both"/>
        <w:outlineLvl w:val="0"/>
        <w:rPr>
          <w:rFonts w:ascii="Arial" w:hAnsi="Arial" w:cs="Arial"/>
          <w:sz w:val="22"/>
          <w:szCs w:val="22"/>
          <w:u w:color="000000"/>
        </w:rPr>
      </w:pPr>
    </w:p>
    <w:p w:rsidR="00AD346E" w:rsidRDefault="0037327F" w:rsidP="00DF2829">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w:t>
      </w:r>
      <w:r w:rsidR="006B2942">
        <w:rPr>
          <w:rFonts w:ascii="Arial" w:hAnsi="Arial" w:cs="Arial"/>
          <w:sz w:val="22"/>
          <w:szCs w:val="22"/>
          <w:u w:color="000000"/>
        </w:rPr>
        <w:t>a atenció</w:t>
      </w:r>
      <w:r w:rsidR="00AD346E" w:rsidRPr="00D630EF">
        <w:rPr>
          <w:rFonts w:ascii="Arial" w:hAnsi="Arial" w:cs="Arial"/>
          <w:sz w:val="22"/>
          <w:szCs w:val="22"/>
          <w:u w:color="000000"/>
        </w:rPr>
        <w:t xml:space="preserve">n interdisciplinaria ayuda a comprender de mejor manera los entornos en los que se encontraban las </w:t>
      </w:r>
      <w:r w:rsidR="00330CEC">
        <w:rPr>
          <w:rFonts w:ascii="Arial" w:hAnsi="Arial" w:cs="Arial"/>
          <w:sz w:val="22"/>
          <w:szCs w:val="22"/>
          <w:u w:color="000000"/>
        </w:rPr>
        <w:t>víctimas antes de los sucesos violatorios</w:t>
      </w:r>
      <w:r w:rsidR="00AD346E" w:rsidRPr="00D630EF">
        <w:rPr>
          <w:rFonts w:ascii="Arial" w:hAnsi="Arial" w:cs="Arial"/>
          <w:sz w:val="22"/>
          <w:szCs w:val="22"/>
          <w:u w:color="000000"/>
        </w:rPr>
        <w:t xml:space="preserve"> y </w:t>
      </w:r>
      <w:r w:rsidR="006B2942" w:rsidRPr="00D630EF">
        <w:rPr>
          <w:rFonts w:ascii="Arial" w:hAnsi="Arial" w:cs="Arial"/>
          <w:sz w:val="22"/>
          <w:szCs w:val="22"/>
          <w:u w:color="000000"/>
        </w:rPr>
        <w:t>cuál</w:t>
      </w:r>
      <w:r w:rsidR="00AD346E" w:rsidRPr="00D630EF">
        <w:rPr>
          <w:rFonts w:ascii="Arial" w:hAnsi="Arial" w:cs="Arial"/>
          <w:sz w:val="22"/>
          <w:szCs w:val="22"/>
          <w:u w:color="000000"/>
        </w:rPr>
        <w:t xml:space="preserve"> es la atención que requieren del Estado para volver a retomar su proyecto de vida. Si bien el proceso de reparación debe complementarse con principios general</w:t>
      </w:r>
      <w:r w:rsidR="00B6006E">
        <w:rPr>
          <w:rFonts w:ascii="Arial" w:hAnsi="Arial" w:cs="Arial"/>
          <w:sz w:val="22"/>
          <w:szCs w:val="22"/>
          <w:u w:color="000000"/>
        </w:rPr>
        <w:t>es</w:t>
      </w:r>
      <w:r w:rsidR="00AD346E" w:rsidRPr="00D630EF">
        <w:rPr>
          <w:rFonts w:ascii="Arial" w:hAnsi="Arial" w:cs="Arial"/>
          <w:sz w:val="22"/>
          <w:szCs w:val="22"/>
          <w:u w:color="000000"/>
        </w:rPr>
        <w:t xml:space="preserve"> comunes a todos los casos, al momento en que las autoridades emitan sus pronunciamientos deben considerar los aspectos específicos de cada caso a fin de que las reparaciones se ajusten de mejor manera al estado de necesidad de las víctimas.</w:t>
      </w:r>
    </w:p>
    <w:p w:rsidR="00330CEC" w:rsidRPr="00D630EF" w:rsidRDefault="00330CEC" w:rsidP="00DF2829">
      <w:pPr>
        <w:pStyle w:val="Body1"/>
        <w:spacing w:before="20" w:line="360" w:lineRule="auto"/>
        <w:jc w:val="both"/>
        <w:outlineLvl w:val="0"/>
        <w:rPr>
          <w:rFonts w:ascii="Arial" w:hAnsi="Arial" w:cs="Arial"/>
          <w:sz w:val="22"/>
          <w:szCs w:val="22"/>
          <w:u w:color="000000"/>
        </w:rPr>
      </w:pPr>
    </w:p>
    <w:p w:rsidR="00AD346E" w:rsidRPr="00D630EF" w:rsidRDefault="00AD346E" w:rsidP="00DF2829">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La atención a la reparación inte</w:t>
      </w:r>
      <w:r w:rsidR="00330CEC">
        <w:rPr>
          <w:rFonts w:ascii="Arial" w:hAnsi="Arial" w:cs="Arial"/>
          <w:sz w:val="22"/>
          <w:szCs w:val="22"/>
          <w:u w:color="000000"/>
        </w:rPr>
        <w:t>gral implica además que se ubique</w:t>
      </w:r>
      <w:r w:rsidRPr="00D630EF">
        <w:rPr>
          <w:rFonts w:ascii="Arial" w:hAnsi="Arial" w:cs="Arial"/>
          <w:sz w:val="22"/>
          <w:szCs w:val="22"/>
          <w:u w:color="000000"/>
        </w:rPr>
        <w:t xml:space="preserve"> a las víctimas y a sus familias en el centro del proceso, en tiempos posteriores los procesos en los que se </w:t>
      </w:r>
      <w:r w:rsidRPr="00D630EF">
        <w:rPr>
          <w:rFonts w:ascii="Arial" w:hAnsi="Arial" w:cs="Arial"/>
          <w:sz w:val="22"/>
          <w:szCs w:val="22"/>
          <w:u w:color="000000"/>
        </w:rPr>
        <w:lastRenderedPageBreak/>
        <w:t>conocía sobre violaciones de derechos humanos reconocidos internacionalmente buscaban de manera primordial establecer la responsabilidad de los Estados, de este modo la relación de las Cortes en los procesos se producía con los Estados sin conside</w:t>
      </w:r>
      <w:r w:rsidR="00611319">
        <w:rPr>
          <w:rFonts w:ascii="Arial" w:hAnsi="Arial" w:cs="Arial"/>
          <w:sz w:val="22"/>
          <w:szCs w:val="22"/>
          <w:u w:color="000000"/>
        </w:rPr>
        <w:t xml:space="preserve">rar a las víctimas que </w:t>
      </w:r>
      <w:r w:rsidRPr="00D630EF">
        <w:rPr>
          <w:rFonts w:ascii="Arial" w:hAnsi="Arial" w:cs="Arial"/>
          <w:sz w:val="22"/>
          <w:szCs w:val="22"/>
          <w:u w:color="000000"/>
        </w:rPr>
        <w:t xml:space="preserve">eran llamadas eventualmente para emitir una declaración y un mínimo testimonio.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DF2829">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Actualmente el Sistema Interamericano busca incluir a la víctima de un modo </w:t>
      </w:r>
      <w:r w:rsidR="006B2942" w:rsidRPr="00D630EF">
        <w:rPr>
          <w:rFonts w:ascii="Arial" w:hAnsi="Arial" w:cs="Arial"/>
          <w:sz w:val="22"/>
          <w:szCs w:val="22"/>
          <w:u w:color="000000"/>
        </w:rPr>
        <w:t>más</w:t>
      </w:r>
      <w:r w:rsidRPr="00D630EF">
        <w:rPr>
          <w:rFonts w:ascii="Arial" w:hAnsi="Arial" w:cs="Arial"/>
          <w:sz w:val="22"/>
          <w:szCs w:val="22"/>
          <w:u w:color="000000"/>
        </w:rPr>
        <w:t xml:space="preserve"> directo promoviendo su participación de forma</w:t>
      </w:r>
      <w:r w:rsidR="0037327F">
        <w:rPr>
          <w:rFonts w:ascii="Arial" w:hAnsi="Arial" w:cs="Arial"/>
          <w:sz w:val="22"/>
          <w:szCs w:val="22"/>
          <w:u w:color="000000"/>
        </w:rPr>
        <w:t xml:space="preserve"> amplia durante todo el proceso.</w:t>
      </w:r>
      <w:r w:rsidRPr="00D630EF">
        <w:rPr>
          <w:rFonts w:ascii="Arial" w:hAnsi="Arial" w:cs="Arial"/>
          <w:sz w:val="22"/>
          <w:szCs w:val="22"/>
          <w:u w:color="000000"/>
        </w:rPr>
        <w:t xml:space="preserve"> </w:t>
      </w:r>
      <w:r w:rsidR="0037327F" w:rsidRPr="00D630EF">
        <w:rPr>
          <w:rFonts w:ascii="Arial" w:hAnsi="Arial" w:cs="Arial"/>
          <w:sz w:val="22"/>
          <w:szCs w:val="22"/>
          <w:u w:color="000000"/>
        </w:rPr>
        <w:t>Se</w:t>
      </w:r>
      <w:r w:rsidRPr="00D630EF">
        <w:rPr>
          <w:rFonts w:ascii="Arial" w:hAnsi="Arial" w:cs="Arial"/>
          <w:sz w:val="22"/>
          <w:szCs w:val="22"/>
          <w:u w:color="000000"/>
        </w:rPr>
        <w:t xml:space="preserve"> ha dado </w:t>
      </w:r>
      <w:r w:rsidR="00D225AF" w:rsidRPr="00D630EF">
        <w:rPr>
          <w:rFonts w:ascii="Arial" w:hAnsi="Arial" w:cs="Arial"/>
          <w:sz w:val="22"/>
          <w:szCs w:val="22"/>
          <w:u w:color="000000"/>
        </w:rPr>
        <w:t>más</w:t>
      </w:r>
      <w:r w:rsidRPr="00D630EF">
        <w:rPr>
          <w:rFonts w:ascii="Arial" w:hAnsi="Arial" w:cs="Arial"/>
          <w:sz w:val="22"/>
          <w:szCs w:val="22"/>
          <w:u w:color="000000"/>
        </w:rPr>
        <w:t xml:space="preserve"> interés a la etapa de los testimonios donde se conocen aspectos de los casos que escapan a la verdad procesal, se ha dicho además que este acercamiento de las vícti</w:t>
      </w:r>
      <w:r w:rsidR="006B2942">
        <w:rPr>
          <w:rFonts w:ascii="Arial" w:hAnsi="Arial" w:cs="Arial"/>
          <w:sz w:val="22"/>
          <w:szCs w:val="22"/>
          <w:u w:color="000000"/>
        </w:rPr>
        <w:t xml:space="preserve">mas y sus familiares representa </w:t>
      </w:r>
      <w:r w:rsidRPr="00D630EF">
        <w:rPr>
          <w:rFonts w:ascii="Arial" w:hAnsi="Arial" w:cs="Arial"/>
          <w:sz w:val="22"/>
          <w:szCs w:val="22"/>
          <w:u w:color="000000"/>
        </w:rPr>
        <w:t xml:space="preserve">en sí un primer paso hacia la reparación pues se ejerce el derecho de las víctimas a ser escuchadas, lo que influye en su proceso interno de reparación. </w:t>
      </w:r>
    </w:p>
    <w:p w:rsidR="00AD346E" w:rsidRDefault="00AD346E" w:rsidP="00D630EF">
      <w:pPr>
        <w:pStyle w:val="Body1"/>
        <w:spacing w:before="20" w:line="360" w:lineRule="auto"/>
        <w:outlineLvl w:val="0"/>
        <w:rPr>
          <w:rFonts w:ascii="Arial" w:hAnsi="Arial" w:cs="Arial"/>
          <w:sz w:val="22"/>
          <w:szCs w:val="22"/>
          <w:u w:color="000000"/>
        </w:rPr>
      </w:pPr>
    </w:p>
    <w:p w:rsidR="00230C47" w:rsidRDefault="00230C47" w:rsidP="00DF2829">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 Asamblea General de las Naciones Unidas, ha considerado también que las víctimas deben ocupar un papel cada vez más protagónico en cuanto a la protección de los derechos humanos, en este sentido manifiesta lo siguiente en el preámbulo de la aprobación de los </w:t>
      </w:r>
      <w:r w:rsidRPr="00230C47">
        <w:rPr>
          <w:rFonts w:ascii="Arial" w:hAnsi="Arial" w:cs="Arial"/>
          <w:sz w:val="22"/>
          <w:szCs w:val="22"/>
          <w:u w:color="000000"/>
        </w:rPr>
        <w:t>Principios y directrices básicos sobre el derecho de las víctimas de violaciones manifiestas de las normas internacionales de derechos humanos y de violaciones graves del derecho internacional humanitario a interponer recursos y obtener reparaciones</w:t>
      </w:r>
      <w:r>
        <w:rPr>
          <w:rFonts w:ascii="Arial" w:hAnsi="Arial" w:cs="Arial"/>
          <w:sz w:val="22"/>
          <w:szCs w:val="22"/>
          <w:u w:color="000000"/>
        </w:rPr>
        <w:t>:</w:t>
      </w:r>
    </w:p>
    <w:p w:rsidR="000C62B1" w:rsidRDefault="000C62B1" w:rsidP="00016DA6">
      <w:pPr>
        <w:pStyle w:val="Body1"/>
        <w:spacing w:before="20" w:line="276" w:lineRule="auto"/>
        <w:ind w:left="720"/>
        <w:jc w:val="both"/>
        <w:outlineLvl w:val="0"/>
        <w:rPr>
          <w:rFonts w:ascii="Arial" w:hAnsi="Arial" w:cs="Arial"/>
          <w:sz w:val="20"/>
          <w:u w:color="000000"/>
        </w:rPr>
      </w:pPr>
    </w:p>
    <w:p w:rsidR="00230C47" w:rsidRPr="000C62B1" w:rsidRDefault="00230C47" w:rsidP="00016DA6">
      <w:pPr>
        <w:pStyle w:val="Body1"/>
        <w:spacing w:before="20" w:line="276" w:lineRule="auto"/>
        <w:ind w:left="720"/>
        <w:jc w:val="both"/>
        <w:outlineLvl w:val="0"/>
        <w:rPr>
          <w:rFonts w:ascii="Arial" w:hAnsi="Arial" w:cs="Arial"/>
          <w:sz w:val="20"/>
          <w:u w:color="000000"/>
        </w:rPr>
      </w:pPr>
      <w:r w:rsidRPr="000C62B1">
        <w:rPr>
          <w:rFonts w:ascii="Arial" w:hAnsi="Arial" w:cs="Arial"/>
          <w:sz w:val="20"/>
          <w:u w:color="000000"/>
        </w:rPr>
        <w:t xml:space="preserve">Convencida de que, al adoptar un enfoque orientado a las víctimas, la comunidad internacional afirma su solidaridad humana con las víctimas de violaciones del derecho internacional, incluidas las violaciones de las normas internacionales de derechos humanos y del derecho internacional humanitario, así como con la humanidad en </w:t>
      </w:r>
      <w:proofErr w:type="gramStart"/>
      <w:r w:rsidRPr="000C62B1">
        <w:rPr>
          <w:rFonts w:ascii="Arial" w:hAnsi="Arial" w:cs="Arial"/>
          <w:sz w:val="20"/>
          <w:u w:color="000000"/>
        </w:rPr>
        <w:t>general</w:t>
      </w:r>
      <w:r w:rsidR="000C62B1">
        <w:rPr>
          <w:rFonts w:ascii="Arial" w:hAnsi="Arial" w:cs="Arial"/>
          <w:sz w:val="20"/>
          <w:u w:color="000000"/>
        </w:rPr>
        <w:t>(</w:t>
      </w:r>
      <w:proofErr w:type="gramEnd"/>
      <w:r w:rsidRPr="000C62B1">
        <w:rPr>
          <w:rFonts w:ascii="Arial" w:hAnsi="Arial" w:cs="Arial"/>
          <w:sz w:val="20"/>
          <w:u w:color="000000"/>
        </w:rPr>
        <w:t>…</w:t>
      </w:r>
      <w:r w:rsidR="000C62B1">
        <w:rPr>
          <w:rFonts w:ascii="Arial" w:hAnsi="Arial" w:cs="Arial"/>
          <w:sz w:val="20"/>
          <w:u w:color="000000"/>
        </w:rPr>
        <w:t>)</w:t>
      </w:r>
      <w:r w:rsidRPr="000C62B1">
        <w:rPr>
          <w:rStyle w:val="Refdenotaalpie"/>
          <w:rFonts w:ascii="Arial" w:hAnsi="Arial" w:cs="Arial"/>
          <w:sz w:val="20"/>
          <w:u w:color="000000"/>
        </w:rPr>
        <w:footnoteReference w:id="25"/>
      </w:r>
      <w:r w:rsidRPr="000C62B1">
        <w:rPr>
          <w:rFonts w:ascii="Arial" w:hAnsi="Arial" w:cs="Arial"/>
          <w:sz w:val="20"/>
          <w:u w:color="000000"/>
        </w:rPr>
        <w:t xml:space="preserve">     </w:t>
      </w:r>
    </w:p>
    <w:p w:rsidR="00230C47" w:rsidRPr="00D630EF" w:rsidRDefault="00230C47" w:rsidP="00D630EF">
      <w:pPr>
        <w:pStyle w:val="Body1"/>
        <w:spacing w:before="20" w:line="360" w:lineRule="auto"/>
        <w:outlineLvl w:val="0"/>
        <w:rPr>
          <w:rFonts w:ascii="Arial" w:hAnsi="Arial" w:cs="Arial"/>
          <w:sz w:val="22"/>
          <w:szCs w:val="22"/>
          <w:u w:color="000000"/>
        </w:rPr>
      </w:pPr>
    </w:p>
    <w:p w:rsidR="00AD346E" w:rsidRPr="00D630EF" w:rsidRDefault="00757289" w:rsidP="00DF2829">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Es importante que en la reparación se incluya</w:t>
      </w:r>
      <w:r w:rsidR="00AD346E" w:rsidRPr="00D630EF">
        <w:rPr>
          <w:rFonts w:ascii="Arial" w:hAnsi="Arial" w:cs="Arial"/>
          <w:sz w:val="22"/>
          <w:szCs w:val="22"/>
          <w:u w:color="000000"/>
        </w:rPr>
        <w:t xml:space="preserve"> el ámbito moral, </w:t>
      </w:r>
      <w:r>
        <w:rPr>
          <w:rFonts w:ascii="Arial" w:hAnsi="Arial" w:cs="Arial"/>
          <w:sz w:val="22"/>
          <w:szCs w:val="22"/>
          <w:u w:color="000000"/>
        </w:rPr>
        <w:t xml:space="preserve">pues supone </w:t>
      </w:r>
      <w:r w:rsidR="001C70E8">
        <w:rPr>
          <w:rFonts w:ascii="Arial" w:hAnsi="Arial" w:cs="Arial"/>
          <w:sz w:val="22"/>
          <w:szCs w:val="22"/>
          <w:u w:color="000000"/>
        </w:rPr>
        <w:t>una ampli</w:t>
      </w:r>
      <w:r w:rsidR="001C70E8" w:rsidRPr="00D630EF">
        <w:rPr>
          <w:rFonts w:ascii="Arial" w:hAnsi="Arial" w:cs="Arial"/>
          <w:sz w:val="22"/>
          <w:szCs w:val="22"/>
          <w:u w:color="000000"/>
        </w:rPr>
        <w:t>a</w:t>
      </w:r>
      <w:r w:rsidR="001C70E8">
        <w:rPr>
          <w:rFonts w:ascii="Arial" w:hAnsi="Arial" w:cs="Arial"/>
          <w:sz w:val="22"/>
          <w:szCs w:val="22"/>
          <w:u w:color="000000"/>
        </w:rPr>
        <w:t>ción</w:t>
      </w:r>
      <w:r w:rsidR="00AD346E" w:rsidRPr="00D630EF">
        <w:rPr>
          <w:rFonts w:ascii="Arial" w:hAnsi="Arial" w:cs="Arial"/>
          <w:sz w:val="22"/>
          <w:szCs w:val="22"/>
          <w:u w:color="000000"/>
        </w:rPr>
        <w:t xml:space="preserve"> </w:t>
      </w:r>
      <w:r w:rsidR="001C70E8">
        <w:rPr>
          <w:rFonts w:ascii="Arial" w:hAnsi="Arial" w:cs="Arial"/>
          <w:sz w:val="22"/>
          <w:szCs w:val="22"/>
          <w:u w:color="000000"/>
        </w:rPr>
        <w:t>en el ámbito de protección a</w:t>
      </w:r>
      <w:r w:rsidR="00AD346E" w:rsidRPr="00D630EF">
        <w:rPr>
          <w:rFonts w:ascii="Arial" w:hAnsi="Arial" w:cs="Arial"/>
          <w:sz w:val="22"/>
          <w:szCs w:val="22"/>
          <w:u w:color="000000"/>
        </w:rPr>
        <w:t xml:space="preserve"> los derechos</w:t>
      </w:r>
      <w:r w:rsidR="00666A08">
        <w:rPr>
          <w:rFonts w:ascii="Arial" w:hAnsi="Arial" w:cs="Arial"/>
          <w:sz w:val="22"/>
          <w:szCs w:val="22"/>
          <w:u w:color="000000"/>
        </w:rPr>
        <w:t xml:space="preserve">. </w:t>
      </w:r>
      <w:r w:rsidR="00550DBD" w:rsidRPr="00D630EF">
        <w:rPr>
          <w:rFonts w:ascii="Arial" w:hAnsi="Arial" w:cs="Arial"/>
          <w:sz w:val="22"/>
          <w:szCs w:val="22"/>
          <w:u w:color="000000"/>
        </w:rPr>
        <w:t>En</w:t>
      </w:r>
      <w:r w:rsidR="00AD346E" w:rsidRPr="00D630EF">
        <w:rPr>
          <w:rFonts w:ascii="Arial" w:hAnsi="Arial" w:cs="Arial"/>
          <w:sz w:val="22"/>
          <w:szCs w:val="22"/>
          <w:u w:color="000000"/>
        </w:rPr>
        <w:t xml:space="preserve"> la visión tradicional que se tenía so</w:t>
      </w:r>
      <w:r w:rsidR="00475B6F">
        <w:rPr>
          <w:rFonts w:ascii="Arial" w:hAnsi="Arial" w:cs="Arial"/>
          <w:sz w:val="22"/>
          <w:szCs w:val="22"/>
          <w:u w:color="000000"/>
        </w:rPr>
        <w:t xml:space="preserve">bre la reparación, </w:t>
      </w:r>
      <w:r w:rsidR="00AD346E" w:rsidRPr="00D630EF">
        <w:rPr>
          <w:rFonts w:ascii="Arial" w:hAnsi="Arial" w:cs="Arial"/>
          <w:sz w:val="22"/>
          <w:szCs w:val="22"/>
          <w:u w:color="000000"/>
        </w:rPr>
        <w:t xml:space="preserve">solo se tomaban en cuenta las pérdidas patrimoniales producidas por la violación dejando a salvo el derecho de la víctima a ser indemnizado por tales pérdidas. La participación de la víctima se condicionaba a la posibilidad de que pudiera demostrar que había sido perjudicada económicamente. En esta antigua concepción se </w:t>
      </w:r>
      <w:r w:rsidR="00AD346E" w:rsidRPr="00D630EF">
        <w:rPr>
          <w:rFonts w:ascii="Arial" w:hAnsi="Arial" w:cs="Arial"/>
          <w:sz w:val="22"/>
          <w:szCs w:val="22"/>
          <w:u w:color="000000"/>
        </w:rPr>
        <w:lastRenderedPageBreak/>
        <w:t xml:space="preserve">determinaba además que era únicamente el Estado el interesado de </w:t>
      </w:r>
      <w:r w:rsidR="00330CEC">
        <w:rPr>
          <w:rFonts w:ascii="Arial" w:hAnsi="Arial" w:cs="Arial"/>
          <w:sz w:val="22"/>
          <w:szCs w:val="22"/>
          <w:u w:color="000000"/>
        </w:rPr>
        <w:t>conocer la verdad de los hechos entonces</w:t>
      </w:r>
      <w:r w:rsidR="00AD346E" w:rsidRPr="00D630EF">
        <w:rPr>
          <w:rFonts w:ascii="Arial" w:hAnsi="Arial" w:cs="Arial"/>
          <w:sz w:val="22"/>
          <w:szCs w:val="22"/>
          <w:u w:color="000000"/>
        </w:rPr>
        <w:t xml:space="preserve"> la participación de la víctima se encontraba limitada</w:t>
      </w:r>
      <w:r w:rsidR="00AD346E" w:rsidRPr="00D630EF">
        <w:rPr>
          <w:rFonts w:ascii="Arial" w:hAnsi="Arial" w:cs="Arial"/>
          <w:sz w:val="22"/>
          <w:szCs w:val="22"/>
          <w:u w:color="000000"/>
          <w:vertAlign w:val="superscript"/>
        </w:rPr>
        <w:footnoteReference w:id="26"/>
      </w:r>
      <w:r w:rsidR="00FC1D8C">
        <w:rPr>
          <w:rFonts w:ascii="Arial" w:hAnsi="Arial" w:cs="Arial"/>
          <w:sz w:val="22"/>
          <w:szCs w:val="22"/>
          <w:u w:color="000000"/>
        </w:rPr>
        <w:t>.</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F2829" w:rsidRDefault="00102AD1" w:rsidP="00B656C2">
      <w:pPr>
        <w:pStyle w:val="Body1"/>
        <w:numPr>
          <w:ilvl w:val="1"/>
          <w:numId w:val="7"/>
        </w:numPr>
        <w:spacing w:before="20" w:line="360" w:lineRule="auto"/>
        <w:outlineLvl w:val="1"/>
        <w:rPr>
          <w:rFonts w:ascii="Arial" w:hAnsi="Arial" w:cs="Arial"/>
          <w:b/>
          <w:szCs w:val="24"/>
          <w:u w:color="000000"/>
        </w:rPr>
      </w:pPr>
      <w:bookmarkStart w:id="5" w:name="_Toc356432242"/>
      <w:r>
        <w:rPr>
          <w:rFonts w:ascii="Arial" w:hAnsi="Arial" w:cs="Arial"/>
          <w:b/>
          <w:szCs w:val="24"/>
          <w:u w:color="000000"/>
        </w:rPr>
        <w:t>L</w:t>
      </w:r>
      <w:r w:rsidRPr="00DF2829">
        <w:rPr>
          <w:rFonts w:ascii="Arial" w:hAnsi="Arial" w:cs="Arial"/>
          <w:b/>
          <w:szCs w:val="24"/>
          <w:u w:color="000000"/>
        </w:rPr>
        <w:t>a naturaleza de la reparación</w:t>
      </w:r>
      <w:bookmarkEnd w:id="5"/>
    </w:p>
    <w:p w:rsidR="00AD346E" w:rsidRPr="00D630EF" w:rsidRDefault="00AD346E" w:rsidP="00D630EF">
      <w:pPr>
        <w:pStyle w:val="Body1"/>
        <w:spacing w:before="20" w:line="360" w:lineRule="auto"/>
        <w:outlineLvl w:val="0"/>
        <w:rPr>
          <w:rFonts w:ascii="Arial" w:hAnsi="Arial" w:cs="Arial"/>
          <w:sz w:val="22"/>
          <w:szCs w:val="22"/>
          <w:u w:color="000000"/>
        </w:rPr>
      </w:pPr>
    </w:p>
    <w:p w:rsidR="00244B68" w:rsidRDefault="00AD346E" w:rsidP="00DF2829">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En el ámbito de la protección internacional a los derechos humanos, la reparación viene tomando un papel muy importante, sobre todo por </w:t>
      </w:r>
      <w:r w:rsidR="00550DBD">
        <w:rPr>
          <w:rFonts w:ascii="Arial" w:hAnsi="Arial" w:cs="Arial"/>
          <w:sz w:val="22"/>
          <w:szCs w:val="22"/>
          <w:u w:color="000000"/>
        </w:rPr>
        <w:t>el desarrollo que está permanentemente generándose</w:t>
      </w:r>
      <w:r w:rsidR="005656B6">
        <w:rPr>
          <w:rFonts w:ascii="Arial" w:hAnsi="Arial" w:cs="Arial"/>
          <w:sz w:val="22"/>
          <w:szCs w:val="22"/>
          <w:u w:color="000000"/>
        </w:rPr>
        <w:t xml:space="preserve"> en</w:t>
      </w:r>
      <w:r w:rsidRPr="00D630EF">
        <w:rPr>
          <w:rFonts w:ascii="Arial" w:hAnsi="Arial" w:cs="Arial"/>
          <w:sz w:val="22"/>
          <w:szCs w:val="22"/>
          <w:u w:color="000000"/>
        </w:rPr>
        <w:t xml:space="preserve"> la materia. </w:t>
      </w:r>
      <w:r w:rsidR="00550DBD">
        <w:rPr>
          <w:rFonts w:ascii="Arial" w:hAnsi="Arial" w:cs="Arial"/>
          <w:sz w:val="22"/>
          <w:szCs w:val="22"/>
          <w:u w:color="000000"/>
        </w:rPr>
        <w:t xml:space="preserve">La reparación es </w:t>
      </w:r>
      <w:r w:rsidR="006B1F12">
        <w:rPr>
          <w:rFonts w:ascii="Arial" w:hAnsi="Arial" w:cs="Arial"/>
          <w:sz w:val="22"/>
          <w:szCs w:val="22"/>
          <w:u w:color="000000"/>
        </w:rPr>
        <w:t>uno de los objetivos fundamentales del</w:t>
      </w:r>
      <w:r w:rsidR="00550DBD">
        <w:rPr>
          <w:rFonts w:ascii="Arial" w:hAnsi="Arial" w:cs="Arial"/>
          <w:sz w:val="22"/>
          <w:szCs w:val="22"/>
          <w:u w:color="000000"/>
        </w:rPr>
        <w:t xml:space="preserve"> </w:t>
      </w:r>
      <w:r w:rsidRPr="00D630EF">
        <w:rPr>
          <w:rFonts w:ascii="Arial" w:hAnsi="Arial" w:cs="Arial"/>
          <w:sz w:val="22"/>
          <w:szCs w:val="22"/>
          <w:u w:color="000000"/>
        </w:rPr>
        <w:t>Si</w:t>
      </w:r>
      <w:r w:rsidR="006B1F12">
        <w:rPr>
          <w:rFonts w:ascii="Arial" w:hAnsi="Arial" w:cs="Arial"/>
          <w:sz w:val="22"/>
          <w:szCs w:val="22"/>
          <w:u w:color="000000"/>
        </w:rPr>
        <w:t>stema Interamericano de Derechos Humanos, por lo que es preciso que se vaya ajustando a las necesidades supervinientes de acuerdo a los cambios sociales. Un constante estudio y análisis de la reparación por parte de doctrinarios y autoridades de justicia</w:t>
      </w:r>
      <w:r w:rsidRPr="00D630EF">
        <w:rPr>
          <w:rFonts w:ascii="Arial" w:hAnsi="Arial" w:cs="Arial"/>
          <w:sz w:val="22"/>
          <w:szCs w:val="22"/>
          <w:u w:color="000000"/>
        </w:rPr>
        <w:t xml:space="preserve"> </w:t>
      </w:r>
      <w:r w:rsidR="006B1F12">
        <w:rPr>
          <w:rFonts w:ascii="Arial" w:hAnsi="Arial" w:cs="Arial"/>
          <w:sz w:val="22"/>
          <w:szCs w:val="22"/>
          <w:u w:color="000000"/>
        </w:rPr>
        <w:t>permitirá</w:t>
      </w:r>
      <w:r w:rsidR="0084487B">
        <w:rPr>
          <w:rFonts w:ascii="Arial" w:hAnsi="Arial" w:cs="Arial"/>
          <w:sz w:val="22"/>
          <w:szCs w:val="22"/>
          <w:u w:color="000000"/>
        </w:rPr>
        <w:t>n</w:t>
      </w:r>
      <w:r w:rsidR="006B1F12">
        <w:rPr>
          <w:rFonts w:ascii="Arial" w:hAnsi="Arial" w:cs="Arial"/>
          <w:sz w:val="22"/>
          <w:szCs w:val="22"/>
          <w:u w:color="000000"/>
        </w:rPr>
        <w:t xml:space="preserve"> dotarle</w:t>
      </w:r>
      <w:r w:rsidRPr="00D630EF">
        <w:rPr>
          <w:rFonts w:ascii="Arial" w:hAnsi="Arial" w:cs="Arial"/>
          <w:sz w:val="22"/>
          <w:szCs w:val="22"/>
          <w:u w:color="000000"/>
        </w:rPr>
        <w:t xml:space="preserve"> </w:t>
      </w:r>
      <w:r w:rsidR="006B1F12">
        <w:rPr>
          <w:rFonts w:ascii="Arial" w:hAnsi="Arial" w:cs="Arial"/>
          <w:sz w:val="22"/>
          <w:szCs w:val="22"/>
          <w:u w:color="000000"/>
        </w:rPr>
        <w:t>de mayor</w:t>
      </w:r>
      <w:r w:rsidRPr="00D630EF">
        <w:rPr>
          <w:rFonts w:ascii="Arial" w:hAnsi="Arial" w:cs="Arial"/>
          <w:sz w:val="22"/>
          <w:szCs w:val="22"/>
          <w:u w:color="000000"/>
        </w:rPr>
        <w:t xml:space="preserve"> contenido </w:t>
      </w:r>
      <w:r w:rsidR="0084487B">
        <w:rPr>
          <w:rFonts w:ascii="Arial" w:hAnsi="Arial" w:cs="Arial"/>
          <w:sz w:val="22"/>
          <w:szCs w:val="22"/>
          <w:u w:color="000000"/>
        </w:rPr>
        <w:t xml:space="preserve">extendiendo sus efectos, </w:t>
      </w:r>
      <w:r w:rsidRPr="00D630EF">
        <w:rPr>
          <w:rFonts w:ascii="Arial" w:hAnsi="Arial" w:cs="Arial"/>
          <w:sz w:val="22"/>
          <w:szCs w:val="22"/>
          <w:u w:color="000000"/>
        </w:rPr>
        <w:t xml:space="preserve">con el fin de lograr una reparación </w:t>
      </w:r>
      <w:r w:rsidR="00244B68" w:rsidRPr="00D630EF">
        <w:rPr>
          <w:rFonts w:ascii="Arial" w:hAnsi="Arial" w:cs="Arial"/>
          <w:sz w:val="22"/>
          <w:szCs w:val="22"/>
          <w:u w:color="000000"/>
        </w:rPr>
        <w:t>más</w:t>
      </w:r>
      <w:r w:rsidRPr="00D630EF">
        <w:rPr>
          <w:rFonts w:ascii="Arial" w:hAnsi="Arial" w:cs="Arial"/>
          <w:sz w:val="22"/>
          <w:szCs w:val="22"/>
          <w:u w:color="000000"/>
        </w:rPr>
        <w:t xml:space="preserve"> amplia e integral. </w:t>
      </w:r>
    </w:p>
    <w:p w:rsidR="00244B68" w:rsidRDefault="00244B68" w:rsidP="00244B68">
      <w:pPr>
        <w:pStyle w:val="Body1"/>
        <w:spacing w:before="20" w:line="360" w:lineRule="auto"/>
        <w:jc w:val="both"/>
        <w:outlineLvl w:val="0"/>
        <w:rPr>
          <w:rFonts w:ascii="Arial" w:hAnsi="Arial" w:cs="Arial"/>
          <w:sz w:val="22"/>
          <w:szCs w:val="22"/>
          <w:u w:color="000000"/>
        </w:rPr>
      </w:pPr>
    </w:p>
    <w:p w:rsidR="00AD346E" w:rsidRPr="00D630EF" w:rsidRDefault="00AD346E" w:rsidP="00DF2829">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Existen diversos pro</w:t>
      </w:r>
      <w:r w:rsidR="0084487B">
        <w:rPr>
          <w:rFonts w:ascii="Arial" w:hAnsi="Arial" w:cs="Arial"/>
          <w:sz w:val="22"/>
          <w:szCs w:val="22"/>
          <w:u w:color="000000"/>
        </w:rPr>
        <w:t>nunciamientos de tratadistas</w:t>
      </w:r>
      <w:r w:rsidRPr="00D630EF">
        <w:rPr>
          <w:rFonts w:ascii="Arial" w:hAnsi="Arial" w:cs="Arial"/>
          <w:sz w:val="22"/>
          <w:szCs w:val="22"/>
          <w:u w:color="000000"/>
        </w:rPr>
        <w:t xml:space="preserve"> respecto a la naturaleza de la reparación</w:t>
      </w:r>
      <w:r w:rsidR="0084487B">
        <w:rPr>
          <w:rFonts w:ascii="Arial" w:hAnsi="Arial" w:cs="Arial"/>
          <w:sz w:val="22"/>
          <w:szCs w:val="22"/>
          <w:u w:color="000000"/>
        </w:rPr>
        <w:t>,</w:t>
      </w:r>
      <w:r w:rsidRPr="00D630EF">
        <w:rPr>
          <w:rFonts w:ascii="Arial" w:hAnsi="Arial" w:cs="Arial"/>
          <w:sz w:val="22"/>
          <w:szCs w:val="22"/>
          <w:u w:color="000000"/>
        </w:rPr>
        <w:t xml:space="preserve"> identificándola en muchos casos como un derecho cuyo ejercicio supone la creación de relaciones </w:t>
      </w:r>
      <w:r w:rsidR="00330CEC">
        <w:rPr>
          <w:rFonts w:ascii="Arial" w:hAnsi="Arial" w:cs="Arial"/>
          <w:sz w:val="22"/>
          <w:szCs w:val="22"/>
          <w:u w:color="000000"/>
        </w:rPr>
        <w:t xml:space="preserve">jurídicas </w:t>
      </w:r>
      <w:r w:rsidRPr="00D630EF">
        <w:rPr>
          <w:rFonts w:ascii="Arial" w:hAnsi="Arial" w:cs="Arial"/>
          <w:sz w:val="22"/>
          <w:szCs w:val="22"/>
          <w:u w:color="000000"/>
        </w:rPr>
        <w:t>diferentes a las identificadas en la violación a los derechos. Mientras en la violación a los derechos</w:t>
      </w:r>
      <w:r w:rsidR="0084487B">
        <w:rPr>
          <w:rFonts w:ascii="Arial" w:hAnsi="Arial" w:cs="Arial"/>
          <w:sz w:val="22"/>
          <w:szCs w:val="22"/>
          <w:u w:color="000000"/>
        </w:rPr>
        <w:t>,</w:t>
      </w:r>
      <w:r w:rsidRPr="00D630EF">
        <w:rPr>
          <w:rFonts w:ascii="Arial" w:hAnsi="Arial" w:cs="Arial"/>
          <w:sz w:val="22"/>
          <w:szCs w:val="22"/>
          <w:u w:color="000000"/>
        </w:rPr>
        <w:t xml:space="preserve"> la víctima es el sujeto pasivo de las agresiones, la relación jurídica del derecho a la reparación ubica a la víctima como sujeto activo. Otros autores por su parte señalan  que la reparación no debe ser </w:t>
      </w:r>
      <w:r w:rsidR="006B2942" w:rsidRPr="00D630EF">
        <w:rPr>
          <w:rFonts w:ascii="Arial" w:hAnsi="Arial" w:cs="Arial"/>
          <w:sz w:val="22"/>
          <w:szCs w:val="22"/>
          <w:u w:color="000000"/>
        </w:rPr>
        <w:t>entendida</w:t>
      </w:r>
      <w:r w:rsidRPr="00D630EF">
        <w:rPr>
          <w:rFonts w:ascii="Arial" w:hAnsi="Arial" w:cs="Arial"/>
          <w:sz w:val="22"/>
          <w:szCs w:val="22"/>
          <w:u w:color="000000"/>
        </w:rPr>
        <w:t xml:space="preserve"> de forma separada y </w:t>
      </w:r>
      <w:r w:rsidR="0084487B">
        <w:rPr>
          <w:rFonts w:ascii="Arial" w:hAnsi="Arial" w:cs="Arial"/>
          <w:sz w:val="22"/>
          <w:szCs w:val="22"/>
          <w:u w:color="000000"/>
        </w:rPr>
        <w:t>que pertenece al derecho a la tutela</w:t>
      </w:r>
      <w:r w:rsidRPr="00D630EF">
        <w:rPr>
          <w:rFonts w:ascii="Arial" w:hAnsi="Arial" w:cs="Arial"/>
          <w:sz w:val="22"/>
          <w:szCs w:val="22"/>
          <w:u w:color="000000"/>
        </w:rPr>
        <w:t xml:space="preserve"> judicial efectiva, cuando la víctima acude a denunciar los hechos de violencia el Estado o las entidades internacionales según sea el caso están en</w:t>
      </w:r>
      <w:r w:rsidR="005656B6">
        <w:rPr>
          <w:rFonts w:ascii="Arial" w:hAnsi="Arial" w:cs="Arial"/>
          <w:sz w:val="22"/>
          <w:szCs w:val="22"/>
          <w:u w:color="000000"/>
        </w:rPr>
        <w:t xml:space="preserve"> la obligación de desplegar toda</w:t>
      </w:r>
      <w:r w:rsidRPr="00D630EF">
        <w:rPr>
          <w:rFonts w:ascii="Arial" w:hAnsi="Arial" w:cs="Arial"/>
          <w:sz w:val="22"/>
          <w:szCs w:val="22"/>
          <w:u w:color="000000"/>
        </w:rPr>
        <w:t>s sus instituciones e instancias a favor de la vigencia y protección de los derechos humanos, por ello al declararse la responsabilidad de los victimarios la reparación debe realizarse en el tiempo y modo necesarios que garanticen la protección a los derechos</w:t>
      </w:r>
      <w:r w:rsidR="00330CEC">
        <w:rPr>
          <w:rFonts w:ascii="Arial" w:hAnsi="Arial" w:cs="Arial"/>
          <w:sz w:val="22"/>
          <w:szCs w:val="22"/>
          <w:u w:color="000000"/>
        </w:rPr>
        <w:t>.</w:t>
      </w:r>
      <w:r w:rsidRPr="00D630EF">
        <w:rPr>
          <w:rFonts w:ascii="Arial" w:hAnsi="Arial" w:cs="Arial"/>
          <w:sz w:val="22"/>
          <w:szCs w:val="22"/>
          <w:u w:color="000000"/>
        </w:rPr>
        <w:t xml:space="preserve">   </w:t>
      </w:r>
    </w:p>
    <w:p w:rsidR="00AD346E" w:rsidRPr="00D630EF" w:rsidRDefault="00AD346E" w:rsidP="006B2942">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  </w:t>
      </w:r>
    </w:p>
    <w:p w:rsidR="00AD346E" w:rsidRPr="00DF2829" w:rsidRDefault="00102AD1" w:rsidP="00B656C2">
      <w:pPr>
        <w:pStyle w:val="Body1"/>
        <w:numPr>
          <w:ilvl w:val="2"/>
          <w:numId w:val="7"/>
        </w:numPr>
        <w:spacing w:before="20" w:line="360" w:lineRule="auto"/>
        <w:jc w:val="both"/>
        <w:outlineLvl w:val="2"/>
        <w:rPr>
          <w:rFonts w:ascii="Arial" w:hAnsi="Arial" w:cs="Arial"/>
          <w:b/>
          <w:sz w:val="22"/>
          <w:szCs w:val="22"/>
          <w:u w:color="000000"/>
        </w:rPr>
      </w:pPr>
      <w:bookmarkStart w:id="6" w:name="_Toc356432243"/>
      <w:r>
        <w:rPr>
          <w:rFonts w:ascii="Arial" w:hAnsi="Arial" w:cs="Arial"/>
          <w:b/>
          <w:sz w:val="22"/>
          <w:szCs w:val="22"/>
          <w:u w:color="000000"/>
        </w:rPr>
        <w:t>L</w:t>
      </w:r>
      <w:r w:rsidRPr="00DF2829">
        <w:rPr>
          <w:rFonts w:ascii="Arial" w:hAnsi="Arial" w:cs="Arial"/>
          <w:b/>
          <w:sz w:val="22"/>
          <w:szCs w:val="22"/>
          <w:u w:color="000000"/>
        </w:rPr>
        <w:t>a reparación como derecho, o como elemento del derech</w:t>
      </w:r>
      <w:r>
        <w:rPr>
          <w:rFonts w:ascii="Arial" w:hAnsi="Arial" w:cs="Arial"/>
          <w:b/>
          <w:sz w:val="22"/>
          <w:szCs w:val="22"/>
          <w:u w:color="000000"/>
        </w:rPr>
        <w:t>o a la tutela judicial efectiva</w:t>
      </w:r>
      <w:bookmarkEnd w:id="6"/>
    </w:p>
    <w:p w:rsidR="002064A3" w:rsidRDefault="002064A3" w:rsidP="002064A3">
      <w:pPr>
        <w:pStyle w:val="Body1"/>
        <w:spacing w:before="20" w:line="360" w:lineRule="auto"/>
        <w:jc w:val="both"/>
        <w:outlineLvl w:val="0"/>
        <w:rPr>
          <w:rFonts w:ascii="Arial" w:hAnsi="Arial" w:cs="Arial"/>
          <w:sz w:val="22"/>
          <w:szCs w:val="22"/>
          <w:u w:color="000000"/>
        </w:rPr>
      </w:pPr>
    </w:p>
    <w:p w:rsidR="002D7CFC" w:rsidRDefault="00CB1790" w:rsidP="00060A4A">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el ámbito internacional de los derechos h</w:t>
      </w:r>
      <w:r w:rsidR="002064A3">
        <w:rPr>
          <w:rFonts w:ascii="Arial" w:hAnsi="Arial" w:cs="Arial"/>
          <w:sz w:val="22"/>
          <w:szCs w:val="22"/>
          <w:u w:color="000000"/>
        </w:rPr>
        <w:t xml:space="preserve">umanos existen normas de varios </w:t>
      </w:r>
      <w:r>
        <w:rPr>
          <w:rFonts w:ascii="Arial" w:hAnsi="Arial" w:cs="Arial"/>
          <w:sz w:val="22"/>
          <w:szCs w:val="22"/>
          <w:u w:color="000000"/>
        </w:rPr>
        <w:t xml:space="preserve">instrumentos que se </w:t>
      </w:r>
      <w:r w:rsidR="002064A3">
        <w:rPr>
          <w:rFonts w:ascii="Arial" w:hAnsi="Arial" w:cs="Arial"/>
          <w:sz w:val="22"/>
          <w:szCs w:val="22"/>
          <w:u w:color="000000"/>
        </w:rPr>
        <w:t>refieren a su protección a trav</w:t>
      </w:r>
      <w:r>
        <w:rPr>
          <w:rFonts w:ascii="Arial" w:hAnsi="Arial" w:cs="Arial"/>
          <w:sz w:val="22"/>
          <w:szCs w:val="22"/>
          <w:u w:color="000000"/>
        </w:rPr>
        <w:t xml:space="preserve">és de un recurso </w:t>
      </w:r>
      <w:r w:rsidR="002064A3">
        <w:rPr>
          <w:rFonts w:ascii="Arial" w:hAnsi="Arial" w:cs="Arial"/>
          <w:sz w:val="22"/>
          <w:szCs w:val="22"/>
          <w:u w:color="000000"/>
        </w:rPr>
        <w:t xml:space="preserve">efectivo </w:t>
      </w:r>
      <w:r>
        <w:rPr>
          <w:rFonts w:ascii="Arial" w:hAnsi="Arial" w:cs="Arial"/>
          <w:sz w:val="22"/>
          <w:szCs w:val="22"/>
          <w:u w:color="000000"/>
        </w:rPr>
        <w:t xml:space="preserve">que ampare a las personas en caso de violación. El </w:t>
      </w:r>
      <w:r w:rsidR="002064A3">
        <w:rPr>
          <w:rFonts w:ascii="Arial" w:hAnsi="Arial" w:cs="Arial"/>
          <w:sz w:val="22"/>
          <w:szCs w:val="22"/>
          <w:u w:color="000000"/>
        </w:rPr>
        <w:t>artículo</w:t>
      </w:r>
      <w:r w:rsidR="002D7CFC">
        <w:rPr>
          <w:rFonts w:ascii="Arial" w:hAnsi="Arial" w:cs="Arial"/>
          <w:sz w:val="22"/>
          <w:szCs w:val="22"/>
          <w:u w:color="000000"/>
        </w:rPr>
        <w:t xml:space="preserve"> 8 de la Declaración Universal d</w:t>
      </w:r>
      <w:r w:rsidR="002064A3">
        <w:rPr>
          <w:rFonts w:ascii="Arial" w:hAnsi="Arial" w:cs="Arial"/>
          <w:sz w:val="22"/>
          <w:szCs w:val="22"/>
          <w:u w:color="000000"/>
        </w:rPr>
        <w:t>e</w:t>
      </w:r>
      <w:r>
        <w:rPr>
          <w:rFonts w:ascii="Arial" w:hAnsi="Arial" w:cs="Arial"/>
          <w:sz w:val="22"/>
          <w:szCs w:val="22"/>
          <w:u w:color="000000"/>
        </w:rPr>
        <w:t xml:space="preserve"> </w:t>
      </w:r>
      <w:r>
        <w:rPr>
          <w:rFonts w:ascii="Arial" w:hAnsi="Arial" w:cs="Arial"/>
          <w:sz w:val="22"/>
          <w:szCs w:val="22"/>
          <w:u w:color="000000"/>
        </w:rPr>
        <w:lastRenderedPageBreak/>
        <w:t xml:space="preserve">Derechos </w:t>
      </w:r>
      <w:r w:rsidR="002064A3">
        <w:rPr>
          <w:rFonts w:ascii="Arial" w:hAnsi="Arial" w:cs="Arial"/>
          <w:sz w:val="22"/>
          <w:szCs w:val="22"/>
          <w:u w:color="000000"/>
        </w:rPr>
        <w:t>Hum</w:t>
      </w:r>
      <w:r>
        <w:rPr>
          <w:rFonts w:ascii="Arial" w:hAnsi="Arial" w:cs="Arial"/>
          <w:sz w:val="22"/>
          <w:szCs w:val="22"/>
          <w:u w:color="000000"/>
        </w:rPr>
        <w:t>anos</w:t>
      </w:r>
      <w:r w:rsidR="002D7CFC">
        <w:rPr>
          <w:rStyle w:val="Refdenotaalpie"/>
          <w:rFonts w:ascii="Arial" w:hAnsi="Arial" w:cs="Arial"/>
          <w:sz w:val="22"/>
          <w:szCs w:val="22"/>
          <w:u w:color="000000"/>
        </w:rPr>
        <w:footnoteReference w:id="27"/>
      </w:r>
      <w:r>
        <w:rPr>
          <w:rFonts w:ascii="Arial" w:hAnsi="Arial" w:cs="Arial"/>
          <w:sz w:val="22"/>
          <w:szCs w:val="22"/>
          <w:u w:color="000000"/>
        </w:rPr>
        <w:t xml:space="preserve"> hace referencia a que toda persona tiene derecho a que el recurso</w:t>
      </w:r>
      <w:r w:rsidR="002064A3">
        <w:rPr>
          <w:rFonts w:ascii="Arial" w:hAnsi="Arial" w:cs="Arial"/>
          <w:sz w:val="22"/>
          <w:szCs w:val="22"/>
          <w:u w:color="000000"/>
        </w:rPr>
        <w:t xml:space="preserve"> efectivo sea presentado ante lo</w:t>
      </w:r>
      <w:r>
        <w:rPr>
          <w:rFonts w:ascii="Arial" w:hAnsi="Arial" w:cs="Arial"/>
          <w:sz w:val="22"/>
          <w:szCs w:val="22"/>
          <w:u w:color="000000"/>
        </w:rPr>
        <w:t>s tribunales nacionales competentes</w:t>
      </w:r>
      <w:r w:rsidR="002064A3">
        <w:rPr>
          <w:rFonts w:ascii="Arial" w:hAnsi="Arial" w:cs="Arial"/>
          <w:sz w:val="22"/>
          <w:szCs w:val="22"/>
          <w:u w:color="000000"/>
        </w:rPr>
        <w:t>. Del mismo modo la Convención Americana sobre Derechos Humanos en su artículo 25</w:t>
      </w:r>
      <w:r w:rsidR="005656B6">
        <w:rPr>
          <w:rFonts w:ascii="Arial" w:hAnsi="Arial" w:cs="Arial"/>
          <w:sz w:val="22"/>
          <w:szCs w:val="22"/>
          <w:u w:color="000000"/>
        </w:rPr>
        <w:t>,</w:t>
      </w:r>
      <w:r w:rsidR="002064A3">
        <w:rPr>
          <w:rFonts w:ascii="Arial" w:hAnsi="Arial" w:cs="Arial"/>
          <w:sz w:val="22"/>
          <w:szCs w:val="22"/>
          <w:u w:color="000000"/>
        </w:rPr>
        <w:t xml:space="preserve"> se refiere al derecho de las personas a un recurso sencillo y rápido o a cualquier otro recurso efectivo, que los ampare contra actos que violen sus derechos fundamentales</w:t>
      </w:r>
      <w:r w:rsidR="009F3498">
        <w:rPr>
          <w:rFonts w:ascii="Arial" w:hAnsi="Arial" w:cs="Arial"/>
          <w:sz w:val="22"/>
          <w:szCs w:val="22"/>
          <w:u w:color="000000"/>
        </w:rPr>
        <w:t xml:space="preserve">. </w:t>
      </w:r>
    </w:p>
    <w:p w:rsidR="002D7CFC" w:rsidRDefault="002D7CFC" w:rsidP="00060A4A">
      <w:pPr>
        <w:pStyle w:val="Body1"/>
        <w:spacing w:before="20" w:line="360" w:lineRule="auto"/>
        <w:jc w:val="both"/>
        <w:outlineLvl w:val="0"/>
        <w:rPr>
          <w:rFonts w:ascii="Arial" w:hAnsi="Arial" w:cs="Arial"/>
          <w:sz w:val="22"/>
          <w:szCs w:val="22"/>
          <w:u w:color="000000"/>
        </w:rPr>
      </w:pPr>
    </w:p>
    <w:p w:rsidR="00642E76" w:rsidRDefault="002D7CFC" w:rsidP="00060A4A">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w:t>
      </w:r>
      <w:r w:rsidR="009F3498">
        <w:rPr>
          <w:rFonts w:ascii="Arial" w:hAnsi="Arial" w:cs="Arial"/>
          <w:sz w:val="22"/>
          <w:szCs w:val="22"/>
          <w:u w:color="000000"/>
        </w:rPr>
        <w:t xml:space="preserve"> protección a los derechos humanos se garantiza con la posibilidad que tienen las personas de acudir a determinadas instancias jurisdiccionales en caso de que sus</w:t>
      </w:r>
      <w:r w:rsidR="00AD65B9">
        <w:rPr>
          <w:rFonts w:ascii="Arial" w:hAnsi="Arial" w:cs="Arial"/>
          <w:sz w:val="22"/>
          <w:szCs w:val="22"/>
          <w:u w:color="000000"/>
        </w:rPr>
        <w:t xml:space="preserve"> derechos hayan sido vulnerados. Las </w:t>
      </w:r>
      <w:r w:rsidR="009F3498">
        <w:rPr>
          <w:rFonts w:ascii="Arial" w:hAnsi="Arial" w:cs="Arial"/>
          <w:sz w:val="22"/>
          <w:szCs w:val="22"/>
          <w:u w:color="000000"/>
        </w:rPr>
        <w:t>autoridades y demás operadores deben desenvolverse en base a un proceso establecido, organizado e imparcial</w:t>
      </w:r>
      <w:r>
        <w:rPr>
          <w:rFonts w:ascii="Arial" w:hAnsi="Arial" w:cs="Arial"/>
          <w:sz w:val="22"/>
          <w:szCs w:val="22"/>
          <w:u w:color="000000"/>
        </w:rPr>
        <w:t xml:space="preserve">. </w:t>
      </w:r>
      <w:r w:rsidR="00AD65B9">
        <w:rPr>
          <w:rFonts w:ascii="Arial" w:hAnsi="Arial" w:cs="Arial"/>
          <w:sz w:val="22"/>
          <w:szCs w:val="22"/>
          <w:u w:color="000000"/>
        </w:rPr>
        <w:t xml:space="preserve">Entonces, </w:t>
      </w:r>
      <w:r>
        <w:rPr>
          <w:rFonts w:ascii="Arial" w:hAnsi="Arial" w:cs="Arial"/>
          <w:sz w:val="22"/>
          <w:szCs w:val="22"/>
          <w:u w:color="000000"/>
        </w:rPr>
        <w:t>al establecerse</w:t>
      </w:r>
      <w:r w:rsidR="00642E76">
        <w:rPr>
          <w:rFonts w:ascii="Arial" w:hAnsi="Arial" w:cs="Arial"/>
          <w:sz w:val="22"/>
          <w:szCs w:val="22"/>
          <w:u w:color="000000"/>
        </w:rPr>
        <w:t xml:space="preserve"> </w:t>
      </w:r>
      <w:r w:rsidR="00AD65B9">
        <w:rPr>
          <w:rFonts w:ascii="Arial" w:hAnsi="Arial" w:cs="Arial"/>
          <w:sz w:val="22"/>
          <w:szCs w:val="22"/>
          <w:u w:color="000000"/>
        </w:rPr>
        <w:t>l</w:t>
      </w:r>
      <w:r>
        <w:rPr>
          <w:rFonts w:ascii="Arial" w:hAnsi="Arial" w:cs="Arial"/>
          <w:sz w:val="22"/>
          <w:szCs w:val="22"/>
          <w:u w:color="000000"/>
        </w:rPr>
        <w:t>a existencia de una violación a los derechos humanos y determinarse las respectivas responsabilidades</w:t>
      </w:r>
      <w:r w:rsidR="00642E76">
        <w:rPr>
          <w:rFonts w:ascii="Arial" w:hAnsi="Arial" w:cs="Arial"/>
          <w:sz w:val="22"/>
          <w:szCs w:val="22"/>
          <w:u w:color="000000"/>
        </w:rPr>
        <w:t xml:space="preserve"> se gen</w:t>
      </w:r>
      <w:r>
        <w:rPr>
          <w:rFonts w:ascii="Arial" w:hAnsi="Arial" w:cs="Arial"/>
          <w:sz w:val="22"/>
          <w:szCs w:val="22"/>
          <w:u w:color="000000"/>
        </w:rPr>
        <w:t>era el derecho de reparación para</w:t>
      </w:r>
      <w:r w:rsidR="00642E76">
        <w:rPr>
          <w:rFonts w:ascii="Arial" w:hAnsi="Arial" w:cs="Arial"/>
          <w:sz w:val="22"/>
          <w:szCs w:val="22"/>
          <w:u w:color="000000"/>
        </w:rPr>
        <w:t xml:space="preserve"> </w:t>
      </w:r>
      <w:r>
        <w:rPr>
          <w:rFonts w:ascii="Arial" w:hAnsi="Arial" w:cs="Arial"/>
          <w:sz w:val="22"/>
          <w:szCs w:val="22"/>
          <w:u w:color="000000"/>
        </w:rPr>
        <w:t xml:space="preserve">las </w:t>
      </w:r>
      <w:r w:rsidR="00642E76">
        <w:rPr>
          <w:rFonts w:ascii="Arial" w:hAnsi="Arial" w:cs="Arial"/>
          <w:sz w:val="22"/>
          <w:szCs w:val="22"/>
          <w:u w:color="000000"/>
        </w:rPr>
        <w:t>víctimas.</w:t>
      </w:r>
    </w:p>
    <w:p w:rsidR="00642E76" w:rsidRDefault="00642E76" w:rsidP="002064A3">
      <w:pPr>
        <w:pStyle w:val="Body1"/>
        <w:spacing w:before="20" w:line="360" w:lineRule="auto"/>
        <w:jc w:val="both"/>
        <w:outlineLvl w:val="0"/>
        <w:rPr>
          <w:rFonts w:ascii="Arial" w:hAnsi="Arial" w:cs="Arial"/>
          <w:sz w:val="22"/>
          <w:szCs w:val="22"/>
          <w:u w:color="000000"/>
        </w:rPr>
      </w:pPr>
    </w:p>
    <w:p w:rsidR="002872E7" w:rsidRDefault="00642E76" w:rsidP="00060A4A">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En el </w:t>
      </w:r>
      <w:proofErr w:type="spellStart"/>
      <w:r>
        <w:rPr>
          <w:rFonts w:ascii="Arial" w:hAnsi="Arial" w:cs="Arial"/>
          <w:sz w:val="22"/>
          <w:szCs w:val="22"/>
          <w:u w:color="000000"/>
        </w:rPr>
        <w:t>articulo</w:t>
      </w:r>
      <w:proofErr w:type="spellEnd"/>
      <w:r>
        <w:rPr>
          <w:rFonts w:ascii="Arial" w:hAnsi="Arial" w:cs="Arial"/>
          <w:sz w:val="22"/>
          <w:szCs w:val="22"/>
          <w:u w:color="000000"/>
        </w:rPr>
        <w:t xml:space="preserve"> 63 numeral 1 de la Convención Americana de Derechos Humanos se establece que la Corte dispondrá que se reparen las consecuencias de la medida o situación que ha configurado la vulneración de los derechos, ello siempre que este órgano decida que hubo violación de un derecho o libertad protegido en la Convención. Es decir que la reparación como garantía de protección a los derechos humanos surge cuando las instancias competentes han declarado la vulneración de los mismos, y tal declaración se realiza en el marco del respeto al derecho a la tutela judicial efectiva.  </w:t>
      </w:r>
    </w:p>
    <w:p w:rsidR="002872E7" w:rsidRDefault="002872E7" w:rsidP="002064A3">
      <w:pPr>
        <w:pStyle w:val="Body1"/>
        <w:spacing w:before="20" w:line="360" w:lineRule="auto"/>
        <w:jc w:val="both"/>
        <w:outlineLvl w:val="0"/>
        <w:rPr>
          <w:rFonts w:ascii="Arial" w:hAnsi="Arial" w:cs="Arial"/>
          <w:sz w:val="22"/>
          <w:szCs w:val="22"/>
          <w:u w:color="000000"/>
        </w:rPr>
      </w:pPr>
    </w:p>
    <w:p w:rsidR="00CB1790" w:rsidRPr="00D630EF" w:rsidRDefault="005127C3" w:rsidP="00060A4A">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w:t>
      </w:r>
      <w:r w:rsidR="00A07C71">
        <w:rPr>
          <w:rFonts w:ascii="Arial" w:hAnsi="Arial" w:cs="Arial"/>
          <w:sz w:val="22"/>
          <w:szCs w:val="22"/>
          <w:u w:color="000000"/>
        </w:rPr>
        <w:t xml:space="preserve"> reparación </w:t>
      </w:r>
      <w:r>
        <w:rPr>
          <w:rFonts w:ascii="Arial" w:hAnsi="Arial" w:cs="Arial"/>
          <w:sz w:val="22"/>
          <w:szCs w:val="22"/>
          <w:u w:color="000000"/>
        </w:rPr>
        <w:t>además de ser un derecho de las víctimas y sus familiares es una</w:t>
      </w:r>
      <w:r w:rsidR="00A07C71">
        <w:rPr>
          <w:rFonts w:ascii="Arial" w:hAnsi="Arial" w:cs="Arial"/>
          <w:sz w:val="22"/>
          <w:szCs w:val="22"/>
          <w:u w:color="000000"/>
        </w:rPr>
        <w:t xml:space="preserve"> obligación de los Estados encontrados responsables</w:t>
      </w:r>
      <w:r>
        <w:rPr>
          <w:rFonts w:ascii="Arial" w:hAnsi="Arial" w:cs="Arial"/>
          <w:sz w:val="22"/>
          <w:szCs w:val="22"/>
          <w:u w:color="000000"/>
        </w:rPr>
        <w:t>. Esta obligación surge además como consecuencia de la violación de una obligación anterior del Estado de respetar y garantizar el ejercicio de los derechos fundamentales</w:t>
      </w:r>
      <w:r w:rsidR="00C57CC8">
        <w:rPr>
          <w:rFonts w:ascii="Arial" w:hAnsi="Arial" w:cs="Arial"/>
          <w:sz w:val="22"/>
          <w:szCs w:val="22"/>
          <w:u w:color="000000"/>
        </w:rPr>
        <w:t xml:space="preserve"> reconocidos en base a la suscripción de instrumentos internacionales</w:t>
      </w:r>
      <w:r w:rsidR="00003462">
        <w:rPr>
          <w:rStyle w:val="Refdenotaalpie"/>
          <w:rFonts w:ascii="Arial" w:hAnsi="Arial" w:cs="Arial"/>
          <w:sz w:val="22"/>
          <w:szCs w:val="22"/>
          <w:u w:color="000000"/>
        </w:rPr>
        <w:footnoteReference w:id="28"/>
      </w:r>
      <w:r>
        <w:rPr>
          <w:rFonts w:ascii="Arial" w:hAnsi="Arial" w:cs="Arial"/>
          <w:sz w:val="22"/>
          <w:szCs w:val="22"/>
          <w:u w:color="000000"/>
        </w:rPr>
        <w:t>.</w:t>
      </w:r>
      <w:r w:rsidR="00A07C71">
        <w:rPr>
          <w:rFonts w:ascii="Arial" w:hAnsi="Arial" w:cs="Arial"/>
          <w:sz w:val="22"/>
          <w:szCs w:val="22"/>
          <w:u w:color="000000"/>
        </w:rPr>
        <w:t xml:space="preserve">  </w:t>
      </w:r>
      <w:r w:rsidR="00642E76">
        <w:rPr>
          <w:rFonts w:ascii="Arial" w:hAnsi="Arial" w:cs="Arial"/>
          <w:sz w:val="22"/>
          <w:szCs w:val="22"/>
          <w:u w:color="000000"/>
        </w:rPr>
        <w:t xml:space="preserve">  </w:t>
      </w:r>
      <w:r w:rsidR="009F3498">
        <w:rPr>
          <w:rFonts w:ascii="Arial" w:hAnsi="Arial" w:cs="Arial"/>
          <w:sz w:val="22"/>
          <w:szCs w:val="22"/>
          <w:u w:color="000000"/>
        </w:rPr>
        <w:t xml:space="preserve"> </w:t>
      </w:r>
      <w:r w:rsidR="002064A3">
        <w:rPr>
          <w:rFonts w:ascii="Arial" w:hAnsi="Arial" w:cs="Arial"/>
          <w:sz w:val="22"/>
          <w:szCs w:val="22"/>
          <w:u w:color="000000"/>
        </w:rPr>
        <w:t xml:space="preserve"> </w:t>
      </w:r>
      <w:r w:rsidR="00CB1790">
        <w:rPr>
          <w:rFonts w:ascii="Arial" w:hAnsi="Arial" w:cs="Arial"/>
          <w:sz w:val="22"/>
          <w:szCs w:val="22"/>
          <w:u w:color="000000"/>
        </w:rPr>
        <w:t xml:space="preserve"> </w:t>
      </w:r>
    </w:p>
    <w:p w:rsidR="00540A0B" w:rsidRDefault="00540A0B" w:rsidP="00D630EF">
      <w:pPr>
        <w:pStyle w:val="Body1"/>
        <w:spacing w:before="20" w:line="360" w:lineRule="auto"/>
        <w:outlineLvl w:val="0"/>
        <w:rPr>
          <w:rFonts w:ascii="Arial" w:hAnsi="Arial" w:cs="Arial"/>
          <w:sz w:val="22"/>
          <w:szCs w:val="22"/>
          <w:u w:color="000000"/>
        </w:rPr>
      </w:pPr>
    </w:p>
    <w:p w:rsidR="000261D1" w:rsidRDefault="00FA1B1A" w:rsidP="00060A4A">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el artículo 1 de la Convención Americana de Derechos Humanos se determina el compromiso de los Estados Partes a respetar los derechos y libertades reconocidos</w:t>
      </w:r>
      <w:r w:rsidR="00582398">
        <w:rPr>
          <w:rFonts w:ascii="Arial" w:hAnsi="Arial" w:cs="Arial"/>
          <w:sz w:val="22"/>
          <w:szCs w:val="22"/>
          <w:u w:color="000000"/>
        </w:rPr>
        <w:t xml:space="preserve"> en ella; en este sentido, los Estados además de</w:t>
      </w:r>
      <w:r>
        <w:rPr>
          <w:rFonts w:ascii="Arial" w:hAnsi="Arial" w:cs="Arial"/>
          <w:sz w:val="22"/>
          <w:szCs w:val="22"/>
          <w:u w:color="000000"/>
        </w:rPr>
        <w:t xml:space="preserve"> </w:t>
      </w:r>
      <w:r w:rsidR="00582398">
        <w:rPr>
          <w:rFonts w:ascii="Arial" w:hAnsi="Arial" w:cs="Arial"/>
          <w:sz w:val="22"/>
          <w:szCs w:val="22"/>
          <w:u w:color="000000"/>
        </w:rPr>
        <w:t xml:space="preserve">garantizar los derechos establecidos en este instrumento deben adoptar </w:t>
      </w:r>
      <w:r w:rsidR="00582398" w:rsidRPr="00582398">
        <w:rPr>
          <w:rFonts w:ascii="Arial" w:hAnsi="Arial" w:cs="Arial"/>
          <w:sz w:val="22"/>
          <w:szCs w:val="22"/>
          <w:u w:color="000000"/>
        </w:rPr>
        <w:t xml:space="preserve">las medidas legislativas o de otro carácter que fueren </w:t>
      </w:r>
      <w:r w:rsidR="00582398" w:rsidRPr="00582398">
        <w:rPr>
          <w:rFonts w:ascii="Arial" w:hAnsi="Arial" w:cs="Arial"/>
          <w:sz w:val="22"/>
          <w:szCs w:val="22"/>
          <w:u w:color="000000"/>
        </w:rPr>
        <w:lastRenderedPageBreak/>
        <w:t>necesarias para hacer efecti</w:t>
      </w:r>
      <w:r w:rsidR="00C025A1">
        <w:rPr>
          <w:rFonts w:ascii="Arial" w:hAnsi="Arial" w:cs="Arial"/>
          <w:sz w:val="22"/>
          <w:szCs w:val="22"/>
          <w:u w:color="000000"/>
        </w:rPr>
        <w:t>vos tales derechos y libertades a toda persona que esté sujeta a su jurisdicción.</w:t>
      </w:r>
    </w:p>
    <w:p w:rsidR="000261D1" w:rsidRDefault="000261D1" w:rsidP="00FA1B1A">
      <w:pPr>
        <w:pStyle w:val="Body1"/>
        <w:spacing w:before="20" w:line="360" w:lineRule="auto"/>
        <w:jc w:val="both"/>
        <w:outlineLvl w:val="0"/>
        <w:rPr>
          <w:rFonts w:ascii="Arial" w:hAnsi="Arial" w:cs="Arial"/>
          <w:sz w:val="22"/>
          <w:szCs w:val="22"/>
          <w:u w:color="000000"/>
        </w:rPr>
      </w:pPr>
    </w:p>
    <w:p w:rsidR="00C57CC8" w:rsidRPr="00D630EF" w:rsidRDefault="000261D1" w:rsidP="00060A4A">
      <w:pPr>
        <w:pStyle w:val="Body1"/>
        <w:spacing w:before="20" w:line="360" w:lineRule="auto"/>
        <w:jc w:val="both"/>
        <w:outlineLvl w:val="0"/>
        <w:rPr>
          <w:rFonts w:ascii="Arial" w:hAnsi="Arial" w:cs="Arial"/>
          <w:sz w:val="22"/>
          <w:szCs w:val="22"/>
          <w:u w:color="000000"/>
        </w:rPr>
      </w:pPr>
      <w:r w:rsidRPr="000261D1">
        <w:rPr>
          <w:rFonts w:ascii="Arial" w:hAnsi="Arial" w:cs="Arial"/>
          <w:sz w:val="22"/>
          <w:szCs w:val="22"/>
          <w:u w:color="000000"/>
        </w:rPr>
        <w:t xml:space="preserve">La Corte </w:t>
      </w:r>
      <w:r w:rsidR="005656B6">
        <w:rPr>
          <w:rFonts w:ascii="Arial" w:hAnsi="Arial" w:cs="Arial"/>
          <w:sz w:val="22"/>
          <w:szCs w:val="22"/>
          <w:u w:color="000000"/>
        </w:rPr>
        <w:t xml:space="preserve">IDH </w:t>
      </w:r>
      <w:r w:rsidRPr="000261D1">
        <w:rPr>
          <w:rFonts w:ascii="Arial" w:hAnsi="Arial" w:cs="Arial"/>
          <w:sz w:val="22"/>
          <w:szCs w:val="22"/>
          <w:u w:color="000000"/>
        </w:rPr>
        <w:t>ha establecido, en varias ocasiones, que toda violación de una obligación internacional que haya producido un daño comporta el deber de repararlo adecuadamente</w:t>
      </w:r>
      <w:r>
        <w:rPr>
          <w:rStyle w:val="Refdenotaalpie"/>
          <w:rFonts w:ascii="Arial" w:hAnsi="Arial" w:cs="Arial"/>
          <w:sz w:val="22"/>
          <w:szCs w:val="22"/>
          <w:u w:color="000000"/>
        </w:rPr>
        <w:footnoteReference w:id="29"/>
      </w:r>
      <w:r>
        <w:rPr>
          <w:rFonts w:ascii="Arial" w:hAnsi="Arial" w:cs="Arial"/>
          <w:sz w:val="22"/>
          <w:szCs w:val="22"/>
          <w:u w:color="000000"/>
        </w:rPr>
        <w:t>,</w:t>
      </w:r>
      <w:r w:rsidRPr="000261D1">
        <w:rPr>
          <w:rFonts w:ascii="Arial" w:hAnsi="Arial" w:cs="Arial"/>
          <w:sz w:val="22"/>
          <w:szCs w:val="22"/>
          <w:u w:color="000000"/>
        </w:rPr>
        <w:t xml:space="preserve"> </w:t>
      </w:r>
      <w:r>
        <w:rPr>
          <w:rFonts w:ascii="Arial" w:hAnsi="Arial" w:cs="Arial"/>
          <w:sz w:val="22"/>
          <w:szCs w:val="22"/>
          <w:u w:color="000000"/>
        </w:rPr>
        <w:t xml:space="preserve">ha </w:t>
      </w:r>
      <w:r w:rsidRPr="000261D1">
        <w:rPr>
          <w:rFonts w:ascii="Arial" w:hAnsi="Arial" w:cs="Arial"/>
          <w:sz w:val="22"/>
          <w:szCs w:val="22"/>
          <w:u w:color="000000"/>
        </w:rPr>
        <w:t xml:space="preserve">señalado </w:t>
      </w:r>
      <w:r>
        <w:rPr>
          <w:rFonts w:ascii="Arial" w:hAnsi="Arial" w:cs="Arial"/>
          <w:sz w:val="22"/>
          <w:szCs w:val="22"/>
          <w:u w:color="000000"/>
        </w:rPr>
        <w:t xml:space="preserve">además que la reparación </w:t>
      </w:r>
      <w:r w:rsidRPr="000261D1">
        <w:rPr>
          <w:rFonts w:ascii="Arial" w:hAnsi="Arial" w:cs="Arial"/>
          <w:sz w:val="22"/>
          <w:szCs w:val="22"/>
          <w:u w:color="000000"/>
        </w:rPr>
        <w:t>refleja una norma consuetudinaria que constituye uno de los principios fundamentales del Derecho Internacional contemporáneo sobre la responsabilidad de</w:t>
      </w:r>
      <w:r w:rsidR="00C025A1">
        <w:rPr>
          <w:rFonts w:ascii="Arial" w:hAnsi="Arial" w:cs="Arial"/>
          <w:sz w:val="22"/>
          <w:szCs w:val="22"/>
          <w:u w:color="000000"/>
        </w:rPr>
        <w:t xml:space="preserve"> </w:t>
      </w:r>
      <w:r w:rsidRPr="000261D1">
        <w:rPr>
          <w:rFonts w:ascii="Arial" w:hAnsi="Arial" w:cs="Arial"/>
          <w:sz w:val="22"/>
          <w:szCs w:val="22"/>
          <w:u w:color="000000"/>
        </w:rPr>
        <w:t>los Estados. De esta manera, al producirse un hecho ilícito imputable a un Estado, surge de inmediato la responsabilidad internacional de éste por la violación de la norma internacional de que se trata, con el consecuente deber de reparación y de hacer cesar las consecuencias de la violación</w:t>
      </w:r>
      <w:r>
        <w:rPr>
          <w:rStyle w:val="Refdenotaalpie"/>
          <w:rFonts w:ascii="Arial" w:hAnsi="Arial" w:cs="Arial"/>
          <w:sz w:val="22"/>
          <w:szCs w:val="22"/>
          <w:u w:color="000000"/>
        </w:rPr>
        <w:footnoteReference w:id="30"/>
      </w:r>
      <w:r w:rsidR="00C6634B">
        <w:rPr>
          <w:rFonts w:ascii="Arial" w:hAnsi="Arial" w:cs="Arial"/>
          <w:sz w:val="22"/>
          <w:szCs w:val="22"/>
          <w:u w:color="000000"/>
        </w:rPr>
        <w:t>.</w:t>
      </w:r>
    </w:p>
    <w:p w:rsidR="00582398" w:rsidRDefault="00582398" w:rsidP="006B2942">
      <w:pPr>
        <w:pStyle w:val="Body1"/>
        <w:spacing w:before="20" w:line="360" w:lineRule="auto"/>
        <w:outlineLvl w:val="0"/>
        <w:rPr>
          <w:rFonts w:ascii="Arial" w:hAnsi="Arial" w:cs="Arial"/>
          <w:sz w:val="22"/>
          <w:szCs w:val="22"/>
          <w:u w:color="000000"/>
        </w:rPr>
      </w:pPr>
    </w:p>
    <w:p w:rsidR="00AD346E" w:rsidRPr="00060A4A" w:rsidRDefault="00102AD1" w:rsidP="00B656C2">
      <w:pPr>
        <w:pStyle w:val="Body1"/>
        <w:numPr>
          <w:ilvl w:val="2"/>
          <w:numId w:val="7"/>
        </w:numPr>
        <w:spacing w:before="20" w:line="360" w:lineRule="auto"/>
        <w:jc w:val="both"/>
        <w:outlineLvl w:val="2"/>
        <w:rPr>
          <w:rFonts w:ascii="Arial" w:hAnsi="Arial" w:cs="Arial"/>
          <w:b/>
          <w:sz w:val="22"/>
          <w:szCs w:val="22"/>
          <w:u w:color="000000"/>
        </w:rPr>
      </w:pPr>
      <w:bookmarkStart w:id="7" w:name="_Toc356432244"/>
      <w:r>
        <w:rPr>
          <w:rFonts w:ascii="Arial" w:hAnsi="Arial" w:cs="Arial"/>
          <w:b/>
          <w:sz w:val="22"/>
          <w:szCs w:val="22"/>
          <w:u w:color="000000"/>
        </w:rPr>
        <w:t>A</w:t>
      </w:r>
      <w:r w:rsidRPr="00060A4A">
        <w:rPr>
          <w:rFonts w:ascii="Arial" w:hAnsi="Arial" w:cs="Arial"/>
          <w:b/>
          <w:sz w:val="22"/>
          <w:szCs w:val="22"/>
          <w:u w:color="000000"/>
        </w:rPr>
        <w:t>lcance y ámbito de la reparación</w:t>
      </w:r>
      <w:bookmarkEnd w:id="7"/>
      <w:r w:rsidR="00060A4A" w:rsidRPr="00060A4A">
        <w:rPr>
          <w:rFonts w:ascii="Arial" w:hAnsi="Arial" w:cs="Arial"/>
          <w:b/>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EB6D5C" w:rsidRDefault="00AD346E" w:rsidP="00060A4A">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La visión </w:t>
      </w:r>
      <w:r w:rsidR="00C6634B">
        <w:rPr>
          <w:rFonts w:ascii="Arial" w:hAnsi="Arial" w:cs="Arial"/>
          <w:sz w:val="22"/>
          <w:szCs w:val="22"/>
          <w:u w:color="000000"/>
        </w:rPr>
        <w:t>que hoy se tien</w:t>
      </w:r>
      <w:r w:rsidR="00C6634B" w:rsidRPr="00D630EF">
        <w:rPr>
          <w:rFonts w:ascii="Arial" w:hAnsi="Arial" w:cs="Arial"/>
          <w:sz w:val="22"/>
          <w:szCs w:val="22"/>
          <w:u w:color="000000"/>
        </w:rPr>
        <w:t xml:space="preserve">e </w:t>
      </w:r>
      <w:r w:rsidR="00C6634B">
        <w:rPr>
          <w:rFonts w:ascii="Arial" w:hAnsi="Arial" w:cs="Arial"/>
          <w:sz w:val="22"/>
          <w:szCs w:val="22"/>
          <w:u w:color="000000"/>
        </w:rPr>
        <w:t xml:space="preserve">de reparación </w:t>
      </w:r>
      <w:r w:rsidRPr="00D630EF">
        <w:rPr>
          <w:rFonts w:ascii="Arial" w:hAnsi="Arial" w:cs="Arial"/>
          <w:sz w:val="22"/>
          <w:szCs w:val="22"/>
          <w:u w:color="000000"/>
        </w:rPr>
        <w:t>integral</w:t>
      </w:r>
      <w:r w:rsidR="00C6634B">
        <w:rPr>
          <w:rFonts w:ascii="Arial" w:hAnsi="Arial" w:cs="Arial"/>
          <w:sz w:val="22"/>
          <w:szCs w:val="22"/>
          <w:u w:color="000000"/>
        </w:rPr>
        <w:t xml:space="preserve"> hace que su alcance y ámbito se circunscriban a conseguir</w:t>
      </w:r>
      <w:r w:rsidR="005656B6">
        <w:rPr>
          <w:rFonts w:ascii="Arial" w:hAnsi="Arial" w:cs="Arial"/>
          <w:sz w:val="22"/>
          <w:szCs w:val="22"/>
          <w:u w:color="000000"/>
        </w:rPr>
        <w:t xml:space="preserve"> una plena restitución </w:t>
      </w:r>
      <w:r w:rsidRPr="00D630EF">
        <w:rPr>
          <w:rFonts w:ascii="Arial" w:hAnsi="Arial" w:cs="Arial"/>
          <w:sz w:val="22"/>
          <w:szCs w:val="22"/>
          <w:u w:color="000000"/>
        </w:rPr>
        <w:t>e</w:t>
      </w:r>
      <w:r w:rsidR="005656B6">
        <w:rPr>
          <w:rFonts w:ascii="Arial" w:hAnsi="Arial" w:cs="Arial"/>
          <w:sz w:val="22"/>
          <w:szCs w:val="22"/>
          <w:u w:color="000000"/>
        </w:rPr>
        <w:t>n</w:t>
      </w:r>
      <w:r w:rsidRPr="00D630EF">
        <w:rPr>
          <w:rFonts w:ascii="Arial" w:hAnsi="Arial" w:cs="Arial"/>
          <w:sz w:val="22"/>
          <w:szCs w:val="22"/>
          <w:u w:color="000000"/>
        </w:rPr>
        <w:t xml:space="preserve"> </w:t>
      </w:r>
      <w:r w:rsidR="005656B6">
        <w:rPr>
          <w:rFonts w:ascii="Arial" w:hAnsi="Arial" w:cs="Arial"/>
          <w:sz w:val="22"/>
          <w:szCs w:val="22"/>
          <w:u w:color="000000"/>
        </w:rPr>
        <w:t xml:space="preserve">los derechos de </w:t>
      </w:r>
      <w:r w:rsidR="00C6634B">
        <w:rPr>
          <w:rFonts w:ascii="Arial" w:hAnsi="Arial" w:cs="Arial"/>
          <w:sz w:val="22"/>
          <w:szCs w:val="22"/>
          <w:u w:color="000000"/>
        </w:rPr>
        <w:t>las víctimas y sus familiares;</w:t>
      </w:r>
      <w:r w:rsidRPr="00D630EF">
        <w:rPr>
          <w:rFonts w:ascii="Arial" w:hAnsi="Arial" w:cs="Arial"/>
          <w:sz w:val="22"/>
          <w:szCs w:val="22"/>
          <w:u w:color="000000"/>
        </w:rPr>
        <w:t xml:space="preserve"> </w:t>
      </w:r>
      <w:r w:rsidR="00C6634B">
        <w:rPr>
          <w:rFonts w:ascii="Arial" w:hAnsi="Arial" w:cs="Arial"/>
          <w:sz w:val="22"/>
          <w:szCs w:val="22"/>
          <w:u w:color="000000"/>
        </w:rPr>
        <w:t xml:space="preserve">y que </w:t>
      </w:r>
      <w:r w:rsidR="006B2942" w:rsidRPr="00D630EF">
        <w:rPr>
          <w:rFonts w:ascii="Arial" w:hAnsi="Arial" w:cs="Arial"/>
          <w:sz w:val="22"/>
          <w:szCs w:val="22"/>
          <w:u w:color="000000"/>
        </w:rPr>
        <w:t>además</w:t>
      </w:r>
      <w:r w:rsidR="005656B6">
        <w:rPr>
          <w:rFonts w:ascii="Arial" w:hAnsi="Arial" w:cs="Arial"/>
          <w:sz w:val="22"/>
          <w:szCs w:val="22"/>
          <w:u w:color="000000"/>
        </w:rPr>
        <w:t xml:space="preserve"> </w:t>
      </w:r>
      <w:r w:rsidR="00C6634B">
        <w:rPr>
          <w:rFonts w:ascii="Arial" w:hAnsi="Arial" w:cs="Arial"/>
          <w:sz w:val="22"/>
          <w:szCs w:val="22"/>
          <w:u w:color="000000"/>
        </w:rPr>
        <w:t xml:space="preserve">con las garantías de no repetición se procuren </w:t>
      </w:r>
      <w:r w:rsidRPr="00D630EF">
        <w:rPr>
          <w:rFonts w:ascii="Arial" w:hAnsi="Arial" w:cs="Arial"/>
          <w:sz w:val="22"/>
          <w:szCs w:val="22"/>
          <w:u w:color="000000"/>
        </w:rPr>
        <w:t>efectos</w:t>
      </w:r>
      <w:r w:rsidR="00C6634B">
        <w:rPr>
          <w:rFonts w:ascii="Arial" w:hAnsi="Arial" w:cs="Arial"/>
          <w:sz w:val="22"/>
          <w:szCs w:val="22"/>
          <w:u w:color="000000"/>
        </w:rPr>
        <w:t xml:space="preserve"> </w:t>
      </w:r>
      <w:r w:rsidRPr="00D630EF">
        <w:rPr>
          <w:rFonts w:ascii="Arial" w:hAnsi="Arial" w:cs="Arial"/>
          <w:sz w:val="22"/>
          <w:szCs w:val="22"/>
          <w:u w:color="000000"/>
        </w:rPr>
        <w:t>general</w:t>
      </w:r>
      <w:r w:rsidR="00C6634B">
        <w:rPr>
          <w:rFonts w:ascii="Arial" w:hAnsi="Arial" w:cs="Arial"/>
          <w:sz w:val="22"/>
          <w:szCs w:val="22"/>
          <w:u w:color="000000"/>
        </w:rPr>
        <w:t>es en la población</w:t>
      </w:r>
      <w:r w:rsidRPr="00D630EF">
        <w:rPr>
          <w:rFonts w:ascii="Arial" w:hAnsi="Arial" w:cs="Arial"/>
          <w:sz w:val="22"/>
          <w:szCs w:val="22"/>
          <w:u w:color="000000"/>
        </w:rPr>
        <w:t>. La reparación se realiza sobre aquellas personas que efectivamente han sufrido vulneración a sus derechos y se procura que</w:t>
      </w:r>
      <w:r w:rsidR="00B42009">
        <w:rPr>
          <w:rFonts w:ascii="Arial" w:hAnsi="Arial" w:cs="Arial"/>
          <w:sz w:val="22"/>
          <w:szCs w:val="22"/>
          <w:u w:color="000000"/>
        </w:rPr>
        <w:t>,</w:t>
      </w:r>
      <w:r w:rsidRPr="00D630EF">
        <w:rPr>
          <w:rFonts w:ascii="Arial" w:hAnsi="Arial" w:cs="Arial"/>
          <w:sz w:val="22"/>
          <w:szCs w:val="22"/>
          <w:u w:color="000000"/>
        </w:rPr>
        <w:t xml:space="preserve"> de la forma </w:t>
      </w:r>
      <w:r w:rsidR="006B2942" w:rsidRPr="00D630EF">
        <w:rPr>
          <w:rFonts w:ascii="Arial" w:hAnsi="Arial" w:cs="Arial"/>
          <w:sz w:val="22"/>
          <w:szCs w:val="22"/>
          <w:u w:color="000000"/>
        </w:rPr>
        <w:t>más</w:t>
      </w:r>
      <w:r w:rsidRPr="00D630EF">
        <w:rPr>
          <w:rFonts w:ascii="Arial" w:hAnsi="Arial" w:cs="Arial"/>
          <w:sz w:val="22"/>
          <w:szCs w:val="22"/>
          <w:u w:color="000000"/>
        </w:rPr>
        <w:t xml:space="preserve"> amplia</w:t>
      </w:r>
      <w:r w:rsidR="00B42009">
        <w:rPr>
          <w:rFonts w:ascii="Arial" w:hAnsi="Arial" w:cs="Arial"/>
          <w:sz w:val="22"/>
          <w:szCs w:val="22"/>
          <w:u w:color="000000"/>
        </w:rPr>
        <w:t>,</w:t>
      </w:r>
      <w:r w:rsidRPr="00D630EF">
        <w:rPr>
          <w:rFonts w:ascii="Arial" w:hAnsi="Arial" w:cs="Arial"/>
          <w:sz w:val="22"/>
          <w:szCs w:val="22"/>
          <w:u w:color="000000"/>
        </w:rPr>
        <w:t xml:space="preserve"> incluya tanto el aspecto material como el moral. Al respecto La Comisión de la Verdad y Reconciliación de Lima señala que </w:t>
      </w:r>
      <w:r w:rsidRPr="00687611">
        <w:rPr>
          <w:rFonts w:ascii="Arial" w:hAnsi="Arial" w:cs="Arial"/>
          <w:i/>
          <w:sz w:val="22"/>
          <w:szCs w:val="22"/>
        </w:rPr>
        <w:t>"La reparación es un acto que realiza el Estado a nombre de la sociedad nacional para reconocer y reafirmar la dignidad de las personas que sufrieron la violación de sus derechos</w:t>
      </w:r>
      <w:r w:rsidR="00687611" w:rsidRPr="00687611">
        <w:rPr>
          <w:rFonts w:ascii="Arial" w:hAnsi="Arial" w:cs="Arial"/>
          <w:i/>
          <w:sz w:val="22"/>
          <w:szCs w:val="22"/>
        </w:rPr>
        <w:t>”</w:t>
      </w:r>
      <w:r w:rsidRPr="00D630EF">
        <w:rPr>
          <w:rFonts w:ascii="Arial" w:hAnsi="Arial" w:cs="Arial"/>
          <w:sz w:val="22"/>
          <w:szCs w:val="22"/>
          <w:u w:color="000000"/>
          <w:vertAlign w:val="superscript"/>
        </w:rPr>
        <w:footnoteReference w:id="31"/>
      </w:r>
      <w:r w:rsidRPr="00D630EF">
        <w:rPr>
          <w:rFonts w:ascii="Arial" w:hAnsi="Arial" w:cs="Arial"/>
          <w:sz w:val="22"/>
          <w:szCs w:val="22"/>
          <w:u w:color="000000"/>
        </w:rPr>
        <w:t xml:space="preserve">. </w:t>
      </w:r>
    </w:p>
    <w:p w:rsidR="00EB6D5C" w:rsidRDefault="00EB6D5C" w:rsidP="00D630EF">
      <w:pPr>
        <w:pStyle w:val="Body1"/>
        <w:spacing w:before="20" w:line="360" w:lineRule="auto"/>
        <w:jc w:val="both"/>
        <w:outlineLvl w:val="0"/>
        <w:rPr>
          <w:rFonts w:ascii="Arial" w:hAnsi="Arial" w:cs="Arial"/>
          <w:sz w:val="22"/>
          <w:szCs w:val="22"/>
          <w:u w:color="000000"/>
        </w:rPr>
      </w:pPr>
    </w:p>
    <w:p w:rsidR="00EB6D5C" w:rsidRDefault="00AD346E" w:rsidP="00060A4A">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De esta afirmación podemos extraer que no </w:t>
      </w:r>
      <w:r w:rsidR="00296494">
        <w:rPr>
          <w:rFonts w:ascii="Arial" w:hAnsi="Arial" w:cs="Arial"/>
          <w:sz w:val="22"/>
          <w:szCs w:val="22"/>
          <w:u w:color="000000"/>
        </w:rPr>
        <w:t>se hace una mención específica o concreta</w:t>
      </w:r>
      <w:r w:rsidRPr="00D630EF">
        <w:rPr>
          <w:rFonts w:ascii="Arial" w:hAnsi="Arial" w:cs="Arial"/>
          <w:sz w:val="22"/>
          <w:szCs w:val="22"/>
          <w:u w:color="000000"/>
        </w:rPr>
        <w:t xml:space="preserve"> de lo que se va a reparar, en </w:t>
      </w:r>
      <w:r w:rsidR="00296494">
        <w:rPr>
          <w:rFonts w:ascii="Arial" w:hAnsi="Arial" w:cs="Arial"/>
          <w:sz w:val="22"/>
          <w:szCs w:val="22"/>
          <w:u w:color="000000"/>
        </w:rPr>
        <w:t xml:space="preserve">su </w:t>
      </w:r>
      <w:r w:rsidRPr="00D630EF">
        <w:rPr>
          <w:rFonts w:ascii="Arial" w:hAnsi="Arial" w:cs="Arial"/>
          <w:sz w:val="22"/>
          <w:szCs w:val="22"/>
          <w:u w:color="000000"/>
        </w:rPr>
        <w:t>lugar se establece que por medio de la reparación se busca reconocer y reafirm</w:t>
      </w:r>
      <w:r w:rsidR="00296494">
        <w:rPr>
          <w:rFonts w:ascii="Arial" w:hAnsi="Arial" w:cs="Arial"/>
          <w:sz w:val="22"/>
          <w:szCs w:val="22"/>
          <w:u w:color="000000"/>
        </w:rPr>
        <w:t>ar la dignidad de las víctimas</w:t>
      </w:r>
      <w:r w:rsidRPr="00D630EF">
        <w:rPr>
          <w:rFonts w:ascii="Arial" w:hAnsi="Arial" w:cs="Arial"/>
          <w:sz w:val="22"/>
          <w:szCs w:val="22"/>
          <w:u w:color="000000"/>
        </w:rPr>
        <w:t>, ello implicaría un amplio margen de aspectos que deben ser estudiados y atendidos de forma específica, la dignidad de una per</w:t>
      </w:r>
      <w:r w:rsidR="00B42009">
        <w:rPr>
          <w:rFonts w:ascii="Arial" w:hAnsi="Arial" w:cs="Arial"/>
          <w:sz w:val="22"/>
          <w:szCs w:val="22"/>
          <w:u w:color="000000"/>
        </w:rPr>
        <w:t xml:space="preserve">sona </w:t>
      </w:r>
      <w:r w:rsidRPr="00D630EF">
        <w:rPr>
          <w:rFonts w:ascii="Arial" w:hAnsi="Arial" w:cs="Arial"/>
          <w:sz w:val="22"/>
          <w:szCs w:val="22"/>
          <w:u w:color="000000"/>
        </w:rPr>
        <w:t xml:space="preserve">puede </w:t>
      </w:r>
      <w:r w:rsidR="00B42009">
        <w:rPr>
          <w:rFonts w:ascii="Arial" w:hAnsi="Arial" w:cs="Arial"/>
          <w:sz w:val="22"/>
          <w:szCs w:val="22"/>
          <w:u w:color="000000"/>
        </w:rPr>
        <w:t>ser considerada</w:t>
      </w:r>
      <w:r w:rsidRPr="00D630EF">
        <w:rPr>
          <w:rFonts w:ascii="Arial" w:hAnsi="Arial" w:cs="Arial"/>
          <w:sz w:val="22"/>
          <w:szCs w:val="22"/>
          <w:u w:color="000000"/>
        </w:rPr>
        <w:t xml:space="preserve"> como la posibilidad que tiene de ejer</w:t>
      </w:r>
      <w:r w:rsidR="00296494">
        <w:rPr>
          <w:rFonts w:ascii="Arial" w:hAnsi="Arial" w:cs="Arial"/>
          <w:sz w:val="22"/>
          <w:szCs w:val="22"/>
          <w:u w:color="000000"/>
        </w:rPr>
        <w:t>cer sus derechos de forma libre; derechos como la vida</w:t>
      </w:r>
      <w:r w:rsidRPr="00D630EF">
        <w:rPr>
          <w:rFonts w:ascii="Arial" w:hAnsi="Arial" w:cs="Arial"/>
          <w:sz w:val="22"/>
          <w:szCs w:val="22"/>
          <w:u w:color="000000"/>
        </w:rPr>
        <w:t xml:space="preserve"> y la libertad pueden ser entendidos de </w:t>
      </w:r>
      <w:r w:rsidRPr="00D630EF">
        <w:rPr>
          <w:rFonts w:ascii="Arial" w:hAnsi="Arial" w:cs="Arial"/>
          <w:sz w:val="22"/>
          <w:szCs w:val="22"/>
          <w:u w:color="000000"/>
        </w:rPr>
        <w:lastRenderedPageBreak/>
        <w:t xml:space="preserve">forma </w:t>
      </w:r>
      <w:r w:rsidR="00E56A05" w:rsidRPr="00D630EF">
        <w:rPr>
          <w:rFonts w:ascii="Arial" w:hAnsi="Arial" w:cs="Arial"/>
          <w:sz w:val="22"/>
          <w:szCs w:val="22"/>
          <w:u w:color="000000"/>
        </w:rPr>
        <w:t>más</w:t>
      </w:r>
      <w:r w:rsidRPr="00D630EF">
        <w:rPr>
          <w:rFonts w:ascii="Arial" w:hAnsi="Arial" w:cs="Arial"/>
          <w:sz w:val="22"/>
          <w:szCs w:val="22"/>
          <w:u w:color="000000"/>
        </w:rPr>
        <w:t xml:space="preserve"> general, pero la satisfacción de los de</w:t>
      </w:r>
      <w:r w:rsidR="00B42009">
        <w:rPr>
          <w:rFonts w:ascii="Arial" w:hAnsi="Arial" w:cs="Arial"/>
          <w:sz w:val="22"/>
          <w:szCs w:val="22"/>
          <w:u w:color="000000"/>
        </w:rPr>
        <w:t xml:space="preserve"> derechos a la salud, educación y</w:t>
      </w:r>
      <w:r w:rsidRPr="00D630EF">
        <w:rPr>
          <w:rFonts w:ascii="Arial" w:hAnsi="Arial" w:cs="Arial"/>
          <w:sz w:val="22"/>
          <w:szCs w:val="22"/>
          <w:u w:color="000000"/>
        </w:rPr>
        <w:t xml:space="preserve"> alimento, deben comprenderse de forma </w:t>
      </w:r>
      <w:r w:rsidR="006B2942" w:rsidRPr="00D630EF">
        <w:rPr>
          <w:rFonts w:ascii="Arial" w:hAnsi="Arial" w:cs="Arial"/>
          <w:sz w:val="22"/>
          <w:szCs w:val="22"/>
          <w:u w:color="000000"/>
        </w:rPr>
        <w:t>más</w:t>
      </w:r>
      <w:r w:rsidRPr="00D630EF">
        <w:rPr>
          <w:rFonts w:ascii="Arial" w:hAnsi="Arial" w:cs="Arial"/>
          <w:sz w:val="22"/>
          <w:szCs w:val="22"/>
          <w:u w:color="000000"/>
        </w:rPr>
        <w:t xml:space="preserve"> particular observando el caso concreto. </w:t>
      </w:r>
    </w:p>
    <w:p w:rsidR="00EB6D5C" w:rsidRDefault="00EB6D5C" w:rsidP="00D630EF">
      <w:pPr>
        <w:pStyle w:val="Body1"/>
        <w:spacing w:before="20" w:line="360" w:lineRule="auto"/>
        <w:jc w:val="both"/>
        <w:outlineLvl w:val="0"/>
        <w:rPr>
          <w:rFonts w:ascii="Arial" w:hAnsi="Arial" w:cs="Arial"/>
          <w:sz w:val="22"/>
          <w:szCs w:val="22"/>
          <w:u w:color="000000"/>
        </w:rPr>
      </w:pPr>
    </w:p>
    <w:p w:rsidR="00AD346E" w:rsidRPr="00D630EF" w:rsidRDefault="00AD346E" w:rsidP="00EA079C">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Al ser tan amplio el marco de protección se busca la mayor reparación posible no solo en aspectos de cantidad sino también de calidad, es </w:t>
      </w:r>
      <w:r w:rsidR="006B2942" w:rsidRPr="00D630EF">
        <w:rPr>
          <w:rFonts w:ascii="Arial" w:hAnsi="Arial" w:cs="Arial"/>
          <w:sz w:val="22"/>
          <w:szCs w:val="22"/>
          <w:u w:color="000000"/>
        </w:rPr>
        <w:t>además</w:t>
      </w:r>
      <w:r w:rsidRPr="00D630EF">
        <w:rPr>
          <w:rFonts w:ascii="Arial" w:hAnsi="Arial" w:cs="Arial"/>
          <w:sz w:val="22"/>
          <w:szCs w:val="22"/>
          <w:u w:color="000000"/>
        </w:rPr>
        <w:t xml:space="preserve"> necesario un tratamiento interdisciplinario donde la psicología</w:t>
      </w:r>
      <w:r w:rsidR="00296494">
        <w:rPr>
          <w:rFonts w:ascii="Arial" w:hAnsi="Arial" w:cs="Arial"/>
          <w:sz w:val="22"/>
          <w:szCs w:val="22"/>
          <w:u w:color="000000"/>
        </w:rPr>
        <w:t>,</w:t>
      </w:r>
      <w:r w:rsidRPr="00D630EF">
        <w:rPr>
          <w:rFonts w:ascii="Arial" w:hAnsi="Arial" w:cs="Arial"/>
          <w:sz w:val="22"/>
          <w:szCs w:val="22"/>
          <w:u w:color="000000"/>
        </w:rPr>
        <w:t xml:space="preserve"> por ejemplo</w:t>
      </w:r>
      <w:r w:rsidR="00296494">
        <w:rPr>
          <w:rFonts w:ascii="Arial" w:hAnsi="Arial" w:cs="Arial"/>
          <w:sz w:val="22"/>
          <w:szCs w:val="22"/>
          <w:u w:color="000000"/>
        </w:rPr>
        <w:t>, tiene</w:t>
      </w:r>
      <w:r w:rsidRPr="00D630EF">
        <w:rPr>
          <w:rFonts w:ascii="Arial" w:hAnsi="Arial" w:cs="Arial"/>
          <w:sz w:val="22"/>
          <w:szCs w:val="22"/>
          <w:u w:color="000000"/>
        </w:rPr>
        <w:t xml:space="preserve"> un papel primordial, es importante que en los procesos se cuente con peritos especializados que brinden elementos técnicos a los jueces a fin de que sus decisiones promuevan una reparación que incluya </w:t>
      </w:r>
      <w:r w:rsidR="00296494">
        <w:rPr>
          <w:rFonts w:ascii="Arial" w:hAnsi="Arial" w:cs="Arial"/>
          <w:sz w:val="22"/>
          <w:szCs w:val="22"/>
          <w:u w:color="000000"/>
        </w:rPr>
        <w:t xml:space="preserve">todos </w:t>
      </w:r>
      <w:r w:rsidRPr="00D630EF">
        <w:rPr>
          <w:rFonts w:ascii="Arial" w:hAnsi="Arial" w:cs="Arial"/>
          <w:sz w:val="22"/>
          <w:szCs w:val="22"/>
          <w:u w:color="000000"/>
        </w:rPr>
        <w:t xml:space="preserve">los aspectos necesarios.    </w:t>
      </w:r>
    </w:p>
    <w:p w:rsidR="00AD346E" w:rsidRPr="00D630EF" w:rsidRDefault="00AD346E" w:rsidP="00D630EF">
      <w:pPr>
        <w:pStyle w:val="Body1"/>
        <w:spacing w:before="20" w:line="360" w:lineRule="auto"/>
        <w:outlineLvl w:val="0"/>
        <w:rPr>
          <w:rFonts w:ascii="Arial" w:hAnsi="Arial" w:cs="Arial"/>
          <w:sz w:val="22"/>
          <w:szCs w:val="22"/>
          <w:u w:color="000000"/>
        </w:rPr>
      </w:pPr>
      <w:r w:rsidRPr="00D630EF">
        <w:rPr>
          <w:rFonts w:ascii="Arial" w:hAnsi="Arial" w:cs="Arial"/>
          <w:sz w:val="22"/>
          <w:szCs w:val="22"/>
          <w:u w:color="000000"/>
        </w:rPr>
        <w:t xml:space="preserve">  </w:t>
      </w:r>
    </w:p>
    <w:p w:rsidR="00016DA6" w:rsidRDefault="00AD346E" w:rsidP="00EA079C">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Partiendo de la idea de que la reparación busca devolver a la víctima al estado en el que se encontraba antes de sufrir la violación, debemos comprender que las autoridades deben hacer todo lo posible para llegar a este objetivo, sin embargo existe la idea entre varios autores de que la reparación es simbólica</w:t>
      </w:r>
      <w:r w:rsidR="004E529D">
        <w:rPr>
          <w:rStyle w:val="Refdenotaalpie"/>
          <w:rFonts w:ascii="Arial" w:hAnsi="Arial" w:cs="Arial"/>
          <w:sz w:val="22"/>
          <w:szCs w:val="22"/>
          <w:u w:color="000000"/>
        </w:rPr>
        <w:footnoteReference w:id="32"/>
      </w:r>
      <w:r w:rsidRPr="00D630EF">
        <w:rPr>
          <w:rFonts w:ascii="Arial" w:hAnsi="Arial" w:cs="Arial"/>
          <w:sz w:val="22"/>
          <w:szCs w:val="22"/>
          <w:u w:color="000000"/>
        </w:rPr>
        <w:t>. Se</w:t>
      </w:r>
      <w:r w:rsidR="00242C72">
        <w:rPr>
          <w:rFonts w:ascii="Arial" w:hAnsi="Arial" w:cs="Arial"/>
          <w:sz w:val="22"/>
          <w:szCs w:val="22"/>
          <w:u w:color="000000"/>
        </w:rPr>
        <w:t xml:space="preserve"> argumenta que nunca se podrá</w:t>
      </w:r>
      <w:r w:rsidRPr="00D630EF">
        <w:rPr>
          <w:rFonts w:ascii="Arial" w:hAnsi="Arial" w:cs="Arial"/>
          <w:sz w:val="22"/>
          <w:szCs w:val="22"/>
          <w:u w:color="000000"/>
        </w:rPr>
        <w:t xml:space="preserve"> devolver a la víctima a la situación en la que se encontraba</w:t>
      </w:r>
      <w:r w:rsidR="00242C72">
        <w:rPr>
          <w:rFonts w:ascii="Arial" w:hAnsi="Arial" w:cs="Arial"/>
          <w:sz w:val="22"/>
          <w:szCs w:val="22"/>
          <w:u w:color="000000"/>
        </w:rPr>
        <w:t>,</w:t>
      </w:r>
      <w:r w:rsidRPr="00D630EF">
        <w:rPr>
          <w:rFonts w:ascii="Arial" w:hAnsi="Arial" w:cs="Arial"/>
          <w:sz w:val="22"/>
          <w:szCs w:val="22"/>
          <w:u w:color="000000"/>
        </w:rPr>
        <w:t xml:space="preserve"> ni siquiera en un nivel objetivo</w:t>
      </w:r>
      <w:r w:rsidR="00242C72">
        <w:rPr>
          <w:rFonts w:ascii="Arial" w:hAnsi="Arial" w:cs="Arial"/>
          <w:sz w:val="22"/>
          <w:szCs w:val="22"/>
          <w:u w:color="000000"/>
        </w:rPr>
        <w:t>,</w:t>
      </w:r>
      <w:r w:rsidRPr="00D630EF">
        <w:rPr>
          <w:rFonts w:ascii="Arial" w:hAnsi="Arial" w:cs="Arial"/>
          <w:sz w:val="22"/>
          <w:szCs w:val="22"/>
          <w:u w:color="000000"/>
        </w:rPr>
        <w:t xml:space="preserve"> </w:t>
      </w:r>
      <w:r w:rsidR="00242C72">
        <w:rPr>
          <w:rFonts w:ascii="Arial" w:hAnsi="Arial" w:cs="Arial"/>
          <w:sz w:val="22"/>
          <w:szCs w:val="22"/>
          <w:u w:color="000000"/>
        </w:rPr>
        <w:t xml:space="preserve">peor </w:t>
      </w:r>
      <w:proofErr w:type="spellStart"/>
      <w:r w:rsidR="00242C72">
        <w:rPr>
          <w:rFonts w:ascii="Arial" w:hAnsi="Arial" w:cs="Arial"/>
          <w:sz w:val="22"/>
          <w:szCs w:val="22"/>
          <w:u w:color="000000"/>
        </w:rPr>
        <w:t>aun</w:t>
      </w:r>
      <w:proofErr w:type="spellEnd"/>
      <w:r w:rsidR="00242C72">
        <w:rPr>
          <w:rFonts w:ascii="Arial" w:hAnsi="Arial" w:cs="Arial"/>
          <w:sz w:val="22"/>
          <w:szCs w:val="22"/>
          <w:u w:color="000000"/>
        </w:rPr>
        <w:t xml:space="preserve"> en el ámbito subjetivo.</w:t>
      </w:r>
      <w:r w:rsidRPr="00D630EF">
        <w:rPr>
          <w:rFonts w:ascii="Arial" w:hAnsi="Arial" w:cs="Arial"/>
          <w:sz w:val="22"/>
          <w:szCs w:val="22"/>
          <w:u w:color="000000"/>
        </w:rPr>
        <w:t xml:space="preserve"> </w:t>
      </w:r>
      <w:r w:rsidR="00242C72" w:rsidRPr="00D630EF">
        <w:rPr>
          <w:rFonts w:ascii="Arial" w:hAnsi="Arial" w:cs="Arial"/>
          <w:sz w:val="22"/>
          <w:szCs w:val="22"/>
          <w:u w:color="000000"/>
        </w:rPr>
        <w:t>Las</w:t>
      </w:r>
      <w:r w:rsidRPr="00D630EF">
        <w:rPr>
          <w:rFonts w:ascii="Arial" w:hAnsi="Arial" w:cs="Arial"/>
          <w:sz w:val="22"/>
          <w:szCs w:val="22"/>
          <w:u w:color="000000"/>
        </w:rPr>
        <w:t xml:space="preserve"> reparaciones son al final representaciones de lo que se ha perdido, no es posible </w:t>
      </w:r>
      <w:r w:rsidR="00296494" w:rsidRPr="00D630EF">
        <w:rPr>
          <w:rFonts w:ascii="Arial" w:hAnsi="Arial" w:cs="Arial"/>
          <w:sz w:val="22"/>
          <w:szCs w:val="22"/>
          <w:u w:color="000000"/>
        </w:rPr>
        <w:t>cubrir la integralidad d</w:t>
      </w:r>
      <w:r w:rsidR="00296494">
        <w:rPr>
          <w:rFonts w:ascii="Arial" w:hAnsi="Arial" w:cs="Arial"/>
          <w:sz w:val="22"/>
          <w:szCs w:val="22"/>
          <w:u w:color="000000"/>
        </w:rPr>
        <w:t xml:space="preserve">e los perjuicios sufridos </w:t>
      </w:r>
      <w:r w:rsidRPr="00D630EF">
        <w:rPr>
          <w:rFonts w:ascii="Arial" w:hAnsi="Arial" w:cs="Arial"/>
          <w:sz w:val="22"/>
          <w:szCs w:val="22"/>
          <w:u w:color="000000"/>
        </w:rPr>
        <w:t xml:space="preserve">por </w:t>
      </w:r>
      <w:proofErr w:type="spellStart"/>
      <w:r w:rsidRPr="00D630EF">
        <w:rPr>
          <w:rFonts w:ascii="Arial" w:hAnsi="Arial" w:cs="Arial"/>
          <w:sz w:val="22"/>
          <w:szCs w:val="22"/>
          <w:u w:color="000000"/>
        </w:rPr>
        <w:t>mas</w:t>
      </w:r>
      <w:proofErr w:type="spellEnd"/>
      <w:r w:rsidRPr="00D630EF">
        <w:rPr>
          <w:rFonts w:ascii="Arial" w:hAnsi="Arial" w:cs="Arial"/>
          <w:sz w:val="22"/>
          <w:szCs w:val="22"/>
          <w:u w:color="000000"/>
        </w:rPr>
        <w:t xml:space="preserve"> v</w:t>
      </w:r>
      <w:r w:rsidR="00296494">
        <w:rPr>
          <w:rFonts w:ascii="Arial" w:hAnsi="Arial" w:cs="Arial"/>
          <w:sz w:val="22"/>
          <w:szCs w:val="22"/>
          <w:u w:color="000000"/>
        </w:rPr>
        <w:t xml:space="preserve">oluntad política que exista de reparar. </w:t>
      </w:r>
      <w:r w:rsidRPr="00D630EF">
        <w:rPr>
          <w:rFonts w:ascii="Arial" w:hAnsi="Arial" w:cs="Arial"/>
          <w:sz w:val="22"/>
          <w:szCs w:val="22"/>
          <w:u w:color="000000"/>
        </w:rPr>
        <w:t xml:space="preserve"> </w:t>
      </w:r>
    </w:p>
    <w:p w:rsidR="00016DA6" w:rsidRDefault="00016DA6" w:rsidP="00016DA6">
      <w:pPr>
        <w:pStyle w:val="Body1"/>
        <w:spacing w:before="20" w:line="360" w:lineRule="auto"/>
        <w:ind w:firstLine="720"/>
        <w:jc w:val="both"/>
        <w:outlineLvl w:val="0"/>
        <w:rPr>
          <w:rFonts w:ascii="Arial" w:hAnsi="Arial" w:cs="Arial"/>
          <w:sz w:val="22"/>
          <w:szCs w:val="22"/>
          <w:u w:color="000000"/>
        </w:rPr>
      </w:pPr>
    </w:p>
    <w:p w:rsidR="00016DA6" w:rsidRDefault="00AD346E" w:rsidP="00EA079C">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El acto de reparar envuelve cierta dificultad pues debe adentrarse en el contexto de cad</w:t>
      </w:r>
      <w:r w:rsidR="00296494">
        <w:rPr>
          <w:rFonts w:ascii="Arial" w:hAnsi="Arial" w:cs="Arial"/>
          <w:sz w:val="22"/>
          <w:szCs w:val="22"/>
          <w:u w:color="000000"/>
        </w:rPr>
        <w:t>a víctima, debe estar</w:t>
      </w:r>
      <w:r w:rsidRPr="00D630EF">
        <w:rPr>
          <w:rFonts w:ascii="Arial" w:hAnsi="Arial" w:cs="Arial"/>
          <w:sz w:val="22"/>
          <w:szCs w:val="22"/>
          <w:u w:color="000000"/>
        </w:rPr>
        <w:t xml:space="preserve"> ligado a las características personale</w:t>
      </w:r>
      <w:r w:rsidR="00296494">
        <w:rPr>
          <w:rFonts w:ascii="Arial" w:hAnsi="Arial" w:cs="Arial"/>
          <w:sz w:val="22"/>
          <w:szCs w:val="22"/>
          <w:u w:color="000000"/>
        </w:rPr>
        <w:t>s de los perjudicados, es necesario</w:t>
      </w:r>
      <w:r w:rsidRPr="00D630EF">
        <w:rPr>
          <w:rFonts w:ascii="Arial" w:hAnsi="Arial" w:cs="Arial"/>
          <w:sz w:val="22"/>
          <w:szCs w:val="22"/>
          <w:u w:color="000000"/>
        </w:rPr>
        <w:t xml:space="preserve"> hacer énfasis en los elementos diferenciadores de caso, pues cada u</w:t>
      </w:r>
      <w:r w:rsidR="00242C72">
        <w:rPr>
          <w:rFonts w:ascii="Arial" w:hAnsi="Arial" w:cs="Arial"/>
          <w:sz w:val="22"/>
          <w:szCs w:val="22"/>
          <w:u w:color="000000"/>
        </w:rPr>
        <w:t>no tiene una identidad propia.</w:t>
      </w:r>
      <w:r w:rsidRPr="00D630EF">
        <w:rPr>
          <w:rFonts w:ascii="Arial" w:hAnsi="Arial" w:cs="Arial"/>
          <w:sz w:val="22"/>
          <w:szCs w:val="22"/>
          <w:u w:color="000000"/>
        </w:rPr>
        <w:t xml:space="preserve"> </w:t>
      </w:r>
      <w:r w:rsidR="00242C72" w:rsidRPr="00D630EF">
        <w:rPr>
          <w:rFonts w:ascii="Arial" w:hAnsi="Arial" w:cs="Arial"/>
          <w:sz w:val="22"/>
          <w:szCs w:val="22"/>
          <w:u w:color="000000"/>
        </w:rPr>
        <w:t>En</w:t>
      </w:r>
      <w:r w:rsidRPr="00D630EF">
        <w:rPr>
          <w:rFonts w:ascii="Arial" w:hAnsi="Arial" w:cs="Arial"/>
          <w:sz w:val="22"/>
          <w:szCs w:val="22"/>
          <w:u w:color="000000"/>
        </w:rPr>
        <w:t xml:space="preserve"> la medida en que esos aspectos sean reconocidos y atendidos se puede hablar en una reparación integral.  </w:t>
      </w:r>
    </w:p>
    <w:p w:rsidR="00016DA6" w:rsidRDefault="00016DA6" w:rsidP="00016DA6">
      <w:pPr>
        <w:pStyle w:val="Body1"/>
        <w:spacing w:before="20" w:line="360" w:lineRule="auto"/>
        <w:ind w:firstLine="720"/>
        <w:jc w:val="both"/>
        <w:outlineLvl w:val="0"/>
        <w:rPr>
          <w:rFonts w:ascii="Arial" w:hAnsi="Arial" w:cs="Arial"/>
          <w:sz w:val="22"/>
          <w:szCs w:val="22"/>
          <w:u w:color="000000"/>
        </w:rPr>
      </w:pPr>
    </w:p>
    <w:p w:rsidR="00AD346E" w:rsidRPr="00EA079C" w:rsidRDefault="00102AD1" w:rsidP="00B656C2">
      <w:pPr>
        <w:pStyle w:val="Body1"/>
        <w:numPr>
          <w:ilvl w:val="2"/>
          <w:numId w:val="7"/>
        </w:numPr>
        <w:spacing w:before="20" w:line="360" w:lineRule="auto"/>
        <w:jc w:val="both"/>
        <w:outlineLvl w:val="2"/>
        <w:rPr>
          <w:rFonts w:ascii="Arial" w:hAnsi="Arial" w:cs="Arial"/>
          <w:b/>
          <w:sz w:val="22"/>
          <w:szCs w:val="22"/>
          <w:u w:color="000000"/>
        </w:rPr>
      </w:pPr>
      <w:bookmarkStart w:id="8" w:name="_Toc356432245"/>
      <w:r>
        <w:rPr>
          <w:rFonts w:ascii="Arial" w:hAnsi="Arial" w:cs="Arial"/>
          <w:b/>
          <w:sz w:val="22"/>
          <w:szCs w:val="22"/>
          <w:u w:color="000000"/>
        </w:rPr>
        <w:t>A</w:t>
      </w:r>
      <w:r w:rsidRPr="00EA079C">
        <w:rPr>
          <w:rFonts w:ascii="Arial" w:hAnsi="Arial" w:cs="Arial"/>
          <w:b/>
          <w:sz w:val="22"/>
          <w:szCs w:val="22"/>
          <w:u w:color="000000"/>
        </w:rPr>
        <w:t>fectación al proyecto de vida y su reparación</w:t>
      </w:r>
      <w:bookmarkEnd w:id="8"/>
    </w:p>
    <w:p w:rsidR="00AD346E" w:rsidRPr="00D630EF" w:rsidRDefault="00AD346E" w:rsidP="00D630EF">
      <w:pPr>
        <w:pStyle w:val="Body1"/>
        <w:spacing w:before="20" w:line="360" w:lineRule="auto"/>
        <w:outlineLvl w:val="0"/>
        <w:rPr>
          <w:rFonts w:ascii="Arial" w:hAnsi="Arial" w:cs="Arial"/>
          <w:sz w:val="22"/>
          <w:szCs w:val="22"/>
          <w:u w:color="000000"/>
        </w:rPr>
      </w:pPr>
    </w:p>
    <w:p w:rsidR="00777C32" w:rsidRDefault="00777C32" w:rsidP="0076710C">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El proyecto de vida implica el plan que cada persona tiene respecto </w:t>
      </w:r>
      <w:r w:rsidR="00296494">
        <w:rPr>
          <w:rFonts w:ascii="Arial" w:hAnsi="Arial" w:cs="Arial"/>
          <w:sz w:val="22"/>
          <w:szCs w:val="22"/>
          <w:u w:color="000000"/>
        </w:rPr>
        <w:t xml:space="preserve">a </w:t>
      </w:r>
      <w:r w:rsidRPr="00D630EF">
        <w:rPr>
          <w:rFonts w:ascii="Arial" w:hAnsi="Arial" w:cs="Arial"/>
          <w:sz w:val="22"/>
          <w:szCs w:val="22"/>
          <w:u w:color="000000"/>
        </w:rPr>
        <w:t>alcanzar ciertos objetivos, fines y metas en varios ámbitos como el económico, social</w:t>
      </w:r>
      <w:r w:rsidR="00F27A8C">
        <w:rPr>
          <w:rFonts w:ascii="Arial" w:hAnsi="Arial" w:cs="Arial"/>
          <w:sz w:val="22"/>
          <w:szCs w:val="22"/>
          <w:u w:color="000000"/>
        </w:rPr>
        <w:t>, familiar</w:t>
      </w:r>
      <w:r w:rsidRPr="00D630EF">
        <w:rPr>
          <w:rFonts w:ascii="Arial" w:hAnsi="Arial" w:cs="Arial"/>
          <w:sz w:val="22"/>
          <w:szCs w:val="22"/>
          <w:u w:color="000000"/>
        </w:rPr>
        <w:t xml:space="preserve"> y académico</w:t>
      </w:r>
      <w:r w:rsidR="00146B2A">
        <w:rPr>
          <w:rStyle w:val="Refdenotaalpie"/>
          <w:rFonts w:ascii="Arial" w:hAnsi="Arial" w:cs="Arial"/>
          <w:sz w:val="22"/>
          <w:szCs w:val="22"/>
          <w:u w:color="000000"/>
        </w:rPr>
        <w:footnoteReference w:id="33"/>
      </w:r>
      <w:r w:rsidRPr="00D630EF">
        <w:rPr>
          <w:rFonts w:ascii="Arial" w:hAnsi="Arial" w:cs="Arial"/>
          <w:sz w:val="22"/>
          <w:szCs w:val="22"/>
          <w:u w:color="000000"/>
        </w:rPr>
        <w:t xml:space="preserve">. El desarrollar un proyecto de vida implica la sucesión de varios pasos </w:t>
      </w:r>
      <w:r w:rsidR="00874045">
        <w:rPr>
          <w:rFonts w:ascii="Arial" w:hAnsi="Arial" w:cs="Arial"/>
          <w:sz w:val="22"/>
          <w:szCs w:val="22"/>
          <w:u w:color="000000"/>
        </w:rPr>
        <w:t xml:space="preserve">en un tiempo determinado </w:t>
      </w:r>
      <w:r w:rsidRPr="00D630EF">
        <w:rPr>
          <w:rFonts w:ascii="Arial" w:hAnsi="Arial" w:cs="Arial"/>
          <w:sz w:val="22"/>
          <w:szCs w:val="22"/>
          <w:u w:color="000000"/>
        </w:rPr>
        <w:t>que concurren a un fin último. Cuando la violación a los derechos interrumpe uno de estos pasos o escalones, e</w:t>
      </w:r>
      <w:r w:rsidR="00296494">
        <w:rPr>
          <w:rFonts w:ascii="Arial" w:hAnsi="Arial" w:cs="Arial"/>
          <w:sz w:val="22"/>
          <w:szCs w:val="22"/>
          <w:u w:color="000000"/>
        </w:rPr>
        <w:t>l fin último se ve comprometido.</w:t>
      </w:r>
      <w:r w:rsidRPr="00D630EF">
        <w:rPr>
          <w:rFonts w:ascii="Arial" w:hAnsi="Arial" w:cs="Arial"/>
          <w:sz w:val="22"/>
          <w:szCs w:val="22"/>
          <w:u w:color="000000"/>
        </w:rPr>
        <w:t xml:space="preserve"> </w:t>
      </w:r>
      <w:r w:rsidR="00296494" w:rsidRPr="00D630EF">
        <w:rPr>
          <w:rFonts w:ascii="Arial" w:hAnsi="Arial" w:cs="Arial"/>
          <w:sz w:val="22"/>
          <w:szCs w:val="22"/>
          <w:u w:color="000000"/>
        </w:rPr>
        <w:t>Si</w:t>
      </w:r>
      <w:r w:rsidRPr="00D630EF">
        <w:rPr>
          <w:rFonts w:ascii="Arial" w:hAnsi="Arial" w:cs="Arial"/>
          <w:sz w:val="22"/>
          <w:szCs w:val="22"/>
          <w:u w:color="000000"/>
        </w:rPr>
        <w:t xml:space="preserve"> bien no existe una certeza absoluta de que </w:t>
      </w:r>
      <w:r w:rsidR="00296494">
        <w:rPr>
          <w:rFonts w:ascii="Arial" w:hAnsi="Arial" w:cs="Arial"/>
          <w:sz w:val="22"/>
          <w:szCs w:val="22"/>
          <w:u w:color="000000"/>
        </w:rPr>
        <w:t xml:space="preserve">las metas </w:t>
      </w:r>
      <w:r w:rsidRPr="00D630EF">
        <w:rPr>
          <w:rFonts w:ascii="Arial" w:hAnsi="Arial" w:cs="Arial"/>
          <w:sz w:val="22"/>
          <w:szCs w:val="22"/>
          <w:u w:color="000000"/>
        </w:rPr>
        <w:t>haya</w:t>
      </w:r>
      <w:r w:rsidR="00296494">
        <w:rPr>
          <w:rFonts w:ascii="Arial" w:hAnsi="Arial" w:cs="Arial"/>
          <w:sz w:val="22"/>
          <w:szCs w:val="22"/>
          <w:u w:color="000000"/>
        </w:rPr>
        <w:t>n</w:t>
      </w:r>
      <w:r w:rsidR="00687611">
        <w:rPr>
          <w:rFonts w:ascii="Arial" w:hAnsi="Arial" w:cs="Arial"/>
          <w:sz w:val="22"/>
          <w:szCs w:val="22"/>
          <w:u w:color="000000"/>
        </w:rPr>
        <w:t xml:space="preserve"> podido alcanzarse,</w:t>
      </w:r>
      <w:r w:rsidRPr="00D630EF">
        <w:rPr>
          <w:rFonts w:ascii="Arial" w:hAnsi="Arial" w:cs="Arial"/>
          <w:sz w:val="22"/>
          <w:szCs w:val="22"/>
          <w:u w:color="000000"/>
        </w:rPr>
        <w:t xml:space="preserve"> lo que </w:t>
      </w:r>
      <w:r w:rsidR="00687611">
        <w:rPr>
          <w:rFonts w:ascii="Arial" w:hAnsi="Arial" w:cs="Arial"/>
          <w:sz w:val="22"/>
          <w:szCs w:val="22"/>
          <w:u w:color="000000"/>
        </w:rPr>
        <w:t xml:space="preserve">puede </w:t>
      </w:r>
      <w:r w:rsidR="00687611">
        <w:rPr>
          <w:rFonts w:ascii="Arial" w:hAnsi="Arial" w:cs="Arial"/>
          <w:sz w:val="22"/>
          <w:szCs w:val="22"/>
          <w:u w:color="000000"/>
        </w:rPr>
        <w:lastRenderedPageBreak/>
        <w:t>asegurarse es que</w:t>
      </w:r>
      <w:r w:rsidRPr="00D630EF">
        <w:rPr>
          <w:rFonts w:ascii="Arial" w:hAnsi="Arial" w:cs="Arial"/>
          <w:sz w:val="22"/>
          <w:szCs w:val="22"/>
          <w:u w:color="000000"/>
        </w:rPr>
        <w:t xml:space="preserve"> con la vulneración </w:t>
      </w:r>
      <w:r w:rsidR="00874045">
        <w:rPr>
          <w:rFonts w:ascii="Arial" w:hAnsi="Arial" w:cs="Arial"/>
          <w:sz w:val="22"/>
          <w:szCs w:val="22"/>
          <w:u w:color="000000"/>
        </w:rPr>
        <w:t xml:space="preserve">a los derechos humanos </w:t>
      </w:r>
      <w:r w:rsidRPr="00D630EF">
        <w:rPr>
          <w:rFonts w:ascii="Arial" w:hAnsi="Arial" w:cs="Arial"/>
          <w:sz w:val="22"/>
          <w:szCs w:val="22"/>
          <w:u w:color="000000"/>
        </w:rPr>
        <w:t>el proyecto se ve afectado. La reparación no es suficiente si únicamente se r</w:t>
      </w:r>
      <w:r w:rsidR="00874045">
        <w:rPr>
          <w:rFonts w:ascii="Arial" w:hAnsi="Arial" w:cs="Arial"/>
          <w:sz w:val="22"/>
          <w:szCs w:val="22"/>
          <w:u w:color="000000"/>
        </w:rPr>
        <w:t>estituye a la víctima en el punto del proyecto</w:t>
      </w:r>
      <w:r w:rsidRPr="00D630EF">
        <w:rPr>
          <w:rFonts w:ascii="Arial" w:hAnsi="Arial" w:cs="Arial"/>
          <w:sz w:val="22"/>
          <w:szCs w:val="22"/>
          <w:u w:color="000000"/>
        </w:rPr>
        <w:t xml:space="preserve"> que se vio afectado sino que se lo debe encaminar nuevamente</w:t>
      </w:r>
      <w:r w:rsidR="00242C72">
        <w:rPr>
          <w:rFonts w:ascii="Arial" w:hAnsi="Arial" w:cs="Arial"/>
          <w:sz w:val="22"/>
          <w:szCs w:val="22"/>
          <w:u w:color="000000"/>
        </w:rPr>
        <w:t xml:space="preserve"> a</w:t>
      </w:r>
      <w:r w:rsidRPr="00D630EF">
        <w:rPr>
          <w:rFonts w:ascii="Arial" w:hAnsi="Arial" w:cs="Arial"/>
          <w:sz w:val="22"/>
          <w:szCs w:val="22"/>
          <w:u w:color="000000"/>
        </w:rPr>
        <w:t xml:space="preserve"> buscar el fin último, la afec</w:t>
      </w:r>
      <w:r w:rsidR="00874045">
        <w:rPr>
          <w:rFonts w:ascii="Arial" w:hAnsi="Arial" w:cs="Arial"/>
          <w:sz w:val="22"/>
          <w:szCs w:val="22"/>
          <w:u w:color="000000"/>
        </w:rPr>
        <w:t>tación psicológica también perjudica a</w:t>
      </w:r>
      <w:r w:rsidRPr="00D630EF">
        <w:rPr>
          <w:rFonts w:ascii="Arial" w:hAnsi="Arial" w:cs="Arial"/>
          <w:sz w:val="22"/>
          <w:szCs w:val="22"/>
          <w:u w:color="000000"/>
        </w:rPr>
        <w:t>l proyecto de vida de una manera más profunda y compleja, por ello l</w:t>
      </w:r>
      <w:r w:rsidR="00874045">
        <w:rPr>
          <w:rFonts w:ascii="Arial" w:hAnsi="Arial" w:cs="Arial"/>
          <w:sz w:val="22"/>
          <w:szCs w:val="22"/>
          <w:u w:color="000000"/>
        </w:rPr>
        <w:t xml:space="preserve">a </w:t>
      </w:r>
      <w:r w:rsidR="00242C72">
        <w:rPr>
          <w:rFonts w:ascii="Arial" w:hAnsi="Arial" w:cs="Arial"/>
          <w:sz w:val="22"/>
          <w:szCs w:val="22"/>
          <w:u w:color="000000"/>
        </w:rPr>
        <w:t xml:space="preserve">en la </w:t>
      </w:r>
      <w:r w:rsidR="00874045">
        <w:rPr>
          <w:rFonts w:ascii="Arial" w:hAnsi="Arial" w:cs="Arial"/>
          <w:sz w:val="22"/>
          <w:szCs w:val="22"/>
          <w:u w:color="000000"/>
        </w:rPr>
        <w:t xml:space="preserve">reparación </w:t>
      </w:r>
      <w:r w:rsidR="00242C72">
        <w:rPr>
          <w:rFonts w:ascii="Arial" w:hAnsi="Arial" w:cs="Arial"/>
          <w:sz w:val="22"/>
          <w:szCs w:val="22"/>
          <w:u w:color="000000"/>
        </w:rPr>
        <w:t>se debe considerar el ubicar</w:t>
      </w:r>
      <w:r w:rsidR="00874045">
        <w:rPr>
          <w:rFonts w:ascii="Arial" w:hAnsi="Arial" w:cs="Arial"/>
          <w:sz w:val="22"/>
          <w:szCs w:val="22"/>
          <w:u w:color="000000"/>
        </w:rPr>
        <w:t xml:space="preserve"> a la víctima en una</w:t>
      </w:r>
      <w:r w:rsidRPr="00D630EF">
        <w:rPr>
          <w:rFonts w:ascii="Arial" w:hAnsi="Arial" w:cs="Arial"/>
          <w:sz w:val="22"/>
          <w:szCs w:val="22"/>
          <w:u w:color="000000"/>
        </w:rPr>
        <w:t xml:space="preserve"> posición de ventaja </w:t>
      </w:r>
      <w:r w:rsidR="00E46512">
        <w:rPr>
          <w:rFonts w:ascii="Arial" w:hAnsi="Arial" w:cs="Arial"/>
          <w:sz w:val="22"/>
          <w:szCs w:val="22"/>
          <w:u w:color="000000"/>
        </w:rPr>
        <w:t>tratando de devolverlo a la situación en la que se encontraba para</w:t>
      </w:r>
      <w:r w:rsidR="00D36020">
        <w:rPr>
          <w:rFonts w:ascii="Arial" w:hAnsi="Arial" w:cs="Arial"/>
          <w:sz w:val="22"/>
          <w:szCs w:val="22"/>
          <w:u w:color="000000"/>
        </w:rPr>
        <w:t xml:space="preserve"> alcanzar sus</w:t>
      </w:r>
      <w:r w:rsidRPr="00D630EF">
        <w:rPr>
          <w:rFonts w:ascii="Arial" w:hAnsi="Arial" w:cs="Arial"/>
          <w:sz w:val="22"/>
          <w:szCs w:val="22"/>
          <w:u w:color="000000"/>
        </w:rPr>
        <w:t xml:space="preserve"> fin</w:t>
      </w:r>
      <w:r w:rsidR="00D36020">
        <w:rPr>
          <w:rFonts w:ascii="Arial" w:hAnsi="Arial" w:cs="Arial"/>
          <w:sz w:val="22"/>
          <w:szCs w:val="22"/>
          <w:u w:color="000000"/>
        </w:rPr>
        <w:t>es</w:t>
      </w:r>
      <w:r w:rsidR="007656EC">
        <w:rPr>
          <w:rStyle w:val="Refdenotaalpie"/>
          <w:rFonts w:ascii="Arial" w:hAnsi="Arial" w:cs="Arial"/>
          <w:sz w:val="22"/>
          <w:szCs w:val="22"/>
          <w:u w:color="000000"/>
        </w:rPr>
        <w:footnoteReference w:id="34"/>
      </w:r>
      <w:r w:rsidR="00E46512">
        <w:rPr>
          <w:rFonts w:ascii="Arial" w:hAnsi="Arial" w:cs="Arial"/>
          <w:sz w:val="22"/>
          <w:szCs w:val="22"/>
          <w:u w:color="000000"/>
        </w:rPr>
        <w:t>.</w:t>
      </w:r>
      <w:r w:rsidR="00E46512" w:rsidRPr="00D630EF">
        <w:rPr>
          <w:rFonts w:ascii="Arial" w:hAnsi="Arial" w:cs="Arial"/>
          <w:sz w:val="22"/>
          <w:szCs w:val="22"/>
          <w:u w:color="000000"/>
        </w:rPr>
        <w:t xml:space="preserve"> </w:t>
      </w:r>
    </w:p>
    <w:p w:rsidR="00EB6D5C" w:rsidRPr="00D630EF" w:rsidRDefault="00EB6D5C" w:rsidP="00777C32">
      <w:pPr>
        <w:pStyle w:val="Body1"/>
        <w:spacing w:before="20" w:line="360" w:lineRule="auto"/>
        <w:jc w:val="both"/>
        <w:outlineLvl w:val="0"/>
        <w:rPr>
          <w:rFonts w:ascii="Arial" w:hAnsi="Arial" w:cs="Arial"/>
          <w:sz w:val="22"/>
          <w:szCs w:val="22"/>
          <w:u w:color="000000"/>
        </w:rPr>
      </w:pPr>
    </w:p>
    <w:p w:rsidR="00AD346E" w:rsidRPr="00D630EF" w:rsidRDefault="00AD346E" w:rsidP="0076710C">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Al momento de producirse la vulneración a los derechos humanos, el proyecto de vida se ve obstaculizado, se deben considerar</w:t>
      </w:r>
      <w:r w:rsidR="00E46512">
        <w:rPr>
          <w:rFonts w:ascii="Arial" w:hAnsi="Arial" w:cs="Arial"/>
          <w:sz w:val="22"/>
          <w:szCs w:val="22"/>
          <w:u w:color="000000"/>
        </w:rPr>
        <w:t xml:space="preserve"> los casos donde las víctimas</w:t>
      </w:r>
      <w:r w:rsidRPr="00D630EF">
        <w:rPr>
          <w:rFonts w:ascii="Arial" w:hAnsi="Arial" w:cs="Arial"/>
          <w:sz w:val="22"/>
          <w:szCs w:val="22"/>
          <w:u w:color="000000"/>
        </w:rPr>
        <w:t xml:space="preserve"> han sido asesinadas o desaparecidas, </w:t>
      </w:r>
      <w:r w:rsidR="00E46512">
        <w:rPr>
          <w:rFonts w:ascii="Arial" w:hAnsi="Arial" w:cs="Arial"/>
          <w:sz w:val="22"/>
          <w:szCs w:val="22"/>
          <w:u w:color="000000"/>
        </w:rPr>
        <w:t xml:space="preserve">en los que </w:t>
      </w:r>
      <w:r w:rsidR="00F27A8C">
        <w:rPr>
          <w:rFonts w:ascii="Arial" w:hAnsi="Arial" w:cs="Arial"/>
          <w:sz w:val="22"/>
          <w:szCs w:val="22"/>
          <w:u w:color="000000"/>
        </w:rPr>
        <w:t>el proyecto de vida afectado puede ser</w:t>
      </w:r>
      <w:r w:rsidRPr="00D630EF">
        <w:rPr>
          <w:rFonts w:ascii="Arial" w:hAnsi="Arial" w:cs="Arial"/>
          <w:sz w:val="22"/>
          <w:szCs w:val="22"/>
          <w:u w:color="000000"/>
        </w:rPr>
        <w:t xml:space="preserve"> el de sus familiares. Para atender el proyecto de vida y permitir que vuelva a construirse es necesario que existan garantí</w:t>
      </w:r>
      <w:r w:rsidR="00E46512">
        <w:rPr>
          <w:rFonts w:ascii="Arial" w:hAnsi="Arial" w:cs="Arial"/>
          <w:sz w:val="22"/>
          <w:szCs w:val="22"/>
          <w:u w:color="000000"/>
        </w:rPr>
        <w:t>a</w:t>
      </w:r>
      <w:r w:rsidRPr="00D630EF">
        <w:rPr>
          <w:rFonts w:ascii="Arial" w:hAnsi="Arial" w:cs="Arial"/>
          <w:sz w:val="22"/>
          <w:szCs w:val="22"/>
          <w:u w:color="000000"/>
        </w:rPr>
        <w:t xml:space="preserve">s suficientes, que se </w:t>
      </w:r>
      <w:r w:rsidR="00D225AF" w:rsidRPr="00D630EF">
        <w:rPr>
          <w:rFonts w:ascii="Arial" w:hAnsi="Arial" w:cs="Arial"/>
          <w:sz w:val="22"/>
          <w:szCs w:val="22"/>
          <w:u w:color="000000"/>
        </w:rPr>
        <w:t>dé</w:t>
      </w:r>
      <w:r w:rsidRPr="00D630EF">
        <w:rPr>
          <w:rFonts w:ascii="Arial" w:hAnsi="Arial" w:cs="Arial"/>
          <w:sz w:val="22"/>
          <w:szCs w:val="22"/>
          <w:u w:color="000000"/>
        </w:rPr>
        <w:t xml:space="preserve"> a la víctima y a sus familiares las condiciones suficientes que en su contexto personal le</w:t>
      </w:r>
      <w:r w:rsidR="00242C72">
        <w:rPr>
          <w:rFonts w:ascii="Arial" w:hAnsi="Arial" w:cs="Arial"/>
          <w:sz w:val="22"/>
          <w:szCs w:val="22"/>
          <w:u w:color="000000"/>
        </w:rPr>
        <w:t>s</w:t>
      </w:r>
      <w:r w:rsidRPr="00D630EF">
        <w:rPr>
          <w:rFonts w:ascii="Arial" w:hAnsi="Arial" w:cs="Arial"/>
          <w:sz w:val="22"/>
          <w:szCs w:val="22"/>
          <w:u w:color="000000"/>
        </w:rPr>
        <w:t xml:space="preserve"> hubiesen permitido desarrollar sus potencialidades. Es necesario que se </w:t>
      </w:r>
      <w:r w:rsidR="00D225AF" w:rsidRPr="00D630EF">
        <w:rPr>
          <w:rFonts w:ascii="Arial" w:hAnsi="Arial" w:cs="Arial"/>
          <w:sz w:val="22"/>
          <w:szCs w:val="22"/>
          <w:u w:color="000000"/>
        </w:rPr>
        <w:t>analicen</w:t>
      </w:r>
      <w:r w:rsidRPr="00D630EF">
        <w:rPr>
          <w:rFonts w:ascii="Arial" w:hAnsi="Arial" w:cs="Arial"/>
          <w:sz w:val="22"/>
          <w:szCs w:val="22"/>
          <w:u w:color="000000"/>
        </w:rPr>
        <w:t xml:space="preserve"> las oportunidades que efectivamente se perdieron con la violación de los derechos y las oportunidades que pudieron haberse pr</w:t>
      </w:r>
      <w:r w:rsidR="00242C72">
        <w:rPr>
          <w:rFonts w:ascii="Arial" w:hAnsi="Arial" w:cs="Arial"/>
          <w:sz w:val="22"/>
          <w:szCs w:val="22"/>
          <w:u w:color="000000"/>
        </w:rPr>
        <w:t>esentado a futuro, de no producirse</w:t>
      </w:r>
      <w:r w:rsidRPr="00D630EF">
        <w:rPr>
          <w:rFonts w:ascii="Arial" w:hAnsi="Arial" w:cs="Arial"/>
          <w:sz w:val="22"/>
          <w:szCs w:val="22"/>
          <w:u w:color="000000"/>
        </w:rPr>
        <w:t xml:space="preserve"> la vulneración.</w:t>
      </w:r>
    </w:p>
    <w:p w:rsidR="00AD346E" w:rsidRPr="00D630EF" w:rsidRDefault="00AD346E" w:rsidP="00E46512">
      <w:pPr>
        <w:pStyle w:val="Body1"/>
        <w:spacing w:before="20" w:line="360" w:lineRule="auto"/>
        <w:jc w:val="both"/>
        <w:outlineLvl w:val="0"/>
        <w:rPr>
          <w:rFonts w:ascii="Arial" w:hAnsi="Arial" w:cs="Arial"/>
          <w:sz w:val="22"/>
          <w:szCs w:val="22"/>
          <w:u w:color="000000"/>
        </w:rPr>
      </w:pPr>
    </w:p>
    <w:p w:rsidR="00AD346E" w:rsidRPr="00D630EF" w:rsidRDefault="00AD346E" w:rsidP="0076710C">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Pueden presentarse casos en los que el proyecto de vida se haya visto perjudicado en un grado que sea imposible continuarlo, en este punto el proyecto de vida debe ser reconsiderado, y la afectación que representa tal reconsideración para la víctima y</w:t>
      </w:r>
      <w:r w:rsidR="00E46512">
        <w:rPr>
          <w:rFonts w:ascii="Arial" w:hAnsi="Arial" w:cs="Arial"/>
          <w:sz w:val="22"/>
          <w:szCs w:val="22"/>
          <w:u w:color="000000"/>
        </w:rPr>
        <w:t xml:space="preserve"> su familia debe ser reconocida y reparada</w:t>
      </w:r>
      <w:r w:rsidRPr="00D630EF">
        <w:rPr>
          <w:rFonts w:ascii="Arial" w:hAnsi="Arial" w:cs="Arial"/>
          <w:sz w:val="22"/>
          <w:szCs w:val="22"/>
          <w:u w:color="000000"/>
        </w:rPr>
        <w:t>. En este caso el Estado también es responsable por dotar de las condiciones necesarias para que este nuevo proyecto de vida pueda ser ejecutado.</w:t>
      </w:r>
    </w:p>
    <w:p w:rsidR="00AD346E" w:rsidRPr="00D630EF" w:rsidRDefault="00AD346E" w:rsidP="00D630EF">
      <w:pPr>
        <w:pStyle w:val="Body1"/>
        <w:spacing w:before="20" w:line="360" w:lineRule="auto"/>
        <w:outlineLvl w:val="0"/>
        <w:rPr>
          <w:rFonts w:ascii="Arial" w:hAnsi="Arial" w:cs="Arial"/>
          <w:sz w:val="22"/>
          <w:szCs w:val="22"/>
          <w:u w:color="000000"/>
        </w:rPr>
      </w:pPr>
      <w:r w:rsidRPr="00D630EF">
        <w:rPr>
          <w:rFonts w:ascii="Arial" w:hAnsi="Arial" w:cs="Arial"/>
          <w:sz w:val="22"/>
          <w:szCs w:val="22"/>
          <w:u w:color="000000"/>
        </w:rPr>
        <w:t xml:space="preserve"> </w:t>
      </w:r>
    </w:p>
    <w:p w:rsidR="00AD346E" w:rsidRDefault="00AD346E" w:rsidP="0076710C">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La Corte IDH se ha pr</w:t>
      </w:r>
      <w:r w:rsidR="00E46512">
        <w:rPr>
          <w:rFonts w:ascii="Arial" w:hAnsi="Arial" w:cs="Arial"/>
          <w:sz w:val="22"/>
          <w:szCs w:val="22"/>
          <w:u w:color="000000"/>
        </w:rPr>
        <w:t>onunciado en varias de sus resoluciones</w:t>
      </w:r>
      <w:r w:rsidRPr="00D630EF">
        <w:rPr>
          <w:rFonts w:ascii="Arial" w:hAnsi="Arial" w:cs="Arial"/>
          <w:sz w:val="22"/>
          <w:szCs w:val="22"/>
          <w:u w:color="000000"/>
        </w:rPr>
        <w:t xml:space="preserve"> al proyecto de vida y su consideración al momento de establecer </w:t>
      </w:r>
      <w:r w:rsidR="00E46512">
        <w:rPr>
          <w:rFonts w:ascii="Arial" w:hAnsi="Arial" w:cs="Arial"/>
          <w:sz w:val="22"/>
          <w:szCs w:val="22"/>
          <w:u w:color="000000"/>
        </w:rPr>
        <w:t xml:space="preserve">una </w:t>
      </w:r>
      <w:r w:rsidRPr="00D630EF">
        <w:rPr>
          <w:rFonts w:ascii="Arial" w:hAnsi="Arial" w:cs="Arial"/>
          <w:sz w:val="22"/>
          <w:szCs w:val="22"/>
          <w:u w:color="000000"/>
        </w:rPr>
        <w:t xml:space="preserve">reparación integral, </w:t>
      </w:r>
      <w:r w:rsidR="00E46512">
        <w:rPr>
          <w:rFonts w:ascii="Arial" w:hAnsi="Arial" w:cs="Arial"/>
          <w:sz w:val="22"/>
          <w:szCs w:val="22"/>
          <w:u w:color="000000"/>
        </w:rPr>
        <w:t xml:space="preserve">se </w:t>
      </w:r>
      <w:r w:rsidR="00D225AF" w:rsidRPr="00D630EF">
        <w:rPr>
          <w:rFonts w:ascii="Arial" w:hAnsi="Arial" w:cs="Arial"/>
          <w:sz w:val="22"/>
          <w:szCs w:val="22"/>
          <w:u w:color="000000"/>
        </w:rPr>
        <w:t>ha</w:t>
      </w:r>
      <w:r w:rsidR="00E46512">
        <w:rPr>
          <w:rFonts w:ascii="Arial" w:hAnsi="Arial" w:cs="Arial"/>
          <w:sz w:val="22"/>
          <w:szCs w:val="22"/>
          <w:u w:color="000000"/>
        </w:rPr>
        <w:t>n</w:t>
      </w:r>
      <w:r w:rsidRPr="00D630EF">
        <w:rPr>
          <w:rFonts w:ascii="Arial" w:hAnsi="Arial" w:cs="Arial"/>
          <w:sz w:val="22"/>
          <w:szCs w:val="22"/>
          <w:u w:color="000000"/>
        </w:rPr>
        <w:t xml:space="preserve"> determinado medidas como otorgamiento de becas de estudio, restitución de puesto de tra</w:t>
      </w:r>
      <w:r w:rsidR="00E46512">
        <w:rPr>
          <w:rFonts w:ascii="Arial" w:hAnsi="Arial" w:cs="Arial"/>
          <w:sz w:val="22"/>
          <w:szCs w:val="22"/>
          <w:u w:color="000000"/>
        </w:rPr>
        <w:t>bajo, actualización profesional</w:t>
      </w:r>
      <w:r w:rsidRPr="00D630EF">
        <w:rPr>
          <w:rFonts w:ascii="Arial" w:hAnsi="Arial" w:cs="Arial"/>
          <w:sz w:val="22"/>
          <w:szCs w:val="22"/>
          <w:u w:color="000000"/>
          <w:vertAlign w:val="superscript"/>
        </w:rPr>
        <w:footnoteReference w:id="35"/>
      </w:r>
      <w:r w:rsidRPr="00D630EF">
        <w:rPr>
          <w:rFonts w:ascii="Arial" w:hAnsi="Arial" w:cs="Arial"/>
          <w:sz w:val="22"/>
          <w:szCs w:val="22"/>
          <w:u w:color="000000"/>
        </w:rPr>
        <w:t>. Podemos observar que en este caso, la referencia que se hace al proyecto de vida toma en cuent</w:t>
      </w:r>
      <w:r w:rsidR="00687611">
        <w:rPr>
          <w:rFonts w:ascii="Arial" w:hAnsi="Arial" w:cs="Arial"/>
          <w:sz w:val="22"/>
          <w:szCs w:val="22"/>
          <w:u w:color="000000"/>
        </w:rPr>
        <w:t>a los derechos a la educación y</w:t>
      </w:r>
      <w:r w:rsidRPr="00D630EF">
        <w:rPr>
          <w:rFonts w:ascii="Arial" w:hAnsi="Arial" w:cs="Arial"/>
          <w:sz w:val="22"/>
          <w:szCs w:val="22"/>
          <w:u w:color="000000"/>
        </w:rPr>
        <w:t xml:space="preserve"> al trabajo.</w:t>
      </w:r>
    </w:p>
    <w:p w:rsidR="00EB2AA2" w:rsidRDefault="00EB2AA2" w:rsidP="00D630EF">
      <w:pPr>
        <w:pStyle w:val="Body1"/>
        <w:spacing w:before="20" w:line="360" w:lineRule="auto"/>
        <w:jc w:val="both"/>
        <w:outlineLvl w:val="0"/>
        <w:rPr>
          <w:rFonts w:ascii="Arial" w:hAnsi="Arial" w:cs="Arial"/>
          <w:sz w:val="22"/>
          <w:szCs w:val="22"/>
          <w:u w:color="000000"/>
        </w:rPr>
      </w:pPr>
    </w:p>
    <w:p w:rsidR="00EB2AA2" w:rsidRPr="00D630EF" w:rsidRDefault="00EB2AA2" w:rsidP="0076710C">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lastRenderedPageBreak/>
        <w:t xml:space="preserve">En el caso Gutiérrez Soler vs. Colombia </w:t>
      </w:r>
      <w:r w:rsidR="00D8357D">
        <w:rPr>
          <w:rFonts w:ascii="Arial" w:hAnsi="Arial" w:cs="Arial"/>
          <w:sz w:val="22"/>
          <w:szCs w:val="22"/>
          <w:u w:color="000000"/>
        </w:rPr>
        <w:t>cuando la Comisión IDH sometió el caso a la Corte IDH, señaló que la impunidad de los responsab</w:t>
      </w:r>
      <w:r w:rsidR="00AC4E0B">
        <w:rPr>
          <w:rFonts w:ascii="Arial" w:hAnsi="Arial" w:cs="Arial"/>
          <w:sz w:val="22"/>
          <w:szCs w:val="22"/>
          <w:u w:color="000000"/>
        </w:rPr>
        <w:t>les y la falta de reparación habían</w:t>
      </w:r>
      <w:r w:rsidR="00D8357D">
        <w:rPr>
          <w:rFonts w:ascii="Arial" w:hAnsi="Arial" w:cs="Arial"/>
          <w:sz w:val="22"/>
          <w:szCs w:val="22"/>
          <w:u w:color="000000"/>
        </w:rPr>
        <w:t xml:space="preserve"> destruido el proyecto de vida del señor Wilson Gutiérrez Soler y de los miembros de su familia</w:t>
      </w:r>
      <w:r w:rsidR="00736A53">
        <w:rPr>
          <w:rStyle w:val="Refdenotaalpie"/>
          <w:rFonts w:ascii="Arial" w:hAnsi="Arial" w:cs="Arial"/>
          <w:sz w:val="22"/>
          <w:szCs w:val="22"/>
          <w:u w:color="000000"/>
        </w:rPr>
        <w:footnoteReference w:id="36"/>
      </w:r>
      <w:r w:rsidR="008157FE">
        <w:rPr>
          <w:rFonts w:ascii="Arial" w:hAnsi="Arial" w:cs="Arial"/>
          <w:sz w:val="22"/>
          <w:szCs w:val="22"/>
          <w:u w:color="000000"/>
        </w:rPr>
        <w:t>, se hace referencia además a los hijos de su hermano Ricardo Gutiérrez Soler que debido a los acontecimientos debieron de</w:t>
      </w:r>
      <w:r w:rsidR="00AC4E0B">
        <w:rPr>
          <w:rFonts w:ascii="Arial" w:hAnsi="Arial" w:cs="Arial"/>
          <w:sz w:val="22"/>
          <w:szCs w:val="22"/>
          <w:u w:color="000000"/>
        </w:rPr>
        <w:t>jar sus estudios, los que deseaban</w:t>
      </w:r>
      <w:r w:rsidR="008157FE">
        <w:rPr>
          <w:rFonts w:ascii="Arial" w:hAnsi="Arial" w:cs="Arial"/>
          <w:sz w:val="22"/>
          <w:szCs w:val="22"/>
          <w:u w:color="000000"/>
        </w:rPr>
        <w:t xml:space="preserve"> retomar como su gran proyecto de vida</w:t>
      </w:r>
      <w:r w:rsidR="00887DAF">
        <w:rPr>
          <w:rStyle w:val="Refdenotaalpie"/>
          <w:rFonts w:ascii="Arial" w:hAnsi="Arial" w:cs="Arial"/>
          <w:sz w:val="22"/>
          <w:szCs w:val="22"/>
          <w:u w:color="000000"/>
        </w:rPr>
        <w:footnoteReference w:id="37"/>
      </w:r>
      <w:r w:rsidR="00321DE1">
        <w:rPr>
          <w:rFonts w:ascii="Arial" w:hAnsi="Arial" w:cs="Arial"/>
          <w:sz w:val="22"/>
          <w:szCs w:val="22"/>
          <w:u w:color="000000"/>
        </w:rPr>
        <w:t xml:space="preserve">. La Corte IDH reconoció el daño al proyecto de vida del señor Gutiérrez Soler, derivado de la violación de sus derechos humanos. </w:t>
      </w:r>
      <w:r w:rsidR="00321DE1" w:rsidRPr="00321DE1">
        <w:rPr>
          <w:rFonts w:ascii="Arial" w:hAnsi="Arial" w:cs="Arial"/>
          <w:sz w:val="22"/>
          <w:szCs w:val="22"/>
          <w:u w:color="000000"/>
        </w:rPr>
        <w:t xml:space="preserve">La </w:t>
      </w:r>
      <w:r w:rsidR="00887DAF">
        <w:rPr>
          <w:rFonts w:ascii="Arial" w:hAnsi="Arial" w:cs="Arial"/>
          <w:sz w:val="22"/>
          <w:szCs w:val="22"/>
          <w:u w:color="000000"/>
        </w:rPr>
        <w:t>Corte IDH señaló</w:t>
      </w:r>
      <w:r w:rsidR="00321DE1">
        <w:rPr>
          <w:rFonts w:ascii="Arial" w:hAnsi="Arial" w:cs="Arial"/>
          <w:sz w:val="22"/>
          <w:szCs w:val="22"/>
          <w:u w:color="000000"/>
        </w:rPr>
        <w:t xml:space="preserve"> además que la </w:t>
      </w:r>
      <w:r w:rsidR="00321DE1" w:rsidRPr="00321DE1">
        <w:rPr>
          <w:rFonts w:ascii="Arial" w:hAnsi="Arial" w:cs="Arial"/>
          <w:sz w:val="22"/>
          <w:szCs w:val="22"/>
          <w:u w:color="000000"/>
        </w:rPr>
        <w:t>naturaleza compleja e íntegra del daño al “proyecto de vida” exige medidas de satisfacción y</w:t>
      </w:r>
      <w:r w:rsidR="00DE10DC">
        <w:rPr>
          <w:rFonts w:ascii="Arial" w:hAnsi="Arial" w:cs="Arial"/>
          <w:sz w:val="22"/>
          <w:szCs w:val="22"/>
          <w:u w:color="000000"/>
        </w:rPr>
        <w:t xml:space="preserve"> garantías de no repetición que</w:t>
      </w:r>
      <w:r w:rsidR="00321DE1">
        <w:rPr>
          <w:rFonts w:ascii="Arial" w:hAnsi="Arial" w:cs="Arial"/>
          <w:sz w:val="22"/>
          <w:szCs w:val="22"/>
          <w:u w:color="000000"/>
        </w:rPr>
        <w:t xml:space="preserve"> </w:t>
      </w:r>
      <w:r w:rsidR="00321DE1" w:rsidRPr="00321DE1">
        <w:rPr>
          <w:rFonts w:ascii="Arial" w:hAnsi="Arial" w:cs="Arial"/>
          <w:sz w:val="22"/>
          <w:szCs w:val="22"/>
          <w:u w:color="000000"/>
        </w:rPr>
        <w:t>van m</w:t>
      </w:r>
      <w:r w:rsidR="00321DE1">
        <w:rPr>
          <w:rFonts w:ascii="Arial" w:hAnsi="Arial" w:cs="Arial"/>
          <w:sz w:val="22"/>
          <w:szCs w:val="22"/>
          <w:u w:color="000000"/>
        </w:rPr>
        <w:t>ás allá de la esfera económica</w:t>
      </w:r>
      <w:r w:rsidR="00D35A48">
        <w:rPr>
          <w:rFonts w:ascii="Arial" w:hAnsi="Arial" w:cs="Arial"/>
          <w:sz w:val="22"/>
          <w:szCs w:val="22"/>
          <w:u w:color="000000"/>
        </w:rPr>
        <w:t>.</w:t>
      </w:r>
      <w:r w:rsidR="00321DE1" w:rsidRPr="00321DE1">
        <w:rPr>
          <w:rFonts w:ascii="Arial" w:hAnsi="Arial" w:cs="Arial"/>
          <w:sz w:val="22"/>
          <w:szCs w:val="22"/>
          <w:u w:color="000000"/>
        </w:rPr>
        <w:t xml:space="preserve"> </w:t>
      </w:r>
      <w:r w:rsidR="00321DE1">
        <w:rPr>
          <w:rFonts w:ascii="Arial" w:hAnsi="Arial" w:cs="Arial"/>
          <w:sz w:val="22"/>
          <w:szCs w:val="22"/>
          <w:u w:color="000000"/>
        </w:rPr>
        <w:t>Exist</w:t>
      </w:r>
      <w:r w:rsidR="00AC4E0B">
        <w:rPr>
          <w:rFonts w:ascii="Arial" w:hAnsi="Arial" w:cs="Arial"/>
          <w:sz w:val="22"/>
          <w:szCs w:val="22"/>
          <w:u w:color="000000"/>
        </w:rPr>
        <w:t>e un reconocimiento de la Corte IDH</w:t>
      </w:r>
      <w:r w:rsidR="00321DE1">
        <w:rPr>
          <w:rFonts w:ascii="Arial" w:hAnsi="Arial" w:cs="Arial"/>
          <w:sz w:val="22"/>
          <w:szCs w:val="22"/>
          <w:u w:color="000000"/>
        </w:rPr>
        <w:t xml:space="preserve"> en cuanto a que ninguna forma de reparación podría devolverle o </w:t>
      </w:r>
      <w:r w:rsidR="00321DE1" w:rsidRPr="00321DE1">
        <w:rPr>
          <w:rFonts w:ascii="Arial" w:hAnsi="Arial" w:cs="Arial"/>
          <w:sz w:val="22"/>
          <w:szCs w:val="22"/>
          <w:u w:color="000000"/>
        </w:rPr>
        <w:t>proporcionarle las opciones de realización personal de las que se vio injustamente privado el señor Wilson Gutiérrez Soler</w:t>
      </w:r>
      <w:r w:rsidR="00D35A48" w:rsidRPr="00D35A48">
        <w:rPr>
          <w:rStyle w:val="Refdenotaalpie"/>
          <w:rFonts w:ascii="Arial" w:hAnsi="Arial" w:cs="Arial"/>
          <w:sz w:val="22"/>
          <w:szCs w:val="22"/>
          <w:u w:color="000000"/>
        </w:rPr>
        <w:t xml:space="preserve"> </w:t>
      </w:r>
      <w:r w:rsidR="00D35A48">
        <w:rPr>
          <w:rStyle w:val="Refdenotaalpie"/>
          <w:rFonts w:ascii="Arial" w:hAnsi="Arial" w:cs="Arial"/>
          <w:sz w:val="22"/>
          <w:szCs w:val="22"/>
          <w:u w:color="000000"/>
        </w:rPr>
        <w:footnoteReference w:id="38"/>
      </w:r>
      <w:r w:rsidR="00D35A48" w:rsidRPr="00321DE1">
        <w:rPr>
          <w:rFonts w:ascii="Arial" w:hAnsi="Arial" w:cs="Arial"/>
          <w:sz w:val="22"/>
          <w:szCs w:val="22"/>
          <w:u w:color="000000"/>
        </w:rPr>
        <w:t>.</w:t>
      </w:r>
    </w:p>
    <w:p w:rsidR="00AD346E" w:rsidRDefault="00AD346E" w:rsidP="00D630EF">
      <w:pPr>
        <w:pStyle w:val="Body1"/>
        <w:spacing w:before="20" w:line="360" w:lineRule="auto"/>
        <w:outlineLvl w:val="0"/>
        <w:rPr>
          <w:rFonts w:ascii="Arial" w:hAnsi="Arial" w:cs="Arial"/>
          <w:sz w:val="22"/>
          <w:szCs w:val="22"/>
          <w:u w:color="000000"/>
        </w:rPr>
      </w:pPr>
    </w:p>
    <w:p w:rsidR="001B43D5" w:rsidRDefault="00E46512" w:rsidP="0076710C">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El Juez Oliver </w:t>
      </w:r>
      <w:proofErr w:type="spellStart"/>
      <w:r>
        <w:rPr>
          <w:rFonts w:ascii="Arial" w:hAnsi="Arial" w:cs="Arial"/>
          <w:sz w:val="22"/>
          <w:szCs w:val="22"/>
          <w:u w:color="000000"/>
        </w:rPr>
        <w:t>Jackman</w:t>
      </w:r>
      <w:proofErr w:type="spellEnd"/>
      <w:r>
        <w:rPr>
          <w:rFonts w:ascii="Arial" w:hAnsi="Arial" w:cs="Arial"/>
          <w:sz w:val="22"/>
          <w:szCs w:val="22"/>
          <w:u w:color="000000"/>
        </w:rPr>
        <w:t xml:space="preserve"> e</w:t>
      </w:r>
      <w:r w:rsidR="001B43D5">
        <w:rPr>
          <w:rFonts w:ascii="Arial" w:hAnsi="Arial" w:cs="Arial"/>
          <w:sz w:val="22"/>
          <w:szCs w:val="22"/>
          <w:u w:color="000000"/>
        </w:rPr>
        <w:t xml:space="preserve">n </w:t>
      </w:r>
      <w:r>
        <w:rPr>
          <w:rFonts w:ascii="Arial" w:hAnsi="Arial" w:cs="Arial"/>
          <w:sz w:val="22"/>
          <w:szCs w:val="22"/>
          <w:u w:color="000000"/>
        </w:rPr>
        <w:t>su voto razonado concurrente</w:t>
      </w:r>
      <w:r w:rsidR="001B43D5">
        <w:rPr>
          <w:rFonts w:ascii="Arial" w:hAnsi="Arial" w:cs="Arial"/>
          <w:sz w:val="22"/>
          <w:szCs w:val="22"/>
          <w:u w:color="000000"/>
        </w:rPr>
        <w:t xml:space="preserve"> en el caso Gutiérrez Soler expresa que la Corte IDH ha decidido no cuantificar el daño al proyecto de vida en términos económicos, indica además que en el caso Loayza Tamayo, el Tribunal  reconoció la existencia de un daño grave al proyecto de vida, sin embargo sostuvo que </w:t>
      </w:r>
      <w:r w:rsidR="001B43D5" w:rsidRPr="00687611">
        <w:rPr>
          <w:rFonts w:ascii="Arial" w:hAnsi="Arial" w:cs="Arial"/>
          <w:i/>
          <w:sz w:val="22"/>
          <w:szCs w:val="22"/>
          <w:u w:color="000000"/>
        </w:rPr>
        <w:t>“la evolución de la jurisprudencia y la do</w:t>
      </w:r>
      <w:r w:rsidR="00AC4E0B" w:rsidRPr="00687611">
        <w:rPr>
          <w:rFonts w:ascii="Arial" w:hAnsi="Arial" w:cs="Arial"/>
          <w:i/>
          <w:sz w:val="22"/>
          <w:szCs w:val="22"/>
          <w:u w:color="000000"/>
        </w:rPr>
        <w:t>ctrina hasta la fecha no permitió</w:t>
      </w:r>
      <w:r w:rsidR="001B43D5" w:rsidRPr="00687611">
        <w:rPr>
          <w:rFonts w:ascii="Arial" w:hAnsi="Arial" w:cs="Arial"/>
          <w:i/>
          <w:sz w:val="22"/>
          <w:szCs w:val="22"/>
          <w:u w:color="000000"/>
        </w:rPr>
        <w:t xml:space="preserve"> traducir este reconocimiento en términos económicos”</w:t>
      </w:r>
      <w:r w:rsidR="00F1765B">
        <w:rPr>
          <w:rFonts w:ascii="Arial" w:hAnsi="Arial" w:cs="Arial"/>
          <w:sz w:val="22"/>
          <w:szCs w:val="22"/>
          <w:u w:color="000000"/>
        </w:rPr>
        <w:t>,</w:t>
      </w:r>
      <w:r w:rsidR="001B43D5">
        <w:rPr>
          <w:rFonts w:ascii="Arial" w:hAnsi="Arial" w:cs="Arial"/>
          <w:sz w:val="22"/>
          <w:szCs w:val="22"/>
          <w:u w:color="000000"/>
        </w:rPr>
        <w:t xml:space="preserve">  </w:t>
      </w:r>
      <w:r w:rsidR="00F27A8C">
        <w:rPr>
          <w:rFonts w:ascii="Arial" w:hAnsi="Arial" w:cs="Arial"/>
          <w:sz w:val="22"/>
          <w:szCs w:val="22"/>
          <w:u w:color="000000"/>
        </w:rPr>
        <w:t xml:space="preserve">a </w:t>
      </w:r>
      <w:r w:rsidR="00F1765B">
        <w:rPr>
          <w:rFonts w:ascii="Arial" w:hAnsi="Arial" w:cs="Arial"/>
          <w:sz w:val="22"/>
          <w:szCs w:val="22"/>
          <w:u w:color="000000"/>
        </w:rPr>
        <w:t>pesar de ello, agrega</w:t>
      </w:r>
      <w:r w:rsidR="00F27A8C">
        <w:rPr>
          <w:rFonts w:ascii="Arial" w:hAnsi="Arial" w:cs="Arial"/>
          <w:sz w:val="22"/>
          <w:szCs w:val="22"/>
          <w:u w:color="000000"/>
        </w:rPr>
        <w:t xml:space="preserve"> el Juez, la Corte IDH ha ido</w:t>
      </w:r>
      <w:r w:rsidR="001B43D5">
        <w:rPr>
          <w:rFonts w:ascii="Arial" w:hAnsi="Arial" w:cs="Arial"/>
          <w:sz w:val="22"/>
          <w:szCs w:val="22"/>
          <w:u w:color="000000"/>
        </w:rPr>
        <w:t xml:space="preserve"> </w:t>
      </w:r>
      <w:r w:rsidR="00F27A8C">
        <w:rPr>
          <w:rFonts w:ascii="Arial" w:hAnsi="Arial" w:cs="Arial"/>
          <w:sz w:val="22"/>
          <w:szCs w:val="22"/>
          <w:u w:color="000000"/>
        </w:rPr>
        <w:t xml:space="preserve">moderando </w:t>
      </w:r>
      <w:r w:rsidR="001B43D5">
        <w:rPr>
          <w:rFonts w:ascii="Arial" w:hAnsi="Arial" w:cs="Arial"/>
          <w:sz w:val="22"/>
          <w:szCs w:val="22"/>
          <w:u w:color="000000"/>
        </w:rPr>
        <w:t>su reticencia en estos casos</w:t>
      </w:r>
      <w:r w:rsidR="00F27A8C">
        <w:rPr>
          <w:rFonts w:ascii="Arial" w:hAnsi="Arial" w:cs="Arial"/>
          <w:sz w:val="22"/>
          <w:szCs w:val="22"/>
          <w:u w:color="000000"/>
        </w:rPr>
        <w:t>,</w:t>
      </w:r>
      <w:r w:rsidR="001B43D5">
        <w:rPr>
          <w:rFonts w:ascii="Arial" w:hAnsi="Arial" w:cs="Arial"/>
          <w:sz w:val="22"/>
          <w:szCs w:val="22"/>
          <w:u w:color="000000"/>
        </w:rPr>
        <w:t xml:space="preserve"> </w:t>
      </w:r>
      <w:r w:rsidR="00F27A8C">
        <w:rPr>
          <w:rFonts w:ascii="Arial" w:hAnsi="Arial" w:cs="Arial"/>
          <w:sz w:val="22"/>
          <w:szCs w:val="22"/>
          <w:u w:color="000000"/>
        </w:rPr>
        <w:t xml:space="preserve">por ejemplo en el </w:t>
      </w:r>
      <w:r w:rsidR="001B43D5">
        <w:rPr>
          <w:rFonts w:ascii="Arial" w:hAnsi="Arial" w:cs="Arial"/>
          <w:sz w:val="22"/>
          <w:szCs w:val="22"/>
          <w:u w:color="000000"/>
        </w:rPr>
        <w:t xml:space="preserve">caso Cantoral Benavides </w:t>
      </w:r>
      <w:r w:rsidR="00F27A8C">
        <w:rPr>
          <w:rFonts w:ascii="Arial" w:hAnsi="Arial" w:cs="Arial"/>
          <w:sz w:val="22"/>
          <w:szCs w:val="22"/>
          <w:u w:color="000000"/>
        </w:rPr>
        <w:t xml:space="preserve">ordenó </w:t>
      </w:r>
      <w:r w:rsidR="001B43D5">
        <w:rPr>
          <w:rFonts w:ascii="Arial" w:hAnsi="Arial" w:cs="Arial"/>
          <w:sz w:val="22"/>
          <w:szCs w:val="22"/>
          <w:u w:color="000000"/>
        </w:rPr>
        <w:t xml:space="preserve">que: </w:t>
      </w:r>
      <w:r w:rsidR="001B43D5" w:rsidRPr="00687611">
        <w:rPr>
          <w:rFonts w:ascii="Arial" w:hAnsi="Arial" w:cs="Arial"/>
          <w:i/>
          <w:sz w:val="22"/>
          <w:szCs w:val="22"/>
          <w:u w:color="000000"/>
        </w:rPr>
        <w:t>“la vía más idónea para restablecer el proyecto de vida de Luis Alberto Cantoral Benavides consiste en que el Estado le proporcione una beca de estudios superiores o universitarios […] en un centro de reconocida calidad académica”</w:t>
      </w:r>
      <w:r w:rsidR="005C384A">
        <w:rPr>
          <w:rStyle w:val="Refdenotaalpie"/>
          <w:rFonts w:ascii="Arial" w:hAnsi="Arial" w:cs="Arial"/>
          <w:i/>
          <w:sz w:val="22"/>
          <w:szCs w:val="22"/>
          <w:u w:color="000000"/>
        </w:rPr>
        <w:footnoteReference w:id="39"/>
      </w:r>
      <w:r w:rsidR="001B43D5" w:rsidRPr="00687611">
        <w:rPr>
          <w:rFonts w:ascii="Arial" w:hAnsi="Arial" w:cs="Arial"/>
          <w:i/>
          <w:sz w:val="22"/>
          <w:szCs w:val="22"/>
          <w:u w:color="000000"/>
        </w:rPr>
        <w:t>.</w:t>
      </w:r>
    </w:p>
    <w:p w:rsidR="00F27A8C" w:rsidRDefault="001B43D5" w:rsidP="001B43D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w:t>
      </w:r>
    </w:p>
    <w:p w:rsidR="001B43D5" w:rsidRDefault="00F27A8C" w:rsidP="0076710C">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En el caso </w:t>
      </w:r>
      <w:proofErr w:type="spellStart"/>
      <w:r>
        <w:rPr>
          <w:rFonts w:ascii="Arial" w:hAnsi="Arial" w:cs="Arial"/>
          <w:sz w:val="22"/>
          <w:szCs w:val="22"/>
          <w:u w:color="000000"/>
        </w:rPr>
        <w:t>Furlán</w:t>
      </w:r>
      <w:proofErr w:type="spellEnd"/>
      <w:r>
        <w:rPr>
          <w:rFonts w:ascii="Arial" w:hAnsi="Arial" w:cs="Arial"/>
          <w:sz w:val="22"/>
          <w:szCs w:val="22"/>
          <w:u w:color="000000"/>
        </w:rPr>
        <w:t xml:space="preserve"> y Familiares vs. Argentina la Corte respecto a este punto señaló que </w:t>
      </w:r>
      <w:r w:rsidR="008C23E4">
        <w:rPr>
          <w:rFonts w:ascii="Arial" w:hAnsi="Arial" w:cs="Arial"/>
          <w:sz w:val="22"/>
          <w:szCs w:val="22"/>
          <w:u w:color="000000"/>
        </w:rPr>
        <w:t xml:space="preserve">el proyecto de vida </w:t>
      </w:r>
      <w:r w:rsidRPr="00F27A8C">
        <w:rPr>
          <w:rFonts w:ascii="Arial" w:hAnsi="Arial" w:cs="Arial"/>
          <w:sz w:val="22"/>
          <w:szCs w:val="22"/>
          <w:u w:color="000000"/>
        </w:rPr>
        <w:t xml:space="preserve">atiende a la realización integral de la persona afectada, considerando su vocación, aptitudes, circunstancias, potencialidades y aspiraciones, que le </w:t>
      </w:r>
      <w:r w:rsidR="00687611">
        <w:rPr>
          <w:rFonts w:ascii="Arial" w:hAnsi="Arial" w:cs="Arial"/>
          <w:sz w:val="22"/>
          <w:szCs w:val="22"/>
          <w:u w:color="000000"/>
        </w:rPr>
        <w:t xml:space="preserve">permiten fijarse razonablemente </w:t>
      </w:r>
      <w:r w:rsidRPr="00F27A8C">
        <w:rPr>
          <w:rFonts w:ascii="Arial" w:hAnsi="Arial" w:cs="Arial"/>
          <w:sz w:val="22"/>
          <w:szCs w:val="22"/>
          <w:u w:color="000000"/>
        </w:rPr>
        <w:t>determinadas expectativas y acceder a ellas</w:t>
      </w:r>
      <w:r w:rsidR="008C23E4">
        <w:rPr>
          <w:rFonts w:ascii="Arial" w:hAnsi="Arial" w:cs="Arial"/>
          <w:sz w:val="22"/>
          <w:szCs w:val="22"/>
          <w:u w:color="000000"/>
        </w:rPr>
        <w:t>. Menciona además que el daño al proyecto de vida</w:t>
      </w:r>
      <w:r w:rsidR="008C23E4" w:rsidRPr="008C23E4">
        <w:rPr>
          <w:rFonts w:ascii="Arial" w:hAnsi="Arial" w:cs="Arial"/>
          <w:sz w:val="22"/>
          <w:szCs w:val="22"/>
          <w:u w:color="000000"/>
        </w:rPr>
        <w:t xml:space="preserve"> implica la pérdida o el grave menoscabo de oportunidades de desarrollo personal, en forma irreparable o muy difícilmente reparable</w:t>
      </w:r>
      <w:r w:rsidR="008C23E4">
        <w:rPr>
          <w:rFonts w:ascii="Arial" w:hAnsi="Arial" w:cs="Arial"/>
          <w:sz w:val="22"/>
          <w:szCs w:val="22"/>
          <w:u w:color="000000"/>
        </w:rPr>
        <w:t xml:space="preserve">, dichos daños </w:t>
      </w:r>
      <w:r w:rsidR="008C23E4" w:rsidRPr="008C23E4">
        <w:rPr>
          <w:rFonts w:ascii="Arial" w:hAnsi="Arial" w:cs="Arial"/>
          <w:sz w:val="22"/>
          <w:szCs w:val="22"/>
          <w:u w:color="000000"/>
        </w:rPr>
        <w:t>se deriva</w:t>
      </w:r>
      <w:r w:rsidR="008C23E4">
        <w:rPr>
          <w:rFonts w:ascii="Arial" w:hAnsi="Arial" w:cs="Arial"/>
          <w:sz w:val="22"/>
          <w:szCs w:val="22"/>
          <w:u w:color="000000"/>
        </w:rPr>
        <w:t>n</w:t>
      </w:r>
      <w:r w:rsidR="008C23E4" w:rsidRPr="008C23E4">
        <w:rPr>
          <w:rFonts w:ascii="Arial" w:hAnsi="Arial" w:cs="Arial"/>
          <w:sz w:val="22"/>
          <w:szCs w:val="22"/>
          <w:u w:color="000000"/>
        </w:rPr>
        <w:t xml:space="preserve"> de las limitaciones sufridas por una persona para relacionarse y </w:t>
      </w:r>
      <w:r w:rsidR="008C23E4" w:rsidRPr="008C23E4">
        <w:rPr>
          <w:rFonts w:ascii="Arial" w:hAnsi="Arial" w:cs="Arial"/>
          <w:sz w:val="22"/>
          <w:szCs w:val="22"/>
          <w:u w:color="000000"/>
        </w:rPr>
        <w:lastRenderedPageBreak/>
        <w:t>gozar de su entorno personal, familiar o social, por lesiones graves de tipo físico, mental, psicológico o emocional</w:t>
      </w:r>
      <w:r w:rsidR="008C23E4">
        <w:rPr>
          <w:rFonts w:ascii="Arial" w:hAnsi="Arial" w:cs="Arial"/>
          <w:sz w:val="22"/>
          <w:szCs w:val="22"/>
          <w:u w:color="000000"/>
        </w:rPr>
        <w:t>. La Corte agrega que la reparación de los daños al proyecto</w:t>
      </w:r>
      <w:r w:rsidR="00AC4E0B">
        <w:rPr>
          <w:rFonts w:ascii="Arial" w:hAnsi="Arial" w:cs="Arial"/>
          <w:sz w:val="22"/>
          <w:szCs w:val="22"/>
          <w:u w:color="000000"/>
        </w:rPr>
        <w:t xml:space="preserve"> de vida va</w:t>
      </w:r>
      <w:r w:rsidR="008C23E4">
        <w:rPr>
          <w:rFonts w:ascii="Arial" w:hAnsi="Arial" w:cs="Arial"/>
          <w:sz w:val="22"/>
          <w:szCs w:val="22"/>
          <w:u w:color="000000"/>
        </w:rPr>
        <w:t xml:space="preserve"> </w:t>
      </w:r>
      <w:r w:rsidR="00AC4E0B">
        <w:rPr>
          <w:rFonts w:ascii="Arial" w:hAnsi="Arial" w:cs="Arial"/>
          <w:sz w:val="22"/>
          <w:szCs w:val="22"/>
          <w:u w:color="000000"/>
        </w:rPr>
        <w:t>más</w:t>
      </w:r>
      <w:r w:rsidR="008C23E4">
        <w:rPr>
          <w:rFonts w:ascii="Arial" w:hAnsi="Arial" w:cs="Arial"/>
          <w:sz w:val="22"/>
          <w:szCs w:val="22"/>
          <w:u w:color="000000"/>
        </w:rPr>
        <w:t xml:space="preserve"> allá de la indemnización económica y que debe ser acompañada de otras medidas para garantizar una reparación integral</w:t>
      </w:r>
      <w:r w:rsidR="008C23E4">
        <w:rPr>
          <w:rStyle w:val="Refdenotaalpie"/>
          <w:rFonts w:ascii="Arial" w:hAnsi="Arial" w:cs="Arial"/>
          <w:sz w:val="22"/>
          <w:szCs w:val="22"/>
          <w:u w:color="000000"/>
        </w:rPr>
        <w:footnoteReference w:id="40"/>
      </w:r>
      <w:r w:rsidR="008C23E4">
        <w:rPr>
          <w:rFonts w:ascii="Arial" w:hAnsi="Arial" w:cs="Arial"/>
          <w:sz w:val="22"/>
          <w:szCs w:val="22"/>
          <w:u w:color="000000"/>
        </w:rPr>
        <w:t>. En resientes causas la Corte ha valorado este daño y lo ha reparado</w:t>
      </w:r>
      <w:r w:rsidR="008C23E4">
        <w:rPr>
          <w:rStyle w:val="Refdenotaalpie"/>
          <w:rFonts w:ascii="Arial" w:hAnsi="Arial" w:cs="Arial"/>
          <w:sz w:val="22"/>
          <w:szCs w:val="22"/>
          <w:u w:color="000000"/>
        </w:rPr>
        <w:footnoteReference w:id="41"/>
      </w:r>
      <w:r w:rsidR="00117D15">
        <w:rPr>
          <w:rFonts w:ascii="Arial" w:hAnsi="Arial" w:cs="Arial"/>
          <w:sz w:val="22"/>
          <w:szCs w:val="22"/>
          <w:u w:color="000000"/>
        </w:rPr>
        <w:t>.</w:t>
      </w:r>
      <w:r w:rsidR="008C23E4">
        <w:rPr>
          <w:rFonts w:ascii="Arial" w:hAnsi="Arial" w:cs="Arial"/>
          <w:sz w:val="22"/>
          <w:szCs w:val="22"/>
          <w:u w:color="000000"/>
        </w:rPr>
        <w:t xml:space="preserve">   </w:t>
      </w:r>
      <w:r w:rsidR="001B43D5">
        <w:rPr>
          <w:rFonts w:ascii="Arial" w:hAnsi="Arial" w:cs="Arial"/>
          <w:sz w:val="22"/>
          <w:szCs w:val="22"/>
          <w:u w:color="000000"/>
        </w:rPr>
        <w:t xml:space="preserve">  </w:t>
      </w:r>
    </w:p>
    <w:p w:rsidR="008C23E4" w:rsidRDefault="008C23E4" w:rsidP="001B43D5">
      <w:pPr>
        <w:pStyle w:val="Body1"/>
        <w:spacing w:before="20" w:line="360" w:lineRule="auto"/>
        <w:jc w:val="both"/>
        <w:outlineLvl w:val="0"/>
        <w:rPr>
          <w:rFonts w:ascii="Arial" w:hAnsi="Arial" w:cs="Arial"/>
          <w:sz w:val="22"/>
          <w:szCs w:val="22"/>
          <w:u w:color="000000"/>
        </w:rPr>
      </w:pPr>
    </w:p>
    <w:p w:rsidR="00F1765B" w:rsidRDefault="00EB6D5C" w:rsidP="0076710C">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Acerca de que el proyecto de vida deba</w:t>
      </w:r>
      <w:r w:rsidR="00F1765B">
        <w:rPr>
          <w:rFonts w:ascii="Arial" w:hAnsi="Arial" w:cs="Arial"/>
          <w:sz w:val="22"/>
          <w:szCs w:val="22"/>
          <w:u w:color="000000"/>
        </w:rPr>
        <w:t xml:space="preserve"> ser reparado de forma económica, no existen declaraciones expresas por parte de la Corte IDH, lo que es seguro es que las personas tienen derecho a un proyecto de vida que va constituyéndose según sus circunstancias personales y sus potencialidades, el volver a encaminar a una persona a cumplir su proyecto de vida cuando este se ha visto comprometido por la violación a sus derechos humanos conlleva un análisis profundo de quienes tienen la atribución de impartir justicia, es necesario que tanto la jurisprudencia y la doctrina desarrollen</w:t>
      </w:r>
      <w:r w:rsidR="00413586">
        <w:rPr>
          <w:rFonts w:ascii="Arial" w:hAnsi="Arial" w:cs="Arial"/>
          <w:sz w:val="22"/>
          <w:szCs w:val="22"/>
          <w:u w:color="000000"/>
        </w:rPr>
        <w:t xml:space="preserve"> mecanismos para su reparación</w:t>
      </w:r>
      <w:r w:rsidR="00EF16A4">
        <w:rPr>
          <w:rFonts w:ascii="Arial" w:hAnsi="Arial" w:cs="Arial"/>
          <w:sz w:val="22"/>
          <w:szCs w:val="22"/>
          <w:u w:color="000000"/>
        </w:rPr>
        <w:t>, tomando en cuenta el desarrollo progresivo que deben tener los derechos humanos</w:t>
      </w:r>
      <w:r w:rsidR="00610343">
        <w:rPr>
          <w:rStyle w:val="Refdenotaalpie"/>
          <w:rFonts w:ascii="Arial" w:hAnsi="Arial" w:cs="Arial"/>
          <w:sz w:val="22"/>
          <w:szCs w:val="22"/>
          <w:u w:color="000000"/>
        </w:rPr>
        <w:footnoteReference w:id="42"/>
      </w:r>
      <w:r w:rsidR="00EF16A4">
        <w:rPr>
          <w:rFonts w:ascii="Arial" w:hAnsi="Arial" w:cs="Arial"/>
          <w:sz w:val="22"/>
          <w:szCs w:val="22"/>
          <w:u w:color="000000"/>
        </w:rPr>
        <w:t>.</w:t>
      </w:r>
      <w:r w:rsidR="00F1765B">
        <w:rPr>
          <w:rFonts w:ascii="Arial" w:hAnsi="Arial" w:cs="Arial"/>
          <w:sz w:val="22"/>
          <w:szCs w:val="22"/>
          <w:u w:color="000000"/>
        </w:rPr>
        <w:t xml:space="preserve">  </w:t>
      </w:r>
    </w:p>
    <w:p w:rsidR="00F1765B" w:rsidRPr="00D630EF" w:rsidRDefault="00F1765B" w:rsidP="001B43D5">
      <w:pPr>
        <w:pStyle w:val="Body1"/>
        <w:spacing w:before="20" w:line="360" w:lineRule="auto"/>
        <w:jc w:val="both"/>
        <w:outlineLvl w:val="0"/>
        <w:rPr>
          <w:rFonts w:ascii="Arial" w:hAnsi="Arial" w:cs="Arial"/>
          <w:sz w:val="22"/>
          <w:szCs w:val="22"/>
          <w:u w:color="000000"/>
        </w:rPr>
      </w:pPr>
    </w:p>
    <w:p w:rsidR="00AD346E" w:rsidRPr="0076710C" w:rsidRDefault="00102AD1" w:rsidP="00B656C2">
      <w:pPr>
        <w:pStyle w:val="Body1"/>
        <w:numPr>
          <w:ilvl w:val="1"/>
          <w:numId w:val="7"/>
        </w:numPr>
        <w:spacing w:before="20" w:line="360" w:lineRule="auto"/>
        <w:jc w:val="both"/>
        <w:outlineLvl w:val="1"/>
        <w:rPr>
          <w:rFonts w:ascii="Arial" w:hAnsi="Arial" w:cs="Arial"/>
          <w:b/>
          <w:szCs w:val="24"/>
          <w:u w:color="000000"/>
        </w:rPr>
      </w:pPr>
      <w:bookmarkStart w:id="9" w:name="_Toc356432246"/>
      <w:r>
        <w:rPr>
          <w:rFonts w:ascii="Arial" w:hAnsi="Arial" w:cs="Arial"/>
          <w:b/>
          <w:szCs w:val="24"/>
          <w:u w:color="000000"/>
        </w:rPr>
        <w:t>T</w:t>
      </w:r>
      <w:r w:rsidRPr="0076710C">
        <w:rPr>
          <w:rFonts w:ascii="Arial" w:hAnsi="Arial" w:cs="Arial"/>
          <w:b/>
          <w:szCs w:val="24"/>
          <w:u w:color="000000"/>
        </w:rPr>
        <w:t>itulares y sujetos del derecho a la reparación</w:t>
      </w:r>
      <w:bookmarkEnd w:id="9"/>
      <w:r w:rsidRPr="0076710C">
        <w:rPr>
          <w:rFonts w:ascii="Arial" w:hAnsi="Arial" w:cs="Arial"/>
          <w:b/>
          <w:szCs w:val="24"/>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C4E0B" w:rsidP="0076710C">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los</w:t>
      </w:r>
      <w:r w:rsidR="00AD346E" w:rsidRPr="00D630EF">
        <w:rPr>
          <w:rFonts w:ascii="Arial" w:hAnsi="Arial" w:cs="Arial"/>
          <w:sz w:val="22"/>
          <w:szCs w:val="22"/>
          <w:u w:color="000000"/>
        </w:rPr>
        <w:t xml:space="preserve"> caso</w:t>
      </w:r>
      <w:r>
        <w:rPr>
          <w:rFonts w:ascii="Arial" w:hAnsi="Arial" w:cs="Arial"/>
          <w:sz w:val="22"/>
          <w:szCs w:val="22"/>
          <w:u w:color="000000"/>
        </w:rPr>
        <w:t>s</w:t>
      </w:r>
      <w:r w:rsidR="00AD346E" w:rsidRPr="00D630EF">
        <w:rPr>
          <w:rFonts w:ascii="Arial" w:hAnsi="Arial" w:cs="Arial"/>
          <w:sz w:val="22"/>
          <w:szCs w:val="22"/>
          <w:u w:color="000000"/>
        </w:rPr>
        <w:t xml:space="preserve"> </w:t>
      </w:r>
      <w:r>
        <w:rPr>
          <w:rFonts w:ascii="Arial" w:hAnsi="Arial" w:cs="Arial"/>
          <w:sz w:val="22"/>
          <w:szCs w:val="22"/>
          <w:u w:color="000000"/>
        </w:rPr>
        <w:t>d</w:t>
      </w:r>
      <w:r w:rsidR="00AD346E" w:rsidRPr="00D630EF">
        <w:rPr>
          <w:rFonts w:ascii="Arial" w:hAnsi="Arial" w:cs="Arial"/>
          <w:sz w:val="22"/>
          <w:szCs w:val="22"/>
          <w:u w:color="000000"/>
        </w:rPr>
        <w:t xml:space="preserve">e vulneración a los derechos humanos encontramos víctimas que </w:t>
      </w:r>
      <w:r>
        <w:rPr>
          <w:rFonts w:ascii="Arial" w:hAnsi="Arial" w:cs="Arial"/>
          <w:sz w:val="22"/>
          <w:szCs w:val="22"/>
          <w:u w:color="000000"/>
        </w:rPr>
        <w:t xml:space="preserve">siempre </w:t>
      </w:r>
      <w:r w:rsidR="00AD346E" w:rsidRPr="00D630EF">
        <w:rPr>
          <w:rFonts w:ascii="Arial" w:hAnsi="Arial" w:cs="Arial"/>
          <w:sz w:val="22"/>
          <w:szCs w:val="22"/>
          <w:u w:color="000000"/>
        </w:rPr>
        <w:t>son particulares y victimarios q</w:t>
      </w:r>
      <w:r w:rsidR="00064C67">
        <w:rPr>
          <w:rFonts w:ascii="Arial" w:hAnsi="Arial" w:cs="Arial"/>
          <w:sz w:val="22"/>
          <w:szCs w:val="22"/>
          <w:u w:color="000000"/>
        </w:rPr>
        <w:t xml:space="preserve">ue pueden </w:t>
      </w:r>
      <w:r>
        <w:rPr>
          <w:rFonts w:ascii="Arial" w:hAnsi="Arial" w:cs="Arial"/>
          <w:sz w:val="22"/>
          <w:szCs w:val="22"/>
          <w:u w:color="000000"/>
        </w:rPr>
        <w:t xml:space="preserve">ser </w:t>
      </w:r>
      <w:r w:rsidR="00064C67">
        <w:rPr>
          <w:rFonts w:ascii="Arial" w:hAnsi="Arial" w:cs="Arial"/>
          <w:sz w:val="22"/>
          <w:szCs w:val="22"/>
          <w:u w:color="000000"/>
        </w:rPr>
        <w:t>los</w:t>
      </w:r>
      <w:r w:rsidR="00AD346E" w:rsidRPr="00D630EF">
        <w:rPr>
          <w:rFonts w:ascii="Arial" w:hAnsi="Arial" w:cs="Arial"/>
          <w:sz w:val="22"/>
          <w:szCs w:val="22"/>
          <w:u w:color="000000"/>
        </w:rPr>
        <w:t xml:space="preserve"> Estados</w:t>
      </w:r>
      <w:r w:rsidR="00064C67">
        <w:rPr>
          <w:rFonts w:ascii="Arial" w:hAnsi="Arial" w:cs="Arial"/>
          <w:sz w:val="22"/>
          <w:szCs w:val="22"/>
          <w:u w:color="000000"/>
        </w:rPr>
        <w:t xml:space="preserve"> o particulares</w:t>
      </w:r>
      <w:r>
        <w:rPr>
          <w:rFonts w:ascii="Arial" w:hAnsi="Arial" w:cs="Arial"/>
          <w:sz w:val="22"/>
          <w:szCs w:val="22"/>
          <w:u w:color="000000"/>
        </w:rPr>
        <w:t>;</w:t>
      </w:r>
      <w:r w:rsidR="00AD346E" w:rsidRPr="00D630EF">
        <w:rPr>
          <w:rFonts w:ascii="Arial" w:hAnsi="Arial" w:cs="Arial"/>
          <w:sz w:val="22"/>
          <w:szCs w:val="22"/>
          <w:u w:color="000000"/>
        </w:rPr>
        <w:t xml:space="preserve"> existen casos en </w:t>
      </w:r>
      <w:r>
        <w:rPr>
          <w:rFonts w:ascii="Arial" w:hAnsi="Arial" w:cs="Arial"/>
          <w:sz w:val="22"/>
          <w:szCs w:val="22"/>
          <w:u w:color="000000"/>
        </w:rPr>
        <w:t xml:space="preserve">que </w:t>
      </w:r>
      <w:r w:rsidR="00AD346E" w:rsidRPr="00D630EF">
        <w:rPr>
          <w:rFonts w:ascii="Arial" w:hAnsi="Arial" w:cs="Arial"/>
          <w:sz w:val="22"/>
          <w:szCs w:val="22"/>
          <w:u w:color="000000"/>
        </w:rPr>
        <w:t>las víctimas pueden volverse victimarios por hechos de venganza, un ejemplo es el caso del conflicto armado en Colombia. Cuando no existe una clara diferenciación  entre los sujetos</w:t>
      </w:r>
      <w:r>
        <w:rPr>
          <w:rFonts w:ascii="Arial" w:hAnsi="Arial" w:cs="Arial"/>
          <w:sz w:val="22"/>
          <w:szCs w:val="22"/>
          <w:u w:color="000000"/>
        </w:rPr>
        <w:t>,</w:t>
      </w:r>
      <w:r w:rsidR="00AD346E" w:rsidRPr="00D630EF">
        <w:rPr>
          <w:rFonts w:ascii="Arial" w:hAnsi="Arial" w:cs="Arial"/>
          <w:sz w:val="22"/>
          <w:szCs w:val="22"/>
          <w:u w:color="000000"/>
        </w:rPr>
        <w:t xml:space="preserve"> la resolución de los casos reviste mayores dificultades pues se debe hacer una ponderación del poder que cada sujeto detenta. Así entonces cuando el Estado es victimario se observa una desmedida diferencia de poder, pero cuando los particulares en papel de victimarios adquieren importantes cuotas de poder también pueden causar graves daños.</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La víctima es el titular de los derechos humanos vulnerad</w:t>
      </w:r>
      <w:r w:rsidR="00AC4E0B">
        <w:rPr>
          <w:rFonts w:ascii="Arial" w:hAnsi="Arial" w:cs="Arial"/>
          <w:sz w:val="22"/>
          <w:szCs w:val="22"/>
          <w:u w:color="000000"/>
        </w:rPr>
        <w:t xml:space="preserve">os, esta afectación le da derecho a un recurso efectivo para </w:t>
      </w:r>
      <w:r w:rsidR="001905F3">
        <w:rPr>
          <w:rFonts w:ascii="Arial" w:hAnsi="Arial" w:cs="Arial"/>
          <w:sz w:val="22"/>
          <w:szCs w:val="22"/>
          <w:u w:color="000000"/>
        </w:rPr>
        <w:t>que se le reparen los daños causados</w:t>
      </w:r>
      <w:r w:rsidRPr="00D630EF">
        <w:rPr>
          <w:rFonts w:ascii="Arial" w:hAnsi="Arial" w:cs="Arial"/>
          <w:sz w:val="22"/>
          <w:szCs w:val="22"/>
          <w:u w:color="000000"/>
        </w:rPr>
        <w:t xml:space="preserve">. La legitimación </w:t>
      </w:r>
      <w:r w:rsidRPr="00D630EF">
        <w:rPr>
          <w:rFonts w:ascii="Arial" w:hAnsi="Arial" w:cs="Arial"/>
          <w:sz w:val="22"/>
          <w:szCs w:val="22"/>
          <w:u w:color="000000"/>
        </w:rPr>
        <w:lastRenderedPageBreak/>
        <w:t xml:space="preserve">de actuar se extiende a los familiares en los casos en que a las víctimas se les imposibilite su actuación personal. En ciertos casos a los familiares también se les reconoce la calidad de víctimas, </w:t>
      </w:r>
      <w:r w:rsidR="001905F3">
        <w:rPr>
          <w:rFonts w:ascii="Arial" w:hAnsi="Arial" w:cs="Arial"/>
          <w:sz w:val="22"/>
          <w:szCs w:val="22"/>
          <w:u w:color="000000"/>
        </w:rPr>
        <w:t>y por lo tanto</w:t>
      </w:r>
      <w:r w:rsidRPr="00D630EF">
        <w:rPr>
          <w:rFonts w:ascii="Arial" w:hAnsi="Arial" w:cs="Arial"/>
          <w:sz w:val="22"/>
          <w:szCs w:val="22"/>
          <w:u w:color="000000"/>
        </w:rPr>
        <w:t xml:space="preserve"> su derecho </w:t>
      </w:r>
      <w:r w:rsidR="00DE10DC">
        <w:rPr>
          <w:rFonts w:ascii="Arial" w:hAnsi="Arial" w:cs="Arial"/>
          <w:sz w:val="22"/>
          <w:szCs w:val="22"/>
          <w:u w:color="000000"/>
        </w:rPr>
        <w:t xml:space="preserve">a </w:t>
      </w:r>
      <w:r w:rsidRPr="00D630EF">
        <w:rPr>
          <w:rFonts w:ascii="Arial" w:hAnsi="Arial" w:cs="Arial"/>
          <w:sz w:val="22"/>
          <w:szCs w:val="22"/>
          <w:u w:color="000000"/>
        </w:rPr>
        <w:t>una reparación integral</w:t>
      </w:r>
      <w:r w:rsidR="00413586">
        <w:rPr>
          <w:rStyle w:val="Refdenotaalpie"/>
          <w:rFonts w:ascii="Arial" w:hAnsi="Arial" w:cs="Arial"/>
          <w:sz w:val="22"/>
          <w:szCs w:val="22"/>
          <w:u w:color="000000"/>
        </w:rPr>
        <w:footnoteReference w:id="43"/>
      </w:r>
      <w:r w:rsidRPr="00D630EF">
        <w:rPr>
          <w:rFonts w:ascii="Arial" w:hAnsi="Arial" w:cs="Arial"/>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Pablo Miguel </w:t>
      </w:r>
      <w:proofErr w:type="spellStart"/>
      <w:r w:rsidRPr="00D630EF">
        <w:rPr>
          <w:rFonts w:ascii="Arial" w:hAnsi="Arial" w:cs="Arial"/>
          <w:sz w:val="22"/>
          <w:szCs w:val="22"/>
          <w:u w:color="000000"/>
        </w:rPr>
        <w:t>Jacoby</w:t>
      </w:r>
      <w:proofErr w:type="spellEnd"/>
      <w:r w:rsidRPr="00D630EF">
        <w:rPr>
          <w:rFonts w:ascii="Arial" w:hAnsi="Arial" w:cs="Arial"/>
          <w:sz w:val="22"/>
          <w:szCs w:val="22"/>
          <w:u w:color="000000"/>
        </w:rPr>
        <w:t xml:space="preserve"> y Hernán Luis </w:t>
      </w:r>
      <w:proofErr w:type="spellStart"/>
      <w:r w:rsidRPr="00D630EF">
        <w:rPr>
          <w:rFonts w:ascii="Arial" w:hAnsi="Arial" w:cs="Arial"/>
          <w:sz w:val="22"/>
          <w:szCs w:val="22"/>
          <w:u w:color="000000"/>
        </w:rPr>
        <w:t>Folgueiro</w:t>
      </w:r>
      <w:proofErr w:type="spellEnd"/>
      <w:r w:rsidRPr="00D630EF">
        <w:rPr>
          <w:rFonts w:ascii="Arial" w:hAnsi="Arial" w:cs="Arial"/>
          <w:sz w:val="22"/>
          <w:szCs w:val="22"/>
          <w:u w:color="000000"/>
        </w:rPr>
        <w:t xml:space="preserve"> consideran que el sujeto pasivo de la violación es doblemente victimizado ya que en primer lugar sus derechos son vulnerados sea por una acción u omisión que puede provenir del Estado o de un particular, en este escenario la víctima busca una respuesta del Estado, la segunda victim</w:t>
      </w:r>
      <w:r w:rsidR="00D225AF">
        <w:rPr>
          <w:rFonts w:ascii="Arial" w:hAnsi="Arial" w:cs="Arial"/>
          <w:sz w:val="22"/>
          <w:szCs w:val="22"/>
          <w:u w:color="000000"/>
        </w:rPr>
        <w:t>iz</w:t>
      </w:r>
      <w:r w:rsidRPr="00D630EF">
        <w:rPr>
          <w:rFonts w:ascii="Arial" w:hAnsi="Arial" w:cs="Arial"/>
          <w:sz w:val="22"/>
          <w:szCs w:val="22"/>
          <w:u w:color="000000"/>
        </w:rPr>
        <w:t>ación se produce cuando el Estado no hace lo suficiente para prevenir, investigar y sancionar la violación producida</w:t>
      </w:r>
      <w:r w:rsidRPr="00D630EF">
        <w:rPr>
          <w:rFonts w:ascii="Arial" w:hAnsi="Arial" w:cs="Arial"/>
          <w:sz w:val="22"/>
          <w:szCs w:val="22"/>
          <w:u w:color="000000"/>
          <w:vertAlign w:val="superscript"/>
        </w:rPr>
        <w:footnoteReference w:id="44"/>
      </w:r>
    </w:p>
    <w:p w:rsidR="00AD346E" w:rsidRPr="00D630EF" w:rsidRDefault="00AD346E" w:rsidP="00D630EF">
      <w:pPr>
        <w:pStyle w:val="Body1"/>
        <w:spacing w:before="20" w:line="360" w:lineRule="auto"/>
        <w:outlineLvl w:val="0"/>
        <w:rPr>
          <w:rFonts w:ascii="Arial" w:hAnsi="Arial" w:cs="Arial"/>
          <w:sz w:val="22"/>
          <w:szCs w:val="22"/>
          <w:u w:color="000000"/>
        </w:rPr>
      </w:pPr>
      <w:r w:rsidRPr="00D630EF">
        <w:rPr>
          <w:rFonts w:ascii="Arial" w:hAnsi="Arial" w:cs="Arial"/>
          <w:sz w:val="22"/>
          <w:szCs w:val="22"/>
          <w:u w:color="000000"/>
        </w:rPr>
        <w:t xml:space="preserve">  </w:t>
      </w:r>
    </w:p>
    <w:p w:rsidR="00AD346E" w:rsidRPr="000F3BC5" w:rsidRDefault="00102AD1" w:rsidP="00B656C2">
      <w:pPr>
        <w:pStyle w:val="Body1"/>
        <w:numPr>
          <w:ilvl w:val="2"/>
          <w:numId w:val="7"/>
        </w:numPr>
        <w:spacing w:before="20" w:line="360" w:lineRule="auto"/>
        <w:outlineLvl w:val="2"/>
        <w:rPr>
          <w:rFonts w:ascii="Arial" w:hAnsi="Arial" w:cs="Arial"/>
          <w:b/>
          <w:sz w:val="22"/>
          <w:szCs w:val="22"/>
          <w:u w:color="000000"/>
        </w:rPr>
      </w:pPr>
      <w:bookmarkStart w:id="10" w:name="_Toc356432247"/>
      <w:r w:rsidRPr="000F3BC5">
        <w:rPr>
          <w:rFonts w:ascii="Arial" w:hAnsi="Arial" w:cs="Arial"/>
          <w:b/>
          <w:sz w:val="22"/>
          <w:szCs w:val="22"/>
          <w:u w:color="000000"/>
        </w:rPr>
        <w:t>¿</w:t>
      </w:r>
      <w:r>
        <w:rPr>
          <w:rFonts w:ascii="Arial" w:hAnsi="Arial" w:cs="Arial"/>
          <w:b/>
          <w:sz w:val="22"/>
          <w:szCs w:val="22"/>
          <w:u w:color="000000"/>
        </w:rPr>
        <w:t>Q</w:t>
      </w:r>
      <w:r w:rsidRPr="000F3BC5">
        <w:rPr>
          <w:rFonts w:ascii="Arial" w:hAnsi="Arial" w:cs="Arial"/>
          <w:b/>
          <w:sz w:val="22"/>
          <w:szCs w:val="22"/>
          <w:u w:color="000000"/>
        </w:rPr>
        <w:t>uiénes son titulares del derecho a la reparación?</w:t>
      </w:r>
      <w:bookmarkEnd w:id="10"/>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La reparación implica necesariamente un acto anterior que es la vulneración a un derecho humano. Tal vulneración genera una víctima. La afectación a un derecho humano puede producir efectos tan devastadores que los familiares de las víctimas pueden adquirir la titularidad del derecho a la reparación. Tal situación se evidencia sobre todo en los casos en que las víctimas han sido asesinadas o desaparecidas, es posible también que en casos de tortura las víctimas mueran posteriormente en medio del proceso de judicialización de los responsables</w:t>
      </w:r>
      <w:r w:rsidR="000D57C3">
        <w:rPr>
          <w:rStyle w:val="Refdenotaalpie"/>
          <w:rFonts w:ascii="Arial" w:hAnsi="Arial" w:cs="Arial"/>
          <w:sz w:val="22"/>
          <w:szCs w:val="22"/>
          <w:u w:color="000000"/>
        </w:rPr>
        <w:footnoteReference w:id="45"/>
      </w:r>
      <w:r w:rsidRPr="00D630EF">
        <w:rPr>
          <w:rFonts w:ascii="Arial" w:hAnsi="Arial" w:cs="Arial"/>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En el </w:t>
      </w:r>
      <w:r w:rsidR="006B2942" w:rsidRPr="00D630EF">
        <w:rPr>
          <w:rFonts w:ascii="Arial" w:hAnsi="Arial" w:cs="Arial"/>
          <w:sz w:val="22"/>
          <w:szCs w:val="22"/>
          <w:u w:color="000000"/>
        </w:rPr>
        <w:t>artículo</w:t>
      </w:r>
      <w:r w:rsidRPr="00D630EF">
        <w:rPr>
          <w:rFonts w:ascii="Arial" w:hAnsi="Arial" w:cs="Arial"/>
          <w:sz w:val="22"/>
          <w:szCs w:val="22"/>
          <w:u w:color="000000"/>
        </w:rPr>
        <w:t xml:space="preserve"> 2 numeral 33 del Reglamento de la Corte Interamericana se define a la víctima como </w:t>
      </w:r>
      <w:r w:rsidRPr="00687611">
        <w:rPr>
          <w:rFonts w:ascii="Arial" w:hAnsi="Arial" w:cs="Arial"/>
          <w:i/>
          <w:sz w:val="22"/>
          <w:szCs w:val="22"/>
          <w:u w:color="000000"/>
        </w:rPr>
        <w:t>"la persona cuyos derechos han sido violados de acuerdo con sentencia proferida por la Corte"</w:t>
      </w:r>
      <w:r w:rsidRPr="00D630EF">
        <w:rPr>
          <w:rFonts w:ascii="Arial" w:hAnsi="Arial" w:cs="Arial"/>
          <w:sz w:val="22"/>
          <w:szCs w:val="22"/>
          <w:u w:color="000000"/>
          <w:vertAlign w:val="superscript"/>
        </w:rPr>
        <w:footnoteReference w:id="46"/>
      </w:r>
      <w:r w:rsidR="00687611">
        <w:rPr>
          <w:rFonts w:ascii="Arial" w:hAnsi="Arial" w:cs="Arial"/>
          <w:sz w:val="22"/>
          <w:szCs w:val="22"/>
          <w:u w:color="000000"/>
        </w:rPr>
        <w:t>.</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En el derecho inte</w:t>
      </w:r>
      <w:r w:rsidR="00540A0B">
        <w:rPr>
          <w:rFonts w:ascii="Arial" w:hAnsi="Arial" w:cs="Arial"/>
          <w:sz w:val="22"/>
          <w:szCs w:val="22"/>
          <w:u w:color="000000"/>
        </w:rPr>
        <w:t>rnacional</w:t>
      </w:r>
      <w:r w:rsidRPr="00D630EF">
        <w:rPr>
          <w:rFonts w:ascii="Arial" w:hAnsi="Arial" w:cs="Arial"/>
          <w:sz w:val="22"/>
          <w:szCs w:val="22"/>
          <w:u w:color="000000"/>
        </w:rPr>
        <w:t xml:space="preserve"> se establece que las </w:t>
      </w:r>
      <w:r w:rsidR="006B2942" w:rsidRPr="00D630EF">
        <w:rPr>
          <w:rFonts w:ascii="Arial" w:hAnsi="Arial" w:cs="Arial"/>
          <w:sz w:val="22"/>
          <w:szCs w:val="22"/>
          <w:u w:color="000000"/>
        </w:rPr>
        <w:t>víctimas</w:t>
      </w:r>
      <w:r w:rsidRPr="00D630EF">
        <w:rPr>
          <w:rFonts w:ascii="Arial" w:hAnsi="Arial" w:cs="Arial"/>
          <w:sz w:val="22"/>
          <w:szCs w:val="22"/>
          <w:u w:color="000000"/>
        </w:rPr>
        <w:t xml:space="preserve"> de violaciones </w:t>
      </w:r>
      <w:r w:rsidR="00DE10DC">
        <w:rPr>
          <w:rFonts w:ascii="Arial" w:hAnsi="Arial" w:cs="Arial"/>
          <w:sz w:val="22"/>
          <w:szCs w:val="22"/>
          <w:u w:color="000000"/>
        </w:rPr>
        <w:t xml:space="preserve">a </w:t>
      </w:r>
      <w:r w:rsidRPr="00D630EF">
        <w:rPr>
          <w:rFonts w:ascii="Arial" w:hAnsi="Arial" w:cs="Arial"/>
          <w:sz w:val="22"/>
          <w:szCs w:val="22"/>
          <w:u w:color="000000"/>
        </w:rPr>
        <w:t xml:space="preserve">derechos humanos, tienen derecho a disponer de un recurso efectivo y </w:t>
      </w:r>
      <w:proofErr w:type="spellStart"/>
      <w:r w:rsidRPr="00D630EF">
        <w:rPr>
          <w:rFonts w:ascii="Arial" w:hAnsi="Arial" w:cs="Arial"/>
          <w:sz w:val="22"/>
          <w:szCs w:val="22"/>
          <w:u w:color="000000"/>
        </w:rPr>
        <w:t>ha</w:t>
      </w:r>
      <w:proofErr w:type="spellEnd"/>
      <w:r w:rsidRPr="00D630EF">
        <w:rPr>
          <w:rFonts w:ascii="Arial" w:hAnsi="Arial" w:cs="Arial"/>
          <w:sz w:val="22"/>
          <w:szCs w:val="22"/>
          <w:u w:color="000000"/>
        </w:rPr>
        <w:t xml:space="preserve"> obtener una </w:t>
      </w:r>
      <w:r w:rsidR="006B2942" w:rsidRPr="00D630EF">
        <w:rPr>
          <w:rFonts w:ascii="Arial" w:hAnsi="Arial" w:cs="Arial"/>
          <w:sz w:val="22"/>
          <w:szCs w:val="22"/>
          <w:u w:color="000000"/>
        </w:rPr>
        <w:t>repa</w:t>
      </w:r>
      <w:r w:rsidR="006B2942">
        <w:rPr>
          <w:rFonts w:ascii="Arial" w:hAnsi="Arial" w:cs="Arial"/>
          <w:sz w:val="22"/>
          <w:szCs w:val="22"/>
          <w:u w:color="000000"/>
        </w:rPr>
        <w:t>ra</w:t>
      </w:r>
      <w:r w:rsidR="006B2942" w:rsidRPr="00D630EF">
        <w:rPr>
          <w:rFonts w:ascii="Arial" w:hAnsi="Arial" w:cs="Arial"/>
          <w:sz w:val="22"/>
          <w:szCs w:val="22"/>
          <w:u w:color="000000"/>
        </w:rPr>
        <w:t>ción</w:t>
      </w:r>
      <w:r w:rsidRPr="00D630EF">
        <w:rPr>
          <w:rFonts w:ascii="Arial" w:hAnsi="Arial" w:cs="Arial"/>
          <w:sz w:val="22"/>
          <w:szCs w:val="22"/>
          <w:u w:color="000000"/>
        </w:rPr>
        <w:t xml:space="preserve"> que abarque todos los daños y perjuicios sufridos, el objetivo principal es que la víctima </w:t>
      </w:r>
      <w:r w:rsidRPr="00D630EF">
        <w:rPr>
          <w:rFonts w:ascii="Arial" w:hAnsi="Arial" w:cs="Arial"/>
          <w:sz w:val="22"/>
          <w:szCs w:val="22"/>
          <w:u w:color="000000"/>
        </w:rPr>
        <w:lastRenderedPageBreak/>
        <w:t>recupere la situación en la que se encontraba antes. Los procedimientos a aplicar serán objeto de la mayor publicidad posible</w:t>
      </w:r>
      <w:r w:rsidRPr="00D630EF">
        <w:rPr>
          <w:rFonts w:ascii="Arial" w:hAnsi="Arial" w:cs="Arial"/>
          <w:sz w:val="22"/>
          <w:szCs w:val="22"/>
          <w:u w:color="000000"/>
          <w:vertAlign w:val="superscript"/>
        </w:rPr>
        <w:footnoteReference w:id="47"/>
      </w:r>
      <w:r w:rsidR="00687611">
        <w:rPr>
          <w:rFonts w:ascii="Arial" w:hAnsi="Arial" w:cs="Arial"/>
          <w:sz w:val="22"/>
          <w:szCs w:val="22"/>
          <w:u w:color="000000"/>
        </w:rPr>
        <w:t>.</w:t>
      </w:r>
      <w:r w:rsidRPr="00D630EF">
        <w:rPr>
          <w:rFonts w:ascii="Arial" w:hAnsi="Arial" w:cs="Arial"/>
          <w:sz w:val="22"/>
          <w:szCs w:val="22"/>
          <w:u w:color="000000"/>
        </w:rPr>
        <w:t xml:space="preserve">  </w:t>
      </w:r>
    </w:p>
    <w:p w:rsidR="00AD346E" w:rsidRPr="00D630EF" w:rsidRDefault="00AD346E" w:rsidP="00734EC0">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No siempre es posible hacer una diferenciación entre el victimario como detentador de la fuerza y la víctima como receptora indefensa de la misma. Existen casos de violación donde los victimarios cuentan con todos los recursos de fuerza, donde puede hacerse una clara distinción entre </w:t>
      </w:r>
      <w:r w:rsidR="00687611">
        <w:rPr>
          <w:rFonts w:ascii="Arial" w:hAnsi="Arial" w:cs="Arial"/>
          <w:sz w:val="22"/>
          <w:szCs w:val="22"/>
          <w:u w:color="000000"/>
        </w:rPr>
        <w:t>“</w:t>
      </w:r>
      <w:r w:rsidRPr="00D630EF">
        <w:rPr>
          <w:rFonts w:ascii="Arial" w:hAnsi="Arial" w:cs="Arial"/>
          <w:sz w:val="22"/>
          <w:szCs w:val="22"/>
          <w:u w:color="000000"/>
        </w:rPr>
        <w:t>buenos y malos</w:t>
      </w:r>
      <w:r w:rsidR="00687611">
        <w:rPr>
          <w:rFonts w:ascii="Arial" w:hAnsi="Arial" w:cs="Arial"/>
          <w:sz w:val="22"/>
          <w:szCs w:val="22"/>
          <w:u w:color="000000"/>
        </w:rPr>
        <w:t>”</w:t>
      </w:r>
      <w:r w:rsidR="00DE10DC">
        <w:rPr>
          <w:rFonts w:ascii="Arial" w:hAnsi="Arial" w:cs="Arial"/>
          <w:sz w:val="22"/>
          <w:szCs w:val="22"/>
          <w:u w:color="000000"/>
        </w:rPr>
        <w:t>,</w:t>
      </w:r>
      <w:r w:rsidRPr="00D630EF">
        <w:rPr>
          <w:rFonts w:ascii="Arial" w:hAnsi="Arial" w:cs="Arial"/>
          <w:sz w:val="22"/>
          <w:szCs w:val="22"/>
          <w:u w:color="000000"/>
        </w:rPr>
        <w:t xml:space="preserve"> es lo que se conoce </w:t>
      </w:r>
      <w:r w:rsidR="00DE10DC">
        <w:rPr>
          <w:rFonts w:ascii="Arial" w:hAnsi="Arial" w:cs="Arial"/>
          <w:sz w:val="22"/>
          <w:szCs w:val="22"/>
          <w:u w:color="000000"/>
        </w:rPr>
        <w:t xml:space="preserve">como </w:t>
      </w:r>
      <w:r w:rsidRPr="00D630EF">
        <w:rPr>
          <w:rFonts w:ascii="Arial" w:hAnsi="Arial" w:cs="Arial"/>
          <w:sz w:val="22"/>
          <w:szCs w:val="22"/>
          <w:u w:color="000000"/>
        </w:rPr>
        <w:t xml:space="preserve">Victimización Vertical. Este esquema implica que todo el control sobre la situación la tiene el victimario que ataca a su víctima sin ninguna justificación. La </w:t>
      </w:r>
      <w:r w:rsidR="006B2942" w:rsidRPr="00D630EF">
        <w:rPr>
          <w:rFonts w:ascii="Arial" w:hAnsi="Arial" w:cs="Arial"/>
          <w:sz w:val="22"/>
          <w:szCs w:val="22"/>
          <w:u w:color="000000"/>
        </w:rPr>
        <w:t>víctima</w:t>
      </w:r>
      <w:r w:rsidRPr="00D630EF">
        <w:rPr>
          <w:rFonts w:ascii="Arial" w:hAnsi="Arial" w:cs="Arial"/>
          <w:sz w:val="22"/>
          <w:szCs w:val="22"/>
          <w:u w:color="000000"/>
        </w:rPr>
        <w:t xml:space="preserve"> se encuentra en posición de </w:t>
      </w:r>
      <w:r w:rsidR="006B2942" w:rsidRPr="00D630EF">
        <w:rPr>
          <w:rFonts w:ascii="Arial" w:hAnsi="Arial" w:cs="Arial"/>
          <w:sz w:val="22"/>
          <w:szCs w:val="22"/>
          <w:u w:color="000000"/>
        </w:rPr>
        <w:t>indefensión</w:t>
      </w:r>
      <w:r w:rsidRPr="00D630EF">
        <w:rPr>
          <w:rFonts w:ascii="Arial" w:hAnsi="Arial" w:cs="Arial"/>
          <w:sz w:val="22"/>
          <w:szCs w:val="22"/>
          <w:u w:color="000000"/>
        </w:rPr>
        <w:t xml:space="preserve"> y no tiene manera de repeler el ataque</w:t>
      </w:r>
      <w:r w:rsidR="00F231BB">
        <w:rPr>
          <w:rStyle w:val="Refdenotaalpie"/>
          <w:rFonts w:ascii="Arial" w:hAnsi="Arial" w:cs="Arial"/>
          <w:sz w:val="22"/>
          <w:szCs w:val="22"/>
          <w:u w:color="000000"/>
        </w:rPr>
        <w:footnoteReference w:id="48"/>
      </w:r>
      <w:r w:rsidRPr="00D630EF">
        <w:rPr>
          <w:rFonts w:ascii="Arial" w:hAnsi="Arial" w:cs="Arial"/>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La Victim</w:t>
      </w:r>
      <w:r w:rsidR="00540A0B">
        <w:rPr>
          <w:rFonts w:ascii="Arial" w:hAnsi="Arial" w:cs="Arial"/>
          <w:sz w:val="22"/>
          <w:szCs w:val="22"/>
          <w:u w:color="000000"/>
        </w:rPr>
        <w:t>iz</w:t>
      </w:r>
      <w:r w:rsidRPr="00D630EF">
        <w:rPr>
          <w:rFonts w:ascii="Arial" w:hAnsi="Arial" w:cs="Arial"/>
          <w:sz w:val="22"/>
          <w:szCs w:val="22"/>
          <w:u w:color="000000"/>
        </w:rPr>
        <w:t xml:space="preserve">ación Horizontal </w:t>
      </w:r>
      <w:r w:rsidR="001905F3">
        <w:rPr>
          <w:rFonts w:ascii="Arial" w:hAnsi="Arial" w:cs="Arial"/>
          <w:sz w:val="22"/>
          <w:szCs w:val="22"/>
          <w:u w:color="000000"/>
        </w:rPr>
        <w:t xml:space="preserve">por otro lado, </w:t>
      </w:r>
      <w:r w:rsidRPr="00D630EF">
        <w:rPr>
          <w:rFonts w:ascii="Arial" w:hAnsi="Arial" w:cs="Arial"/>
          <w:sz w:val="22"/>
          <w:szCs w:val="22"/>
          <w:u w:color="000000"/>
        </w:rPr>
        <w:t>obedece a los event</w:t>
      </w:r>
      <w:r w:rsidR="00504C0F">
        <w:rPr>
          <w:rFonts w:ascii="Arial" w:hAnsi="Arial" w:cs="Arial"/>
          <w:sz w:val="22"/>
          <w:szCs w:val="22"/>
          <w:u w:color="000000"/>
        </w:rPr>
        <w:t>os donde el ataque es recíproco.</w:t>
      </w:r>
      <w:r w:rsidRPr="00D630EF">
        <w:rPr>
          <w:rFonts w:ascii="Arial" w:hAnsi="Arial" w:cs="Arial"/>
          <w:sz w:val="22"/>
          <w:szCs w:val="22"/>
          <w:u w:color="000000"/>
        </w:rPr>
        <w:t xml:space="preserve"> Los distintos actores poseen elementos de fuerza que utilizan en contra de sus adversarios y no es posible hacer una distinción entre </w:t>
      </w:r>
      <w:r w:rsidR="00687611">
        <w:rPr>
          <w:rFonts w:ascii="Arial" w:hAnsi="Arial" w:cs="Arial"/>
          <w:sz w:val="22"/>
          <w:szCs w:val="22"/>
          <w:u w:color="000000"/>
        </w:rPr>
        <w:t>“</w:t>
      </w:r>
      <w:r w:rsidRPr="00D630EF">
        <w:rPr>
          <w:rFonts w:ascii="Arial" w:hAnsi="Arial" w:cs="Arial"/>
          <w:sz w:val="22"/>
          <w:szCs w:val="22"/>
          <w:u w:color="000000"/>
        </w:rPr>
        <w:t>buenos y malos</w:t>
      </w:r>
      <w:r w:rsidR="00687611">
        <w:rPr>
          <w:rFonts w:ascii="Arial" w:hAnsi="Arial" w:cs="Arial"/>
          <w:sz w:val="22"/>
          <w:szCs w:val="22"/>
          <w:u w:color="000000"/>
        </w:rPr>
        <w:t>”</w:t>
      </w:r>
      <w:r w:rsidRPr="00D630EF">
        <w:rPr>
          <w:rFonts w:ascii="Arial" w:hAnsi="Arial" w:cs="Arial"/>
          <w:sz w:val="22"/>
          <w:szCs w:val="22"/>
          <w:u w:color="000000"/>
        </w:rPr>
        <w:t xml:space="preserve"> pues se mezclan factores de distinto tipo, por ejemplo el caso colombiano respecto a los conflictos armados que involucran grupos al margen</w:t>
      </w:r>
      <w:r w:rsidR="00E1053A">
        <w:rPr>
          <w:rFonts w:ascii="Arial" w:hAnsi="Arial" w:cs="Arial"/>
          <w:sz w:val="22"/>
          <w:szCs w:val="22"/>
          <w:u w:color="000000"/>
        </w:rPr>
        <w:t xml:space="preserve"> de la ley</w:t>
      </w:r>
      <w:r w:rsidR="00404AFD">
        <w:rPr>
          <w:rStyle w:val="Refdenotaalpie"/>
          <w:rFonts w:ascii="Arial" w:hAnsi="Arial" w:cs="Arial"/>
          <w:sz w:val="22"/>
          <w:szCs w:val="22"/>
          <w:u w:color="000000"/>
        </w:rPr>
        <w:footnoteReference w:id="49"/>
      </w:r>
      <w:r w:rsidR="001905F3">
        <w:rPr>
          <w:rFonts w:ascii="Arial" w:hAnsi="Arial" w:cs="Arial"/>
          <w:sz w:val="22"/>
          <w:szCs w:val="22"/>
          <w:u w:color="000000"/>
        </w:rPr>
        <w:t>.</w:t>
      </w:r>
      <w:r w:rsidRPr="00D630EF">
        <w:rPr>
          <w:rFonts w:ascii="Arial" w:hAnsi="Arial" w:cs="Arial"/>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En lo</w:t>
      </w:r>
      <w:r w:rsidR="00504C0F">
        <w:rPr>
          <w:rFonts w:ascii="Arial" w:hAnsi="Arial" w:cs="Arial"/>
          <w:sz w:val="22"/>
          <w:szCs w:val="22"/>
          <w:u w:color="000000"/>
        </w:rPr>
        <w:t>s eventos donde se presenta</w:t>
      </w:r>
      <w:r w:rsidRPr="00D630EF">
        <w:rPr>
          <w:rFonts w:ascii="Arial" w:hAnsi="Arial" w:cs="Arial"/>
          <w:sz w:val="22"/>
          <w:szCs w:val="22"/>
          <w:u w:color="000000"/>
        </w:rPr>
        <w:t xml:space="preserve"> Victimización Horizontal, se hacen </w:t>
      </w:r>
      <w:r w:rsidR="00D225AF" w:rsidRPr="00D630EF">
        <w:rPr>
          <w:rFonts w:ascii="Arial" w:hAnsi="Arial" w:cs="Arial"/>
          <w:sz w:val="22"/>
          <w:szCs w:val="22"/>
          <w:u w:color="000000"/>
        </w:rPr>
        <w:t>más</w:t>
      </w:r>
      <w:r w:rsidRPr="00D630EF">
        <w:rPr>
          <w:rFonts w:ascii="Arial" w:hAnsi="Arial" w:cs="Arial"/>
          <w:sz w:val="22"/>
          <w:szCs w:val="22"/>
          <w:u w:color="000000"/>
        </w:rPr>
        <w:t xml:space="preserve"> importantes </w:t>
      </w:r>
      <w:r w:rsidR="00504C0F">
        <w:rPr>
          <w:rFonts w:ascii="Arial" w:hAnsi="Arial" w:cs="Arial"/>
          <w:sz w:val="22"/>
          <w:szCs w:val="22"/>
          <w:u w:color="000000"/>
        </w:rPr>
        <w:t>los actos de perdón y</w:t>
      </w:r>
      <w:r w:rsidRPr="00D630EF">
        <w:rPr>
          <w:rFonts w:ascii="Arial" w:hAnsi="Arial" w:cs="Arial"/>
          <w:sz w:val="22"/>
          <w:szCs w:val="22"/>
          <w:u w:color="000000"/>
        </w:rPr>
        <w:t xml:space="preserve"> reconciliación, porque todos los actores tienen un grado de culpa en los sucesos</w:t>
      </w:r>
      <w:r w:rsidR="00504C0F">
        <w:rPr>
          <w:rFonts w:ascii="Arial" w:hAnsi="Arial" w:cs="Arial"/>
          <w:sz w:val="22"/>
          <w:szCs w:val="22"/>
          <w:u w:color="000000"/>
        </w:rPr>
        <w:t>.</w:t>
      </w:r>
      <w:r w:rsidRPr="00D630EF">
        <w:rPr>
          <w:rFonts w:ascii="Arial" w:hAnsi="Arial" w:cs="Arial"/>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0F3BC5" w:rsidRDefault="00102AD1" w:rsidP="00B656C2">
      <w:pPr>
        <w:pStyle w:val="Body1"/>
        <w:numPr>
          <w:ilvl w:val="2"/>
          <w:numId w:val="7"/>
        </w:numPr>
        <w:spacing w:before="20" w:line="360" w:lineRule="auto"/>
        <w:jc w:val="both"/>
        <w:outlineLvl w:val="2"/>
        <w:rPr>
          <w:rFonts w:ascii="Arial" w:hAnsi="Arial" w:cs="Arial"/>
          <w:b/>
          <w:sz w:val="22"/>
          <w:szCs w:val="22"/>
          <w:u w:color="000000"/>
        </w:rPr>
      </w:pPr>
      <w:bookmarkStart w:id="11" w:name="_Toc356432248"/>
      <w:r>
        <w:rPr>
          <w:rFonts w:ascii="Arial" w:hAnsi="Arial" w:cs="Arial"/>
          <w:b/>
          <w:sz w:val="22"/>
          <w:szCs w:val="22"/>
          <w:u w:color="000000"/>
        </w:rPr>
        <w:t>P</w:t>
      </w:r>
      <w:r w:rsidRPr="000F3BC5">
        <w:rPr>
          <w:rFonts w:ascii="Arial" w:hAnsi="Arial" w:cs="Arial"/>
          <w:b/>
          <w:sz w:val="22"/>
          <w:szCs w:val="22"/>
          <w:u w:color="000000"/>
        </w:rPr>
        <w:t>articipación de las víctimas en los procesos de judicialización de los presuntos responsables</w:t>
      </w:r>
      <w:bookmarkEnd w:id="11"/>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AD346E" w:rsidP="000F3BC5">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Se debe garantizar el acercamiento de las víctimas a los procesos de </w:t>
      </w:r>
      <w:r w:rsidR="00D225AF" w:rsidRPr="00D630EF">
        <w:rPr>
          <w:rFonts w:ascii="Arial" w:hAnsi="Arial" w:cs="Arial"/>
          <w:sz w:val="22"/>
          <w:szCs w:val="22"/>
          <w:u w:color="000000"/>
        </w:rPr>
        <w:t>judicialización</w:t>
      </w:r>
      <w:r w:rsidRPr="00D630EF">
        <w:rPr>
          <w:rFonts w:ascii="Arial" w:hAnsi="Arial" w:cs="Arial"/>
          <w:sz w:val="22"/>
          <w:szCs w:val="22"/>
          <w:u w:color="000000"/>
        </w:rPr>
        <w:t xml:space="preserve"> tomando en cuenta su especial situación, asumiendo que n</w:t>
      </w:r>
      <w:r w:rsidR="00E56A05">
        <w:rPr>
          <w:rFonts w:ascii="Arial" w:hAnsi="Arial" w:cs="Arial"/>
          <w:sz w:val="22"/>
          <w:szCs w:val="22"/>
          <w:u w:color="000000"/>
        </w:rPr>
        <w:t>o son profesionales del derecho</w:t>
      </w:r>
      <w:r w:rsidR="00E1053A">
        <w:rPr>
          <w:rFonts w:ascii="Arial" w:hAnsi="Arial" w:cs="Arial"/>
          <w:sz w:val="22"/>
          <w:szCs w:val="22"/>
          <w:u w:color="000000"/>
        </w:rPr>
        <w:t xml:space="preserve"> que van a dominar y manejar</w:t>
      </w:r>
      <w:r w:rsidRPr="00D630EF">
        <w:rPr>
          <w:rFonts w:ascii="Arial" w:hAnsi="Arial" w:cs="Arial"/>
          <w:sz w:val="22"/>
          <w:szCs w:val="22"/>
          <w:u w:color="000000"/>
        </w:rPr>
        <w:t xml:space="preserve"> terminología técnica, </w:t>
      </w:r>
      <w:r w:rsidR="001905F3">
        <w:rPr>
          <w:rFonts w:ascii="Arial" w:hAnsi="Arial" w:cs="Arial"/>
          <w:sz w:val="22"/>
          <w:szCs w:val="22"/>
          <w:u w:color="000000"/>
        </w:rPr>
        <w:t xml:space="preserve">con la participación de las víctimas se </w:t>
      </w:r>
      <w:r w:rsidRPr="00D630EF">
        <w:rPr>
          <w:rFonts w:ascii="Arial" w:hAnsi="Arial" w:cs="Arial"/>
          <w:sz w:val="22"/>
          <w:szCs w:val="22"/>
          <w:u w:color="000000"/>
        </w:rPr>
        <w:t>busca  que el mismo proceso además de procurar que se haga justicia</w:t>
      </w:r>
      <w:r w:rsidR="001905F3">
        <w:rPr>
          <w:rFonts w:ascii="Arial" w:hAnsi="Arial" w:cs="Arial"/>
          <w:sz w:val="22"/>
          <w:szCs w:val="22"/>
          <w:u w:color="000000"/>
        </w:rPr>
        <w:t>,</w:t>
      </w:r>
      <w:r w:rsidR="00E1053A">
        <w:rPr>
          <w:rFonts w:ascii="Arial" w:hAnsi="Arial" w:cs="Arial"/>
          <w:sz w:val="22"/>
          <w:szCs w:val="22"/>
          <w:u w:color="000000"/>
        </w:rPr>
        <w:t xml:space="preserve"> forme parte de la</w:t>
      </w:r>
      <w:r w:rsidRPr="00D630EF">
        <w:rPr>
          <w:rFonts w:ascii="Arial" w:hAnsi="Arial" w:cs="Arial"/>
          <w:sz w:val="22"/>
          <w:szCs w:val="22"/>
          <w:u w:color="000000"/>
        </w:rPr>
        <w:t xml:space="preserve"> de reparación</w:t>
      </w:r>
      <w:r w:rsidR="00E1053A">
        <w:rPr>
          <w:rFonts w:ascii="Arial" w:hAnsi="Arial" w:cs="Arial"/>
          <w:sz w:val="22"/>
          <w:szCs w:val="22"/>
          <w:u w:color="000000"/>
        </w:rPr>
        <w:t xml:space="preserve"> integral</w:t>
      </w:r>
      <w:r w:rsidRPr="00D630EF">
        <w:rPr>
          <w:rFonts w:ascii="Arial" w:hAnsi="Arial" w:cs="Arial"/>
          <w:sz w:val="22"/>
          <w:szCs w:val="22"/>
          <w:u w:color="000000"/>
        </w:rPr>
        <w:t>.</w:t>
      </w:r>
    </w:p>
    <w:p w:rsidR="00AD346E" w:rsidRDefault="003F1410" w:rsidP="000F3BC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lastRenderedPageBreak/>
        <w:t>Es necesario</w:t>
      </w:r>
      <w:r w:rsidR="00AD346E" w:rsidRPr="00D630EF">
        <w:rPr>
          <w:rFonts w:ascii="Arial" w:hAnsi="Arial" w:cs="Arial"/>
          <w:sz w:val="22"/>
          <w:szCs w:val="22"/>
          <w:u w:color="000000"/>
        </w:rPr>
        <w:t xml:space="preserve"> evitar que el proceso provoque una </w:t>
      </w:r>
      <w:proofErr w:type="spellStart"/>
      <w:r w:rsidR="00AD346E" w:rsidRPr="00D630EF">
        <w:rPr>
          <w:rFonts w:ascii="Arial" w:hAnsi="Arial" w:cs="Arial"/>
          <w:sz w:val="22"/>
          <w:szCs w:val="22"/>
          <w:u w:color="000000"/>
        </w:rPr>
        <w:t>revictimización</w:t>
      </w:r>
      <w:proofErr w:type="spellEnd"/>
      <w:r w:rsidR="00AD346E" w:rsidRPr="00D630EF">
        <w:rPr>
          <w:rFonts w:ascii="Arial" w:hAnsi="Arial" w:cs="Arial"/>
          <w:sz w:val="22"/>
          <w:szCs w:val="22"/>
          <w:u w:color="000000"/>
        </w:rPr>
        <w:t xml:space="preserve"> produciendo nuevos agravios a la víctima, donde por ejemplo se pueden presentar situaciones de riesgo como los testimonios e interrogatorios. La </w:t>
      </w:r>
      <w:proofErr w:type="spellStart"/>
      <w:r w:rsidR="00AD346E" w:rsidRPr="00D630EF">
        <w:rPr>
          <w:rFonts w:ascii="Arial" w:hAnsi="Arial" w:cs="Arial"/>
          <w:sz w:val="22"/>
          <w:szCs w:val="22"/>
          <w:u w:color="000000"/>
        </w:rPr>
        <w:t>revictimización</w:t>
      </w:r>
      <w:proofErr w:type="spellEnd"/>
      <w:r w:rsidR="00AD346E" w:rsidRPr="00D630EF">
        <w:rPr>
          <w:rFonts w:ascii="Arial" w:hAnsi="Arial" w:cs="Arial"/>
          <w:sz w:val="22"/>
          <w:szCs w:val="22"/>
          <w:u w:color="000000"/>
        </w:rPr>
        <w:t xml:space="preserve"> se produce por el inevitable choque entre las legítimas expectativas de la víctima y la realidad institucional</w:t>
      </w:r>
      <w:r w:rsidR="00AD346E" w:rsidRPr="00D630EF">
        <w:rPr>
          <w:rFonts w:ascii="Arial" w:hAnsi="Arial" w:cs="Arial"/>
          <w:sz w:val="22"/>
          <w:szCs w:val="22"/>
          <w:u w:color="000000"/>
          <w:vertAlign w:val="superscript"/>
        </w:rPr>
        <w:footnoteReference w:id="50"/>
      </w:r>
      <w:r w:rsidR="00152045">
        <w:rPr>
          <w:rFonts w:ascii="Arial" w:hAnsi="Arial" w:cs="Arial"/>
          <w:sz w:val="22"/>
          <w:szCs w:val="22"/>
          <w:u w:color="000000"/>
        </w:rPr>
        <w:t>.</w:t>
      </w:r>
      <w:r w:rsidR="00AD346E" w:rsidRPr="00D630EF">
        <w:rPr>
          <w:rFonts w:ascii="Arial" w:hAnsi="Arial" w:cs="Arial"/>
          <w:sz w:val="22"/>
          <w:szCs w:val="22"/>
          <w:u w:color="000000"/>
        </w:rPr>
        <w:t xml:space="preserve">    </w:t>
      </w:r>
    </w:p>
    <w:p w:rsidR="00152045" w:rsidRPr="00D630EF" w:rsidRDefault="00152045" w:rsidP="000F3BC5">
      <w:pPr>
        <w:pStyle w:val="Body1"/>
        <w:spacing w:before="20" w:line="360" w:lineRule="auto"/>
        <w:jc w:val="both"/>
        <w:outlineLvl w:val="0"/>
        <w:rPr>
          <w:rFonts w:ascii="Arial" w:hAnsi="Arial" w:cs="Arial"/>
          <w:sz w:val="22"/>
          <w:szCs w:val="22"/>
          <w:u w:color="000000"/>
        </w:rPr>
      </w:pPr>
    </w:p>
    <w:p w:rsidR="00AD346E" w:rsidRPr="00D630EF" w:rsidRDefault="00E56A05" w:rsidP="006B2942">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A decir de Alicia </w:t>
      </w:r>
      <w:proofErr w:type="spellStart"/>
      <w:r>
        <w:rPr>
          <w:rFonts w:ascii="Arial" w:hAnsi="Arial" w:cs="Arial"/>
          <w:sz w:val="22"/>
          <w:szCs w:val="22"/>
          <w:u w:color="000000"/>
        </w:rPr>
        <w:t>Neuburger</w:t>
      </w:r>
      <w:proofErr w:type="spellEnd"/>
      <w:r>
        <w:rPr>
          <w:rFonts w:ascii="Arial" w:hAnsi="Arial" w:cs="Arial"/>
          <w:sz w:val="22"/>
          <w:szCs w:val="22"/>
          <w:u w:color="000000"/>
        </w:rPr>
        <w:t xml:space="preserve">, quien ha realizado peritajes psicológicos ante la Corte Interamericana de Derechos Humanos y Víctor Rodríguez </w:t>
      </w:r>
      <w:proofErr w:type="spellStart"/>
      <w:r>
        <w:rPr>
          <w:rFonts w:ascii="Arial" w:hAnsi="Arial" w:cs="Arial"/>
          <w:sz w:val="22"/>
          <w:szCs w:val="22"/>
          <w:u w:color="000000"/>
        </w:rPr>
        <w:t>Rescia</w:t>
      </w:r>
      <w:proofErr w:type="spellEnd"/>
      <w:r>
        <w:rPr>
          <w:rFonts w:ascii="Arial" w:hAnsi="Arial" w:cs="Arial"/>
          <w:sz w:val="22"/>
          <w:szCs w:val="22"/>
          <w:u w:color="000000"/>
        </w:rPr>
        <w:t>, abogado especialista en el Sistema Interamericano</w:t>
      </w:r>
      <w:r w:rsidR="00AD346E" w:rsidRPr="00D630EF">
        <w:rPr>
          <w:rFonts w:ascii="Arial" w:hAnsi="Arial" w:cs="Arial"/>
          <w:sz w:val="22"/>
          <w:szCs w:val="22"/>
          <w:u w:color="000000"/>
        </w:rPr>
        <w:t xml:space="preserve">, existen factores que se derivan del propio proceso internacional que puede provocar </w:t>
      </w:r>
      <w:proofErr w:type="spellStart"/>
      <w:r w:rsidR="00AD346E" w:rsidRPr="00D630EF">
        <w:rPr>
          <w:rFonts w:ascii="Arial" w:hAnsi="Arial" w:cs="Arial"/>
          <w:sz w:val="22"/>
          <w:szCs w:val="22"/>
          <w:u w:color="000000"/>
        </w:rPr>
        <w:t>revictim</w:t>
      </w:r>
      <w:r w:rsidR="006B2942">
        <w:rPr>
          <w:rFonts w:ascii="Arial" w:hAnsi="Arial" w:cs="Arial"/>
          <w:sz w:val="22"/>
          <w:szCs w:val="22"/>
          <w:u w:color="000000"/>
        </w:rPr>
        <w:t>iz</w:t>
      </w:r>
      <w:r w:rsidR="00AD346E" w:rsidRPr="00D630EF">
        <w:rPr>
          <w:rFonts w:ascii="Arial" w:hAnsi="Arial" w:cs="Arial"/>
          <w:sz w:val="22"/>
          <w:szCs w:val="22"/>
          <w:u w:color="000000"/>
        </w:rPr>
        <w:t>ación</w:t>
      </w:r>
      <w:proofErr w:type="spellEnd"/>
      <w:r w:rsidR="00AD346E" w:rsidRPr="00D630EF">
        <w:rPr>
          <w:rFonts w:ascii="Arial" w:hAnsi="Arial" w:cs="Arial"/>
          <w:sz w:val="22"/>
          <w:szCs w:val="22"/>
          <w:u w:color="000000"/>
        </w:rPr>
        <w:t xml:space="preserve"> estos son:</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2F24FA" w:rsidRDefault="00AD346E" w:rsidP="0025360E">
      <w:pPr>
        <w:pStyle w:val="Body1"/>
        <w:spacing w:before="20" w:line="360" w:lineRule="auto"/>
        <w:ind w:left="720"/>
        <w:jc w:val="both"/>
        <w:outlineLvl w:val="0"/>
        <w:rPr>
          <w:rFonts w:ascii="Arial" w:hAnsi="Arial" w:cs="Arial"/>
          <w:sz w:val="20"/>
          <w:u w:color="000000"/>
        </w:rPr>
      </w:pPr>
      <w:r w:rsidRPr="002F24FA">
        <w:rPr>
          <w:rFonts w:ascii="Arial" w:hAnsi="Arial" w:cs="Arial"/>
          <w:sz w:val="20"/>
          <w:u w:color="000000"/>
        </w:rPr>
        <w:t>Retardo injustificado en el proceso ante la Comisión o la Corte en la tramitación del caso y su decisión final.</w:t>
      </w:r>
    </w:p>
    <w:p w:rsidR="00AD346E" w:rsidRPr="002F24FA" w:rsidRDefault="00AD346E" w:rsidP="0025360E">
      <w:pPr>
        <w:pStyle w:val="Body1"/>
        <w:spacing w:before="20" w:line="360" w:lineRule="auto"/>
        <w:ind w:firstLine="720"/>
        <w:jc w:val="both"/>
        <w:outlineLvl w:val="0"/>
        <w:rPr>
          <w:rFonts w:ascii="Arial" w:hAnsi="Arial" w:cs="Arial"/>
          <w:sz w:val="20"/>
          <w:u w:color="000000"/>
        </w:rPr>
      </w:pPr>
      <w:r w:rsidRPr="002F24FA">
        <w:rPr>
          <w:rFonts w:ascii="Arial" w:hAnsi="Arial" w:cs="Arial"/>
          <w:sz w:val="20"/>
          <w:u w:color="000000"/>
        </w:rPr>
        <w:t>Decisiones tomadas de manera contraria a la jurisprudencia existente.</w:t>
      </w:r>
    </w:p>
    <w:p w:rsidR="00AD346E" w:rsidRPr="002F24FA" w:rsidRDefault="00AD346E" w:rsidP="00152045">
      <w:pPr>
        <w:pStyle w:val="Body1"/>
        <w:spacing w:before="20" w:line="360" w:lineRule="auto"/>
        <w:ind w:firstLine="720"/>
        <w:jc w:val="both"/>
        <w:outlineLvl w:val="0"/>
        <w:rPr>
          <w:rFonts w:ascii="Arial" w:hAnsi="Arial" w:cs="Arial"/>
          <w:sz w:val="20"/>
          <w:u w:color="000000"/>
        </w:rPr>
      </w:pPr>
      <w:r w:rsidRPr="002F24FA">
        <w:rPr>
          <w:rFonts w:ascii="Arial" w:hAnsi="Arial" w:cs="Arial"/>
          <w:sz w:val="20"/>
          <w:u w:color="000000"/>
        </w:rPr>
        <w:t>No reconocimiento de derechos violados por falta de prueba.</w:t>
      </w:r>
    </w:p>
    <w:p w:rsidR="00AD346E" w:rsidRPr="002F24FA" w:rsidRDefault="00AD346E" w:rsidP="0025360E">
      <w:pPr>
        <w:pStyle w:val="Body1"/>
        <w:spacing w:before="20" w:line="360" w:lineRule="auto"/>
        <w:ind w:firstLine="720"/>
        <w:jc w:val="both"/>
        <w:outlineLvl w:val="0"/>
        <w:rPr>
          <w:rFonts w:ascii="Arial" w:hAnsi="Arial" w:cs="Arial"/>
          <w:sz w:val="20"/>
          <w:u w:color="000000"/>
        </w:rPr>
      </w:pPr>
      <w:r w:rsidRPr="002F24FA">
        <w:rPr>
          <w:rFonts w:ascii="Arial" w:hAnsi="Arial" w:cs="Arial"/>
          <w:sz w:val="20"/>
          <w:u w:color="000000"/>
        </w:rPr>
        <w:t>Ausencia de atención a los aspectos psicológicos durante la tramitación del caso.</w:t>
      </w:r>
    </w:p>
    <w:p w:rsidR="00AD346E" w:rsidRPr="002F24FA" w:rsidRDefault="00AD346E" w:rsidP="00152045">
      <w:pPr>
        <w:pStyle w:val="Body1"/>
        <w:spacing w:before="20" w:line="360" w:lineRule="auto"/>
        <w:ind w:left="720"/>
        <w:jc w:val="both"/>
        <w:outlineLvl w:val="0"/>
        <w:rPr>
          <w:rFonts w:ascii="Arial" w:hAnsi="Arial" w:cs="Arial"/>
          <w:sz w:val="20"/>
          <w:u w:color="000000"/>
        </w:rPr>
      </w:pPr>
      <w:r w:rsidRPr="002F24FA">
        <w:rPr>
          <w:rFonts w:ascii="Arial" w:hAnsi="Arial" w:cs="Arial"/>
          <w:sz w:val="20"/>
          <w:u w:color="000000"/>
        </w:rPr>
        <w:t>Comportamiento y actitud que asumen los Estados en el juicio</w:t>
      </w:r>
      <w:r w:rsidR="0082761C">
        <w:rPr>
          <w:rFonts w:ascii="Arial" w:hAnsi="Arial" w:cs="Arial"/>
          <w:sz w:val="20"/>
          <w:u w:color="000000"/>
        </w:rPr>
        <w:t>.</w:t>
      </w:r>
      <w:r w:rsidRPr="002F24FA">
        <w:rPr>
          <w:rFonts w:ascii="Arial" w:hAnsi="Arial" w:cs="Arial"/>
          <w:sz w:val="20"/>
          <w:u w:color="000000"/>
        </w:rPr>
        <w:t xml:space="preserve"> </w:t>
      </w:r>
    </w:p>
    <w:p w:rsidR="00AD346E" w:rsidRPr="002F24FA" w:rsidRDefault="00AD346E" w:rsidP="00152045">
      <w:pPr>
        <w:pStyle w:val="Body1"/>
        <w:spacing w:before="20" w:line="360" w:lineRule="auto"/>
        <w:ind w:firstLine="720"/>
        <w:jc w:val="both"/>
        <w:outlineLvl w:val="0"/>
        <w:rPr>
          <w:rFonts w:ascii="Arial" w:hAnsi="Arial" w:cs="Arial"/>
          <w:sz w:val="20"/>
          <w:u w:color="000000"/>
        </w:rPr>
      </w:pPr>
      <w:r w:rsidRPr="002F24FA">
        <w:rPr>
          <w:rFonts w:ascii="Arial" w:hAnsi="Arial" w:cs="Arial"/>
          <w:sz w:val="20"/>
          <w:u w:color="000000"/>
        </w:rPr>
        <w:t>Retardo o incumplimiento de la sentencia.</w:t>
      </w:r>
      <w:r w:rsidRPr="002F24FA">
        <w:rPr>
          <w:rFonts w:ascii="Arial" w:hAnsi="Arial" w:cs="Arial"/>
          <w:sz w:val="20"/>
          <w:u w:color="000000"/>
          <w:vertAlign w:val="superscript"/>
        </w:rPr>
        <w:footnoteReference w:id="51"/>
      </w:r>
    </w:p>
    <w:p w:rsidR="00AD346E" w:rsidRPr="00D630EF" w:rsidRDefault="00AD346E" w:rsidP="00D630EF">
      <w:pPr>
        <w:pStyle w:val="Body1"/>
        <w:spacing w:before="20" w:line="360" w:lineRule="auto"/>
        <w:outlineLvl w:val="0"/>
        <w:rPr>
          <w:rFonts w:ascii="Arial" w:hAnsi="Arial" w:cs="Arial"/>
          <w:sz w:val="22"/>
          <w:szCs w:val="22"/>
          <w:u w:color="000000"/>
        </w:rPr>
      </w:pPr>
      <w:r w:rsidRPr="00D630EF">
        <w:rPr>
          <w:rFonts w:ascii="Arial" w:hAnsi="Arial" w:cs="Arial"/>
          <w:sz w:val="22"/>
          <w:szCs w:val="22"/>
          <w:u w:color="000000"/>
        </w:rPr>
        <w:t xml:space="preserve">  </w:t>
      </w:r>
    </w:p>
    <w:p w:rsidR="00AD346E" w:rsidRPr="00D630EF" w:rsidRDefault="003F1410" w:rsidP="000F3BC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Con la ap</w:t>
      </w:r>
      <w:r w:rsidR="00883DB3">
        <w:rPr>
          <w:rFonts w:ascii="Arial" w:hAnsi="Arial" w:cs="Arial"/>
          <w:sz w:val="22"/>
          <w:szCs w:val="22"/>
          <w:u w:color="000000"/>
        </w:rPr>
        <w:t>ertura que se da en el Sistema I</w:t>
      </w:r>
      <w:r>
        <w:rPr>
          <w:rFonts w:ascii="Arial" w:hAnsi="Arial" w:cs="Arial"/>
          <w:sz w:val="22"/>
          <w:szCs w:val="22"/>
          <w:u w:color="000000"/>
        </w:rPr>
        <w:t xml:space="preserve">nteramericano de </w:t>
      </w:r>
      <w:r w:rsidR="00883DB3">
        <w:rPr>
          <w:rFonts w:ascii="Arial" w:hAnsi="Arial" w:cs="Arial"/>
          <w:sz w:val="22"/>
          <w:szCs w:val="22"/>
          <w:u w:color="000000"/>
        </w:rPr>
        <w:t>P</w:t>
      </w:r>
      <w:r>
        <w:rPr>
          <w:rFonts w:ascii="Arial" w:hAnsi="Arial" w:cs="Arial"/>
          <w:sz w:val="22"/>
          <w:szCs w:val="22"/>
          <w:u w:color="000000"/>
        </w:rPr>
        <w:t>rotección a</w:t>
      </w:r>
      <w:r w:rsidR="00883DB3">
        <w:rPr>
          <w:rFonts w:ascii="Arial" w:hAnsi="Arial" w:cs="Arial"/>
          <w:sz w:val="22"/>
          <w:szCs w:val="22"/>
          <w:u w:color="000000"/>
        </w:rPr>
        <w:t xml:space="preserve"> los D</w:t>
      </w:r>
      <w:r w:rsidR="00152045">
        <w:rPr>
          <w:rFonts w:ascii="Arial" w:hAnsi="Arial" w:cs="Arial"/>
          <w:sz w:val="22"/>
          <w:szCs w:val="22"/>
          <w:u w:color="000000"/>
        </w:rPr>
        <w:t>erechos Humanos a</w:t>
      </w:r>
      <w:r>
        <w:rPr>
          <w:rFonts w:ascii="Arial" w:hAnsi="Arial" w:cs="Arial"/>
          <w:sz w:val="22"/>
          <w:szCs w:val="22"/>
          <w:u w:color="000000"/>
        </w:rPr>
        <w:t xml:space="preserve"> que la víctima sea parte del proceso, es necesario que se determine de manera clara el papel que ésta desempeña en el proceso</w:t>
      </w:r>
      <w:r w:rsidR="00883DB3">
        <w:rPr>
          <w:rFonts w:ascii="Arial" w:hAnsi="Arial" w:cs="Arial"/>
          <w:sz w:val="22"/>
          <w:szCs w:val="22"/>
          <w:u w:color="000000"/>
        </w:rPr>
        <w:t>, informándola de</w:t>
      </w:r>
      <w:r>
        <w:rPr>
          <w:rFonts w:ascii="Arial" w:hAnsi="Arial" w:cs="Arial"/>
          <w:sz w:val="22"/>
          <w:szCs w:val="22"/>
          <w:u w:color="000000"/>
        </w:rPr>
        <w:t xml:space="preserve"> que el Sistema Interamericano tiene como principal objetivo la protección y defensa de sus derechos</w:t>
      </w:r>
      <w:r w:rsidR="00883DB3">
        <w:rPr>
          <w:rFonts w:ascii="Arial" w:hAnsi="Arial" w:cs="Arial"/>
          <w:sz w:val="22"/>
          <w:szCs w:val="22"/>
          <w:u w:color="000000"/>
        </w:rPr>
        <w:t>, este apoyo debe influir incluso en su aspecto psicológico para que se aporte de mejor manera al proceso contribuyendo c</w:t>
      </w:r>
      <w:r w:rsidR="00152045">
        <w:rPr>
          <w:rFonts w:ascii="Arial" w:hAnsi="Arial" w:cs="Arial"/>
          <w:sz w:val="22"/>
          <w:szCs w:val="22"/>
          <w:u w:color="000000"/>
        </w:rPr>
        <w:t>on testimonios más consistentes.</w:t>
      </w:r>
      <w:r w:rsidR="00883DB3">
        <w:rPr>
          <w:rFonts w:ascii="Arial" w:hAnsi="Arial" w:cs="Arial"/>
          <w:sz w:val="22"/>
          <w:szCs w:val="22"/>
          <w:u w:color="000000"/>
        </w:rPr>
        <w:t xml:space="preserve"> </w:t>
      </w:r>
      <w:r w:rsidR="00152045">
        <w:rPr>
          <w:rFonts w:ascii="Arial" w:hAnsi="Arial" w:cs="Arial"/>
          <w:sz w:val="22"/>
          <w:szCs w:val="22"/>
          <w:u w:color="000000"/>
        </w:rPr>
        <w:t>Es</w:t>
      </w:r>
      <w:r w:rsidR="00883DB3">
        <w:rPr>
          <w:rFonts w:ascii="Arial" w:hAnsi="Arial" w:cs="Arial"/>
          <w:sz w:val="22"/>
          <w:szCs w:val="22"/>
          <w:u w:color="000000"/>
        </w:rPr>
        <w:t xml:space="preserve"> importante entonces que se deje de lado la estigmatización a la víctima durante el proceso ya que en esta instancia se ha iniciado ya con la reparación integral que es su fin último</w:t>
      </w:r>
      <w:r w:rsidR="00AE0FB8">
        <w:rPr>
          <w:rStyle w:val="Refdenotaalpie"/>
          <w:rFonts w:ascii="Arial" w:hAnsi="Arial" w:cs="Arial"/>
          <w:sz w:val="22"/>
          <w:szCs w:val="22"/>
          <w:u w:color="000000"/>
        </w:rPr>
        <w:footnoteReference w:id="52"/>
      </w:r>
      <w:r w:rsidR="00883DB3">
        <w:rPr>
          <w:rFonts w:ascii="Arial" w:hAnsi="Arial" w:cs="Arial"/>
          <w:sz w:val="22"/>
          <w:szCs w:val="22"/>
          <w:u w:color="000000"/>
        </w:rPr>
        <w:t>.</w:t>
      </w:r>
      <w:r w:rsidR="00AD346E" w:rsidRPr="00D630EF">
        <w:rPr>
          <w:rFonts w:ascii="Arial" w:hAnsi="Arial" w:cs="Arial"/>
          <w:sz w:val="22"/>
          <w:szCs w:val="22"/>
          <w:u w:color="000000"/>
        </w:rPr>
        <w:t xml:space="preserve"> </w:t>
      </w:r>
    </w:p>
    <w:p w:rsidR="00AD346E" w:rsidRDefault="00AD346E" w:rsidP="00CE4BC1">
      <w:pPr>
        <w:pStyle w:val="Body1"/>
        <w:spacing w:before="20" w:line="360" w:lineRule="auto"/>
        <w:outlineLvl w:val="0"/>
        <w:rPr>
          <w:rFonts w:ascii="Arial" w:hAnsi="Arial" w:cs="Arial"/>
          <w:sz w:val="22"/>
          <w:szCs w:val="22"/>
          <w:u w:color="000000"/>
        </w:rPr>
      </w:pPr>
    </w:p>
    <w:p w:rsidR="00B7464D" w:rsidRDefault="00CE4BC1" w:rsidP="000F3BC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w:t>
      </w:r>
      <w:r w:rsidR="001905F3">
        <w:rPr>
          <w:rFonts w:ascii="Arial" w:hAnsi="Arial" w:cs="Arial"/>
          <w:sz w:val="22"/>
          <w:szCs w:val="22"/>
          <w:u w:color="000000"/>
        </w:rPr>
        <w:t>s víctimas o sus familiares tienen</w:t>
      </w:r>
      <w:r>
        <w:rPr>
          <w:rFonts w:ascii="Arial" w:hAnsi="Arial" w:cs="Arial"/>
          <w:sz w:val="22"/>
          <w:szCs w:val="22"/>
          <w:u w:color="000000"/>
        </w:rPr>
        <w:t xml:space="preserve"> que atravesar un largo camino para ser escuchadas en las instancias internacionales de protección a los derechos humanos, muchas veces los tribunales internos </w:t>
      </w:r>
      <w:r w:rsidR="00B7464D">
        <w:rPr>
          <w:rFonts w:ascii="Arial" w:hAnsi="Arial" w:cs="Arial"/>
          <w:sz w:val="22"/>
          <w:szCs w:val="22"/>
          <w:u w:color="000000"/>
        </w:rPr>
        <w:t>no han permitido que su derecho</w:t>
      </w:r>
      <w:r>
        <w:rPr>
          <w:rFonts w:ascii="Arial" w:hAnsi="Arial" w:cs="Arial"/>
          <w:sz w:val="22"/>
          <w:szCs w:val="22"/>
          <w:u w:color="000000"/>
        </w:rPr>
        <w:t xml:space="preserve"> a participar del </w:t>
      </w:r>
      <w:r w:rsidR="001905F3">
        <w:rPr>
          <w:rFonts w:ascii="Arial" w:hAnsi="Arial" w:cs="Arial"/>
          <w:sz w:val="22"/>
          <w:szCs w:val="22"/>
          <w:u w:color="000000"/>
        </w:rPr>
        <w:t>proceso de ejerza</w:t>
      </w:r>
      <w:r>
        <w:rPr>
          <w:rFonts w:ascii="Arial" w:hAnsi="Arial" w:cs="Arial"/>
          <w:sz w:val="22"/>
          <w:szCs w:val="22"/>
          <w:u w:color="000000"/>
        </w:rPr>
        <w:t xml:space="preserve"> </w:t>
      </w:r>
      <w:r>
        <w:rPr>
          <w:rFonts w:ascii="Arial" w:hAnsi="Arial" w:cs="Arial"/>
          <w:sz w:val="22"/>
          <w:szCs w:val="22"/>
          <w:u w:color="000000"/>
        </w:rPr>
        <w:lastRenderedPageBreak/>
        <w:t>de forma amplia y libre, es por ello que lo que menos desean las víctimas o sus familiares es volver a ser restring</w:t>
      </w:r>
      <w:r w:rsidR="001905F3">
        <w:rPr>
          <w:rFonts w:ascii="Arial" w:hAnsi="Arial" w:cs="Arial"/>
          <w:sz w:val="22"/>
          <w:szCs w:val="22"/>
          <w:u w:color="000000"/>
        </w:rPr>
        <w:t>idos en su derecho a participar.</w:t>
      </w:r>
      <w:r>
        <w:rPr>
          <w:rFonts w:ascii="Arial" w:hAnsi="Arial" w:cs="Arial"/>
          <w:sz w:val="22"/>
          <w:szCs w:val="22"/>
          <w:u w:color="000000"/>
        </w:rPr>
        <w:t xml:space="preserve"> </w:t>
      </w:r>
      <w:r w:rsidR="001905F3">
        <w:rPr>
          <w:rFonts w:ascii="Arial" w:hAnsi="Arial" w:cs="Arial"/>
          <w:sz w:val="22"/>
          <w:szCs w:val="22"/>
          <w:u w:color="000000"/>
        </w:rPr>
        <w:t>Los</w:t>
      </w:r>
      <w:r>
        <w:rPr>
          <w:rFonts w:ascii="Arial" w:hAnsi="Arial" w:cs="Arial"/>
          <w:sz w:val="22"/>
          <w:szCs w:val="22"/>
          <w:u w:color="000000"/>
        </w:rPr>
        <w:t xml:space="preserve"> jueces y demás operadores deben conceder todas las facilidades y oportunidades para que los testimonios sean escuchados. </w:t>
      </w:r>
    </w:p>
    <w:p w:rsidR="00B7464D" w:rsidRDefault="00B7464D" w:rsidP="000F3BC5">
      <w:pPr>
        <w:pStyle w:val="Body1"/>
        <w:spacing w:before="20" w:line="360" w:lineRule="auto"/>
        <w:jc w:val="both"/>
        <w:outlineLvl w:val="0"/>
        <w:rPr>
          <w:rFonts w:ascii="Arial" w:hAnsi="Arial" w:cs="Arial"/>
          <w:sz w:val="22"/>
          <w:szCs w:val="22"/>
          <w:u w:color="000000"/>
        </w:rPr>
      </w:pPr>
    </w:p>
    <w:p w:rsidR="002F4912" w:rsidRDefault="00CE4BC1" w:rsidP="000F3BC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Podrían presentarse circunstancias adversas que mo</w:t>
      </w:r>
      <w:r w:rsidR="001905F3">
        <w:rPr>
          <w:rFonts w:ascii="Arial" w:hAnsi="Arial" w:cs="Arial"/>
          <w:sz w:val="22"/>
          <w:szCs w:val="22"/>
          <w:u w:color="000000"/>
        </w:rPr>
        <w:t>tiven a víctimas y familiares a</w:t>
      </w:r>
      <w:r>
        <w:rPr>
          <w:rFonts w:ascii="Arial" w:hAnsi="Arial" w:cs="Arial"/>
          <w:sz w:val="22"/>
          <w:szCs w:val="22"/>
          <w:u w:color="000000"/>
        </w:rPr>
        <w:t xml:space="preserve"> desertar de los procesos, estas pueden producirse por falta de voluntad de los jueces en incluirlas o porque no son correctamente instruidos por sus patrocinadores</w:t>
      </w:r>
      <w:r w:rsidR="001905F3">
        <w:rPr>
          <w:rFonts w:ascii="Arial" w:hAnsi="Arial" w:cs="Arial"/>
          <w:sz w:val="22"/>
          <w:szCs w:val="22"/>
          <w:u w:color="000000"/>
        </w:rPr>
        <w:t>, el desconocimiento de las víctimas sobre el SIDH</w:t>
      </w:r>
      <w:r>
        <w:rPr>
          <w:rFonts w:ascii="Arial" w:hAnsi="Arial" w:cs="Arial"/>
          <w:sz w:val="22"/>
          <w:szCs w:val="22"/>
          <w:u w:color="000000"/>
        </w:rPr>
        <w:t xml:space="preserve"> puede causar </w:t>
      </w:r>
      <w:r w:rsidR="002F4912">
        <w:rPr>
          <w:rFonts w:ascii="Arial" w:hAnsi="Arial" w:cs="Arial"/>
          <w:sz w:val="22"/>
          <w:szCs w:val="22"/>
          <w:u w:color="000000"/>
        </w:rPr>
        <w:t>falta de confianza, desorientación o posterior desinterés sumado al impacto psicológico que ello implica. Es necesario que los patrocinadores de las víctimas incluyan desde un inicio terapias de apoyo psicológico a fin de que al momento de enfrentar los pasos de</w:t>
      </w:r>
      <w:r w:rsidR="00B7464D">
        <w:rPr>
          <w:rFonts w:ascii="Arial" w:hAnsi="Arial" w:cs="Arial"/>
          <w:sz w:val="22"/>
          <w:szCs w:val="22"/>
          <w:u w:color="000000"/>
        </w:rPr>
        <w:t>l</w:t>
      </w:r>
      <w:r w:rsidR="002F4912">
        <w:rPr>
          <w:rFonts w:ascii="Arial" w:hAnsi="Arial" w:cs="Arial"/>
          <w:sz w:val="22"/>
          <w:szCs w:val="22"/>
          <w:u w:color="000000"/>
        </w:rPr>
        <w:t xml:space="preserve"> proceso no se presenten recaídas producidas por el constante recuerdo de los acontecimientos violentos, una extrema inestabilidad psicológica puede derivar en deserción y por lo tanto la ausencia de una parte importante en el proceso.</w:t>
      </w:r>
    </w:p>
    <w:p w:rsidR="002F4912" w:rsidRDefault="002F4912" w:rsidP="00CE4BC1">
      <w:pPr>
        <w:pStyle w:val="Body1"/>
        <w:spacing w:before="20" w:line="360" w:lineRule="auto"/>
        <w:jc w:val="both"/>
        <w:outlineLvl w:val="0"/>
        <w:rPr>
          <w:rFonts w:ascii="Arial" w:hAnsi="Arial" w:cs="Arial"/>
          <w:sz w:val="22"/>
          <w:szCs w:val="22"/>
          <w:u w:color="000000"/>
        </w:rPr>
      </w:pPr>
    </w:p>
    <w:p w:rsidR="003A6076" w:rsidRDefault="002F4912" w:rsidP="000F3BC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Las víctimas y sus familiares deben tener presente que su participación en el proceso es en sí parte importante del camino hacia la reparación integral, la denuncia que se expresa de manera pública implica que </w:t>
      </w:r>
      <w:r w:rsidR="003A6076">
        <w:rPr>
          <w:rFonts w:ascii="Arial" w:hAnsi="Arial" w:cs="Arial"/>
          <w:sz w:val="22"/>
          <w:szCs w:val="22"/>
          <w:u w:color="000000"/>
        </w:rPr>
        <w:t xml:space="preserve">se está exigiendo de esta instancia </w:t>
      </w:r>
      <w:r w:rsidR="00F731B3">
        <w:rPr>
          <w:rFonts w:ascii="Arial" w:hAnsi="Arial" w:cs="Arial"/>
          <w:sz w:val="22"/>
          <w:szCs w:val="22"/>
          <w:u w:color="000000"/>
        </w:rPr>
        <w:t>de justicia el respeto hacia sus</w:t>
      </w:r>
      <w:r w:rsidR="003A6076">
        <w:rPr>
          <w:rFonts w:ascii="Arial" w:hAnsi="Arial" w:cs="Arial"/>
          <w:sz w:val="22"/>
          <w:szCs w:val="22"/>
          <w:u w:color="000000"/>
        </w:rPr>
        <w:t xml:space="preserve"> </w:t>
      </w:r>
      <w:r w:rsidR="00F731B3">
        <w:rPr>
          <w:rFonts w:ascii="Arial" w:hAnsi="Arial" w:cs="Arial"/>
          <w:sz w:val="22"/>
          <w:szCs w:val="22"/>
          <w:u w:color="000000"/>
        </w:rPr>
        <w:t>derechos vulnerados y</w:t>
      </w:r>
      <w:r w:rsidR="003A6076">
        <w:rPr>
          <w:rFonts w:ascii="Arial" w:hAnsi="Arial" w:cs="Arial"/>
          <w:sz w:val="22"/>
          <w:szCs w:val="22"/>
          <w:u w:color="000000"/>
        </w:rPr>
        <w:t xml:space="preserve"> que se cumpla con la obligación jurídica de proteger y reparar.</w:t>
      </w:r>
    </w:p>
    <w:p w:rsidR="003A6076" w:rsidRDefault="003A6076" w:rsidP="00CE4BC1">
      <w:pPr>
        <w:pStyle w:val="Body1"/>
        <w:spacing w:before="20" w:line="360" w:lineRule="auto"/>
        <w:jc w:val="both"/>
        <w:outlineLvl w:val="0"/>
        <w:rPr>
          <w:rFonts w:ascii="Arial" w:hAnsi="Arial" w:cs="Arial"/>
          <w:sz w:val="22"/>
          <w:szCs w:val="22"/>
          <w:u w:color="000000"/>
        </w:rPr>
      </w:pPr>
    </w:p>
    <w:p w:rsidR="007F030D" w:rsidRDefault="003A6076" w:rsidP="000F3BC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estos casos los jueces deben considerar los testimonios de manera especial, tomando en cuenta que tales testimonios tienen una carga emotiva y psicológica. Los jueces entonces se encuentran en la tarea de relacionar los testimonios con la verdad procesal y emitir su sentencia, el estado psicológico de las víctimas y los familiares debe ser tratado con la ayuda de peritos que colaboren con documentos técnicos que permitan decidir sobre las formas más idóneas para resarcir estos daños</w:t>
      </w:r>
      <w:r w:rsidR="007F030D">
        <w:rPr>
          <w:rFonts w:ascii="Arial" w:hAnsi="Arial" w:cs="Arial"/>
          <w:sz w:val="22"/>
          <w:szCs w:val="22"/>
          <w:u w:color="000000"/>
        </w:rPr>
        <w:t xml:space="preserve">. </w:t>
      </w:r>
    </w:p>
    <w:p w:rsidR="00A00832" w:rsidRPr="00D630EF" w:rsidRDefault="003A6076" w:rsidP="007F030D">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w:t>
      </w:r>
      <w:r w:rsidR="002F4912">
        <w:rPr>
          <w:rFonts w:ascii="Arial" w:hAnsi="Arial" w:cs="Arial"/>
          <w:sz w:val="22"/>
          <w:szCs w:val="22"/>
          <w:u w:color="000000"/>
        </w:rPr>
        <w:t xml:space="preserve">    </w:t>
      </w:r>
      <w:r w:rsidR="00CE4BC1">
        <w:rPr>
          <w:rFonts w:ascii="Arial" w:hAnsi="Arial" w:cs="Arial"/>
          <w:sz w:val="22"/>
          <w:szCs w:val="22"/>
          <w:u w:color="000000"/>
        </w:rPr>
        <w:t xml:space="preserve">    </w:t>
      </w:r>
    </w:p>
    <w:p w:rsidR="00AD346E" w:rsidRDefault="00102AD1" w:rsidP="00B656C2">
      <w:pPr>
        <w:pStyle w:val="Body1"/>
        <w:numPr>
          <w:ilvl w:val="2"/>
          <w:numId w:val="7"/>
        </w:numPr>
        <w:spacing w:before="20" w:line="360" w:lineRule="auto"/>
        <w:jc w:val="both"/>
        <w:outlineLvl w:val="2"/>
        <w:rPr>
          <w:rFonts w:ascii="Arial" w:hAnsi="Arial" w:cs="Arial"/>
          <w:b/>
          <w:sz w:val="22"/>
          <w:szCs w:val="22"/>
          <w:u w:color="000000"/>
        </w:rPr>
      </w:pPr>
      <w:bookmarkStart w:id="12" w:name="_Toc356432249"/>
      <w:r>
        <w:rPr>
          <w:rFonts w:ascii="Arial" w:hAnsi="Arial" w:cs="Arial"/>
          <w:b/>
          <w:sz w:val="22"/>
          <w:szCs w:val="22"/>
          <w:u w:color="000000"/>
        </w:rPr>
        <w:t>Papel de la Corte IDH y los E</w:t>
      </w:r>
      <w:r w:rsidRPr="00634560">
        <w:rPr>
          <w:rFonts w:ascii="Arial" w:hAnsi="Arial" w:cs="Arial"/>
          <w:b/>
          <w:sz w:val="22"/>
          <w:szCs w:val="22"/>
          <w:u w:color="000000"/>
        </w:rPr>
        <w:t>stados responsables en la reparación</w:t>
      </w:r>
      <w:bookmarkEnd w:id="12"/>
    </w:p>
    <w:p w:rsidR="00F40187" w:rsidRPr="00634560" w:rsidRDefault="00F40187" w:rsidP="00F40187">
      <w:pPr>
        <w:pStyle w:val="Body1"/>
        <w:spacing w:before="20" w:line="360" w:lineRule="auto"/>
        <w:jc w:val="both"/>
        <w:outlineLvl w:val="2"/>
        <w:rPr>
          <w:rFonts w:ascii="Arial" w:hAnsi="Arial" w:cs="Arial"/>
          <w:b/>
          <w:sz w:val="22"/>
          <w:szCs w:val="22"/>
          <w:u w:color="000000"/>
        </w:rPr>
      </w:pPr>
    </w:p>
    <w:p w:rsidR="00AD346E" w:rsidRDefault="00490381" w:rsidP="00634560">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lastRenderedPageBreak/>
        <w:t>El papel de l</w:t>
      </w:r>
      <w:r w:rsidRPr="00490381">
        <w:rPr>
          <w:rFonts w:ascii="Arial" w:hAnsi="Arial" w:cs="Arial"/>
          <w:sz w:val="22"/>
          <w:szCs w:val="22"/>
          <w:u w:color="000000"/>
        </w:rPr>
        <w:t xml:space="preserve">a Corte Interamericana de Derechos Humanos </w:t>
      </w:r>
      <w:r>
        <w:rPr>
          <w:rFonts w:ascii="Arial" w:hAnsi="Arial" w:cs="Arial"/>
          <w:sz w:val="22"/>
          <w:szCs w:val="22"/>
          <w:u w:color="000000"/>
        </w:rPr>
        <w:t xml:space="preserve">como </w:t>
      </w:r>
      <w:r w:rsidR="00504C0F" w:rsidRPr="00490381">
        <w:rPr>
          <w:rFonts w:ascii="Arial" w:hAnsi="Arial" w:cs="Arial"/>
          <w:sz w:val="22"/>
          <w:szCs w:val="22"/>
          <w:u w:color="000000"/>
        </w:rPr>
        <w:t>institución ju</w:t>
      </w:r>
      <w:r w:rsidR="00504C0F">
        <w:rPr>
          <w:rFonts w:ascii="Arial" w:hAnsi="Arial" w:cs="Arial"/>
          <w:sz w:val="22"/>
          <w:szCs w:val="22"/>
          <w:u w:color="000000"/>
        </w:rPr>
        <w:t>dicial autónoma según</w:t>
      </w:r>
      <w:r>
        <w:rPr>
          <w:rFonts w:ascii="Arial" w:hAnsi="Arial" w:cs="Arial"/>
          <w:sz w:val="22"/>
          <w:szCs w:val="22"/>
          <w:u w:color="000000"/>
        </w:rPr>
        <w:t xml:space="preserve"> señala el artículo 1 de su Estatuto</w:t>
      </w:r>
      <w:r w:rsidR="00F731B3">
        <w:rPr>
          <w:rFonts w:ascii="Arial" w:hAnsi="Arial" w:cs="Arial"/>
          <w:sz w:val="22"/>
          <w:szCs w:val="22"/>
          <w:u w:color="000000"/>
        </w:rPr>
        <w:t>,</w:t>
      </w:r>
      <w:r>
        <w:rPr>
          <w:rFonts w:ascii="Arial" w:hAnsi="Arial" w:cs="Arial"/>
          <w:sz w:val="22"/>
          <w:szCs w:val="22"/>
          <w:u w:color="000000"/>
        </w:rPr>
        <w:t xml:space="preserve"> es </w:t>
      </w:r>
      <w:r w:rsidRPr="00490381">
        <w:rPr>
          <w:rFonts w:ascii="Arial" w:hAnsi="Arial" w:cs="Arial"/>
          <w:sz w:val="22"/>
          <w:szCs w:val="22"/>
          <w:u w:color="000000"/>
        </w:rPr>
        <w:t>la aplicación e interpretación de la Convención Americana sobre Derechos Humanos</w:t>
      </w:r>
      <w:r>
        <w:rPr>
          <w:rStyle w:val="Refdenotaalpie"/>
          <w:rFonts w:ascii="Arial" w:hAnsi="Arial" w:cs="Arial"/>
          <w:sz w:val="22"/>
          <w:szCs w:val="22"/>
          <w:u w:color="000000"/>
        </w:rPr>
        <w:footnoteReference w:id="53"/>
      </w:r>
      <w:r w:rsidR="00504C0F">
        <w:rPr>
          <w:rFonts w:ascii="Arial" w:hAnsi="Arial" w:cs="Arial"/>
          <w:sz w:val="22"/>
          <w:szCs w:val="22"/>
          <w:u w:color="000000"/>
        </w:rPr>
        <w:t>.</w:t>
      </w:r>
    </w:p>
    <w:p w:rsidR="00504C0F" w:rsidRDefault="00504C0F" w:rsidP="00D630EF">
      <w:pPr>
        <w:pStyle w:val="Body1"/>
        <w:spacing w:before="20" w:line="360" w:lineRule="auto"/>
        <w:outlineLvl w:val="0"/>
        <w:rPr>
          <w:rFonts w:ascii="Arial" w:hAnsi="Arial" w:cs="Arial"/>
          <w:sz w:val="22"/>
          <w:szCs w:val="22"/>
          <w:u w:color="000000"/>
        </w:rPr>
      </w:pPr>
    </w:p>
    <w:p w:rsidR="002D44EE" w:rsidRDefault="00D575ED" w:rsidP="002D44EE">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Desde el Primer caso contencioso resuelto por la Corte IDH, el caso Velásquez Rodríguez vs. Honduras</w:t>
      </w:r>
      <w:r w:rsidR="002D44EE">
        <w:rPr>
          <w:rFonts w:ascii="Arial" w:hAnsi="Arial" w:cs="Arial"/>
          <w:sz w:val="22"/>
          <w:szCs w:val="22"/>
          <w:u w:color="000000"/>
        </w:rPr>
        <w:t>, se ha tenido presente el concepto de reparación integral. Sin embargo al punto principal al que se hace referencia en cuanto a reparaciones es al de la indemnización</w:t>
      </w:r>
      <w:r w:rsidR="002D44EE" w:rsidRPr="002D44EE">
        <w:rPr>
          <w:rFonts w:ascii="Arial" w:hAnsi="Arial" w:cs="Arial"/>
          <w:sz w:val="22"/>
          <w:szCs w:val="22"/>
          <w:u w:color="000000"/>
        </w:rPr>
        <w:t>.</w:t>
      </w:r>
      <w:r w:rsidR="002D44EE">
        <w:rPr>
          <w:rFonts w:ascii="Arial" w:hAnsi="Arial" w:cs="Arial"/>
          <w:sz w:val="22"/>
          <w:szCs w:val="22"/>
          <w:u w:color="000000"/>
        </w:rPr>
        <w:t xml:space="preserve"> A pesar de ello </w:t>
      </w:r>
      <w:r w:rsidR="002C390E">
        <w:rPr>
          <w:rFonts w:ascii="Arial" w:hAnsi="Arial" w:cs="Arial"/>
          <w:sz w:val="22"/>
          <w:szCs w:val="22"/>
          <w:u w:color="000000"/>
        </w:rPr>
        <w:t>se ordena al Estado responsable investigar los hechos, además el deber de prevenir la posible comisión de desapariciones forzadas y sancionar a los responsables directos de las mismas</w:t>
      </w:r>
      <w:r w:rsidR="00EF7DBE">
        <w:rPr>
          <w:rStyle w:val="Refdenotaalpie"/>
          <w:rFonts w:ascii="Arial" w:hAnsi="Arial" w:cs="Arial"/>
          <w:sz w:val="22"/>
          <w:szCs w:val="22"/>
          <w:u w:color="000000"/>
        </w:rPr>
        <w:footnoteReference w:id="54"/>
      </w:r>
      <w:r w:rsidR="0082761C">
        <w:rPr>
          <w:rFonts w:ascii="Arial" w:hAnsi="Arial" w:cs="Arial"/>
          <w:sz w:val="22"/>
          <w:szCs w:val="22"/>
          <w:u w:color="000000"/>
        </w:rPr>
        <w:t>.</w:t>
      </w:r>
      <w:r w:rsidR="002C390E">
        <w:rPr>
          <w:rFonts w:ascii="Arial" w:hAnsi="Arial" w:cs="Arial"/>
          <w:sz w:val="22"/>
          <w:szCs w:val="22"/>
          <w:u w:color="000000"/>
        </w:rPr>
        <w:t xml:space="preserve"> </w:t>
      </w:r>
    </w:p>
    <w:p w:rsidR="00D575ED" w:rsidRDefault="002D44EE" w:rsidP="002D44EE">
      <w:pPr>
        <w:pStyle w:val="Body1"/>
        <w:spacing w:before="20" w:line="360" w:lineRule="auto"/>
        <w:jc w:val="both"/>
        <w:outlineLvl w:val="0"/>
        <w:rPr>
          <w:rFonts w:ascii="Arial" w:hAnsi="Arial" w:cs="Arial"/>
          <w:sz w:val="22"/>
          <w:szCs w:val="22"/>
          <w:u w:color="000000"/>
        </w:rPr>
      </w:pPr>
      <w:r w:rsidRPr="002D44EE">
        <w:rPr>
          <w:rFonts w:ascii="Arial" w:hAnsi="Arial" w:cs="Arial"/>
          <w:sz w:val="22"/>
          <w:szCs w:val="22"/>
          <w:u w:color="000000"/>
        </w:rPr>
        <w:t xml:space="preserve"> </w:t>
      </w:r>
      <w:r>
        <w:rPr>
          <w:rFonts w:ascii="Arial" w:hAnsi="Arial" w:cs="Arial"/>
          <w:sz w:val="22"/>
          <w:szCs w:val="22"/>
          <w:u w:color="000000"/>
        </w:rPr>
        <w:t xml:space="preserve">  </w:t>
      </w:r>
      <w:r w:rsidR="00D575ED">
        <w:rPr>
          <w:rFonts w:ascii="Arial" w:hAnsi="Arial" w:cs="Arial"/>
          <w:sz w:val="22"/>
          <w:szCs w:val="22"/>
          <w:u w:color="000000"/>
        </w:rPr>
        <w:t xml:space="preserve">  </w:t>
      </w:r>
    </w:p>
    <w:p w:rsidR="003F755F" w:rsidRDefault="00504C0F"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w:t>
      </w:r>
      <w:r w:rsidR="00B95954">
        <w:rPr>
          <w:rFonts w:ascii="Arial" w:hAnsi="Arial" w:cs="Arial"/>
          <w:sz w:val="22"/>
          <w:szCs w:val="22"/>
          <w:u w:color="000000"/>
        </w:rPr>
        <w:t xml:space="preserve">a Convención Americana sobre Derechos Humanos </w:t>
      </w:r>
      <w:r w:rsidR="003F755F">
        <w:rPr>
          <w:rFonts w:ascii="Arial" w:hAnsi="Arial" w:cs="Arial"/>
          <w:sz w:val="22"/>
          <w:szCs w:val="22"/>
          <w:u w:color="000000"/>
        </w:rPr>
        <w:t>en su artí</w:t>
      </w:r>
      <w:r>
        <w:rPr>
          <w:rFonts w:ascii="Arial" w:hAnsi="Arial" w:cs="Arial"/>
          <w:sz w:val="22"/>
          <w:szCs w:val="22"/>
          <w:u w:color="000000"/>
        </w:rPr>
        <w:t>culo 63, numeral 1 determina el papel de la Corte IDH en cuanto a reparaciones</w:t>
      </w:r>
      <w:r w:rsidR="003F755F">
        <w:rPr>
          <w:rFonts w:ascii="Arial" w:hAnsi="Arial" w:cs="Arial"/>
          <w:sz w:val="22"/>
          <w:szCs w:val="22"/>
          <w:u w:color="000000"/>
        </w:rPr>
        <w:t xml:space="preserve">: </w:t>
      </w:r>
    </w:p>
    <w:p w:rsidR="00CB1790" w:rsidRDefault="00CB1790" w:rsidP="003F755F">
      <w:pPr>
        <w:pStyle w:val="Body1"/>
        <w:spacing w:before="20" w:line="276" w:lineRule="auto"/>
        <w:jc w:val="both"/>
        <w:outlineLvl w:val="0"/>
        <w:rPr>
          <w:rFonts w:ascii="Arial" w:hAnsi="Arial" w:cs="Arial"/>
          <w:i/>
          <w:sz w:val="18"/>
          <w:szCs w:val="18"/>
          <w:u w:color="000000"/>
        </w:rPr>
      </w:pPr>
    </w:p>
    <w:p w:rsidR="003F755F" w:rsidRPr="002F24FA" w:rsidRDefault="003F755F" w:rsidP="00806781">
      <w:pPr>
        <w:pStyle w:val="Body1"/>
        <w:spacing w:before="20" w:line="276" w:lineRule="auto"/>
        <w:ind w:left="720"/>
        <w:jc w:val="both"/>
        <w:outlineLvl w:val="0"/>
        <w:rPr>
          <w:rFonts w:ascii="Arial" w:hAnsi="Arial" w:cs="Arial"/>
          <w:sz w:val="20"/>
          <w:u w:color="000000"/>
        </w:rPr>
      </w:pPr>
      <w:r w:rsidRPr="002F24FA">
        <w:rPr>
          <w:rFonts w:ascii="Arial" w:hAnsi="Arial" w:cs="Arial"/>
          <w:sz w:val="20"/>
          <w:u w:color="000000"/>
        </w:rPr>
        <w:t>Cuando decida que hubo violación de un derecho o libertad protegidos en esta Convención, la Corte dispondrá que se garantice al lesionado en el goce de su derecho o libertad conculcados.  Dispondrá asimismo, si ello fuera procedente, que se reparen las consecuencias de la medida o situación que ha configurado la vulneración de esos derechos y el pago de una justa indemnización a la parte lesionada</w:t>
      </w:r>
      <w:r w:rsidRPr="002F24FA">
        <w:rPr>
          <w:rStyle w:val="Refdenotaalpie"/>
          <w:rFonts w:ascii="Arial" w:hAnsi="Arial" w:cs="Arial"/>
          <w:sz w:val="20"/>
          <w:u w:color="000000"/>
        </w:rPr>
        <w:footnoteReference w:id="55"/>
      </w:r>
      <w:r w:rsidRPr="002F24FA">
        <w:rPr>
          <w:rFonts w:ascii="Arial" w:hAnsi="Arial" w:cs="Arial"/>
          <w:sz w:val="20"/>
          <w:u w:color="000000"/>
        </w:rPr>
        <w:t>.</w:t>
      </w:r>
    </w:p>
    <w:p w:rsidR="004C1267" w:rsidRDefault="004C1267" w:rsidP="003F755F">
      <w:pPr>
        <w:pStyle w:val="Body1"/>
        <w:spacing w:before="20" w:line="276" w:lineRule="auto"/>
        <w:jc w:val="both"/>
        <w:outlineLvl w:val="0"/>
        <w:rPr>
          <w:rFonts w:ascii="Arial" w:hAnsi="Arial" w:cs="Arial"/>
          <w:sz w:val="18"/>
          <w:szCs w:val="18"/>
          <w:u w:color="000000"/>
        </w:rPr>
      </w:pPr>
    </w:p>
    <w:p w:rsidR="009D1598" w:rsidRDefault="009D1598" w:rsidP="00F40187">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Las presuntas víctimas o sus representantes deben presentar ante la Corte IDH el escrito de solicitudes, argumentos y pruebas una vez notificada la presentación del caso, en este escrito constarán además </w:t>
      </w:r>
      <w:r w:rsidRPr="009D1598">
        <w:rPr>
          <w:rFonts w:ascii="Arial" w:hAnsi="Arial" w:cs="Arial"/>
          <w:sz w:val="22"/>
          <w:szCs w:val="22"/>
          <w:u w:color="000000"/>
        </w:rPr>
        <w:t>las pretensiones, incluidas las referidas a reparaciones y costas</w:t>
      </w:r>
      <w:r>
        <w:rPr>
          <w:rStyle w:val="Refdenotaalpie"/>
          <w:rFonts w:ascii="Arial" w:hAnsi="Arial" w:cs="Arial"/>
          <w:sz w:val="22"/>
          <w:szCs w:val="22"/>
          <w:u w:color="000000"/>
        </w:rPr>
        <w:footnoteReference w:id="56"/>
      </w:r>
      <w:r>
        <w:rPr>
          <w:rFonts w:ascii="Arial" w:hAnsi="Arial" w:cs="Arial"/>
          <w:sz w:val="22"/>
          <w:szCs w:val="22"/>
          <w:u w:color="000000"/>
        </w:rPr>
        <w:t xml:space="preserve">  </w:t>
      </w:r>
    </w:p>
    <w:p w:rsidR="009D1598" w:rsidRDefault="009D1598" w:rsidP="004C1267">
      <w:pPr>
        <w:pStyle w:val="Body1"/>
        <w:spacing w:before="20" w:line="276" w:lineRule="auto"/>
        <w:jc w:val="both"/>
        <w:outlineLvl w:val="0"/>
        <w:rPr>
          <w:rFonts w:ascii="Arial" w:hAnsi="Arial" w:cs="Arial"/>
          <w:sz w:val="22"/>
          <w:szCs w:val="22"/>
          <w:u w:color="000000"/>
        </w:rPr>
      </w:pPr>
    </w:p>
    <w:p w:rsidR="004C1267" w:rsidRDefault="009D1598" w:rsidP="00F40187">
      <w:pPr>
        <w:pStyle w:val="Body1"/>
        <w:spacing w:before="20" w:line="360" w:lineRule="auto"/>
        <w:jc w:val="both"/>
        <w:outlineLvl w:val="0"/>
        <w:rPr>
          <w:rFonts w:ascii="Arial" w:hAnsi="Arial" w:cs="Arial"/>
          <w:i/>
          <w:sz w:val="18"/>
          <w:szCs w:val="18"/>
          <w:u w:color="000000"/>
        </w:rPr>
      </w:pPr>
      <w:r>
        <w:rPr>
          <w:rFonts w:ascii="Arial" w:hAnsi="Arial" w:cs="Arial"/>
          <w:sz w:val="22"/>
          <w:szCs w:val="22"/>
          <w:u w:color="000000"/>
        </w:rPr>
        <w:t xml:space="preserve">La Corte IDH en los casos aplicables debe decidir sobre las reparaciones correspondientes, así lo señala el artículo </w:t>
      </w:r>
      <w:r w:rsidR="004C1267" w:rsidRPr="004C1267">
        <w:rPr>
          <w:rFonts w:ascii="Arial" w:hAnsi="Arial" w:cs="Arial"/>
          <w:sz w:val="22"/>
          <w:szCs w:val="22"/>
          <w:u w:color="000000"/>
        </w:rPr>
        <w:t>66</w:t>
      </w:r>
      <w:r w:rsidR="001E116E">
        <w:rPr>
          <w:rFonts w:ascii="Arial" w:hAnsi="Arial" w:cs="Arial"/>
          <w:sz w:val="22"/>
          <w:szCs w:val="22"/>
          <w:u w:color="000000"/>
        </w:rPr>
        <w:t>, numeral 1</w:t>
      </w:r>
      <w:r>
        <w:rPr>
          <w:rFonts w:ascii="Arial" w:hAnsi="Arial" w:cs="Arial"/>
          <w:sz w:val="22"/>
          <w:szCs w:val="22"/>
          <w:u w:color="000000"/>
        </w:rPr>
        <w:t xml:space="preserve"> del Reglamento de la Corte IDH,</w:t>
      </w:r>
      <w:r w:rsidR="001E116E">
        <w:rPr>
          <w:rFonts w:ascii="Arial" w:hAnsi="Arial" w:cs="Arial"/>
          <w:sz w:val="22"/>
          <w:szCs w:val="22"/>
          <w:u w:color="000000"/>
        </w:rPr>
        <w:t xml:space="preserve"> </w:t>
      </w:r>
      <w:r w:rsidR="001E116E" w:rsidRPr="002F24FA">
        <w:rPr>
          <w:rFonts w:ascii="Arial" w:hAnsi="Arial" w:cs="Arial"/>
          <w:sz w:val="22"/>
          <w:szCs w:val="22"/>
          <w:u w:color="000000"/>
        </w:rPr>
        <w:t>“</w:t>
      </w:r>
      <w:r w:rsidR="004C1267" w:rsidRPr="002F24FA">
        <w:rPr>
          <w:rFonts w:ascii="Arial" w:hAnsi="Arial" w:cs="Arial"/>
          <w:i/>
          <w:sz w:val="22"/>
          <w:szCs w:val="22"/>
          <w:u w:color="000000"/>
        </w:rPr>
        <w:t xml:space="preserve">Cuando en la sentencia de fondo no se hubiere decidido específicamente </w:t>
      </w:r>
      <w:r w:rsidRPr="002F24FA">
        <w:rPr>
          <w:rFonts w:ascii="Arial" w:hAnsi="Arial" w:cs="Arial"/>
          <w:i/>
          <w:sz w:val="22"/>
          <w:szCs w:val="22"/>
          <w:u w:color="000000"/>
        </w:rPr>
        <w:t xml:space="preserve"> </w:t>
      </w:r>
      <w:r w:rsidR="004C1267" w:rsidRPr="002F24FA">
        <w:rPr>
          <w:rFonts w:ascii="Arial" w:hAnsi="Arial" w:cs="Arial"/>
          <w:i/>
          <w:sz w:val="22"/>
          <w:szCs w:val="22"/>
          <w:u w:color="000000"/>
        </w:rPr>
        <w:t xml:space="preserve">sobre reparaciones y costas, la Corte fijará la oportunidad para su posterior decisión </w:t>
      </w:r>
      <w:r w:rsidRPr="002F24FA">
        <w:rPr>
          <w:rFonts w:ascii="Arial" w:hAnsi="Arial" w:cs="Arial"/>
          <w:i/>
          <w:sz w:val="22"/>
          <w:szCs w:val="22"/>
          <w:u w:color="000000"/>
        </w:rPr>
        <w:t xml:space="preserve"> </w:t>
      </w:r>
      <w:r w:rsidR="004C1267" w:rsidRPr="002F24FA">
        <w:rPr>
          <w:rFonts w:ascii="Arial" w:hAnsi="Arial" w:cs="Arial"/>
          <w:i/>
          <w:sz w:val="22"/>
          <w:szCs w:val="22"/>
          <w:u w:color="000000"/>
        </w:rPr>
        <w:t>y determinará el procedimiento</w:t>
      </w:r>
      <w:r w:rsidR="001E116E" w:rsidRPr="002F24FA">
        <w:rPr>
          <w:rFonts w:ascii="Arial" w:hAnsi="Arial" w:cs="Arial"/>
          <w:i/>
          <w:sz w:val="22"/>
          <w:szCs w:val="22"/>
          <w:u w:color="000000"/>
        </w:rPr>
        <w:t>”</w:t>
      </w:r>
      <w:r w:rsidR="001E116E">
        <w:rPr>
          <w:rStyle w:val="Refdenotaalpie"/>
          <w:rFonts w:ascii="Arial" w:hAnsi="Arial" w:cs="Arial"/>
          <w:i/>
          <w:sz w:val="18"/>
          <w:szCs w:val="18"/>
          <w:u w:color="000000"/>
        </w:rPr>
        <w:footnoteReference w:id="57"/>
      </w:r>
      <w:r w:rsidR="004C1267" w:rsidRPr="001E116E">
        <w:rPr>
          <w:rFonts w:ascii="Arial" w:hAnsi="Arial" w:cs="Arial"/>
          <w:i/>
          <w:sz w:val="18"/>
          <w:szCs w:val="18"/>
          <w:u w:color="000000"/>
        </w:rPr>
        <w:t>.</w:t>
      </w:r>
    </w:p>
    <w:p w:rsidR="007D3B14" w:rsidRDefault="007D3B14" w:rsidP="007D3B14">
      <w:pPr>
        <w:pStyle w:val="Body1"/>
        <w:spacing w:before="20" w:line="276" w:lineRule="auto"/>
        <w:jc w:val="both"/>
        <w:outlineLvl w:val="0"/>
        <w:rPr>
          <w:rFonts w:ascii="Arial" w:hAnsi="Arial" w:cs="Arial"/>
          <w:i/>
          <w:sz w:val="18"/>
          <w:szCs w:val="18"/>
          <w:u w:color="000000"/>
        </w:rPr>
      </w:pPr>
    </w:p>
    <w:p w:rsidR="007D3B14" w:rsidRPr="007D3B14" w:rsidRDefault="007D3B14" w:rsidP="00926B59">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lastRenderedPageBreak/>
        <w:t xml:space="preserve">Dentro del papel fundamental de protección de los derechos humanos de la Corte IDH, es importante hacer referencia a la atribución que tiene de tomar las medidas provisionales que estime pertinentes, ello con el fin de </w:t>
      </w:r>
      <w:r w:rsidR="005C16A0">
        <w:rPr>
          <w:rFonts w:ascii="Arial" w:hAnsi="Arial" w:cs="Arial"/>
          <w:sz w:val="22"/>
          <w:szCs w:val="22"/>
          <w:u w:color="000000"/>
        </w:rPr>
        <w:t xml:space="preserve">evitar </w:t>
      </w:r>
      <w:r>
        <w:rPr>
          <w:rFonts w:ascii="Arial" w:hAnsi="Arial" w:cs="Arial"/>
          <w:sz w:val="22"/>
          <w:szCs w:val="22"/>
          <w:u w:color="000000"/>
        </w:rPr>
        <w:t>daños irreparables</w:t>
      </w:r>
      <w:r w:rsidR="00504C0F">
        <w:rPr>
          <w:rFonts w:ascii="Arial" w:hAnsi="Arial" w:cs="Arial"/>
          <w:sz w:val="22"/>
          <w:szCs w:val="22"/>
          <w:u w:color="000000"/>
        </w:rPr>
        <w:t>;</w:t>
      </w:r>
      <w:r w:rsidR="005C16A0">
        <w:rPr>
          <w:rFonts w:ascii="Arial" w:hAnsi="Arial" w:cs="Arial"/>
          <w:sz w:val="22"/>
          <w:szCs w:val="22"/>
          <w:u w:color="000000"/>
        </w:rPr>
        <w:t xml:space="preserve"> esta consideración se realiza en casos de extrema gravedad y urgencia</w:t>
      </w:r>
      <w:r w:rsidR="005C16A0">
        <w:rPr>
          <w:rStyle w:val="Refdenotaalpie"/>
          <w:rFonts w:ascii="Arial" w:hAnsi="Arial" w:cs="Arial"/>
          <w:sz w:val="22"/>
          <w:szCs w:val="22"/>
          <w:u w:color="000000"/>
        </w:rPr>
        <w:footnoteReference w:id="58"/>
      </w:r>
      <w:r>
        <w:rPr>
          <w:rFonts w:ascii="Arial" w:hAnsi="Arial" w:cs="Arial"/>
          <w:sz w:val="22"/>
          <w:szCs w:val="22"/>
          <w:u w:color="000000"/>
        </w:rPr>
        <w:t xml:space="preserve"> </w:t>
      </w:r>
    </w:p>
    <w:p w:rsidR="001E116E" w:rsidRPr="00D630EF" w:rsidRDefault="001E116E" w:rsidP="001E116E">
      <w:pPr>
        <w:pStyle w:val="Body1"/>
        <w:spacing w:before="20" w:line="360" w:lineRule="auto"/>
        <w:outlineLvl w:val="0"/>
        <w:rPr>
          <w:rFonts w:ascii="Arial" w:hAnsi="Arial" w:cs="Arial"/>
          <w:sz w:val="22"/>
          <w:szCs w:val="22"/>
          <w:u w:color="000000"/>
        </w:rPr>
      </w:pPr>
    </w:p>
    <w:p w:rsidR="00F56F2F" w:rsidRDefault="00F56F2F"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Para garantizar el cumplimiento de las medidas tomadas, la Corte IDH actuará según lo determinado en el artículo</w:t>
      </w:r>
      <w:r w:rsidR="00B04FD5">
        <w:rPr>
          <w:rFonts w:ascii="Arial" w:hAnsi="Arial" w:cs="Arial"/>
          <w:sz w:val="22"/>
          <w:szCs w:val="22"/>
          <w:u w:color="000000"/>
        </w:rPr>
        <w:t xml:space="preserve"> 27</w:t>
      </w:r>
      <w:r>
        <w:rPr>
          <w:rFonts w:ascii="Arial" w:hAnsi="Arial" w:cs="Arial"/>
          <w:sz w:val="22"/>
          <w:szCs w:val="22"/>
          <w:u w:color="000000"/>
        </w:rPr>
        <w:t xml:space="preserve">, numeral </w:t>
      </w:r>
      <w:r w:rsidRPr="00F56F2F">
        <w:rPr>
          <w:rFonts w:ascii="Arial" w:hAnsi="Arial" w:cs="Arial"/>
          <w:sz w:val="22"/>
          <w:szCs w:val="22"/>
          <w:u w:color="000000"/>
        </w:rPr>
        <w:t>7</w:t>
      </w:r>
      <w:r>
        <w:rPr>
          <w:rFonts w:ascii="Arial" w:hAnsi="Arial" w:cs="Arial"/>
          <w:sz w:val="22"/>
          <w:szCs w:val="22"/>
          <w:u w:color="000000"/>
        </w:rPr>
        <w:t xml:space="preserve"> de su Reglamento: </w:t>
      </w:r>
    </w:p>
    <w:p w:rsidR="00806781" w:rsidRDefault="00806781" w:rsidP="00F56F2F">
      <w:pPr>
        <w:pStyle w:val="Body1"/>
        <w:spacing w:before="20" w:line="360" w:lineRule="auto"/>
        <w:jc w:val="both"/>
        <w:outlineLvl w:val="0"/>
        <w:rPr>
          <w:rFonts w:ascii="Arial" w:hAnsi="Arial" w:cs="Arial"/>
          <w:i/>
          <w:sz w:val="18"/>
          <w:szCs w:val="18"/>
          <w:u w:color="000000"/>
        </w:rPr>
      </w:pPr>
    </w:p>
    <w:p w:rsidR="007D3B14" w:rsidRPr="002F24FA" w:rsidRDefault="00F56F2F" w:rsidP="00926B59">
      <w:pPr>
        <w:pStyle w:val="Body1"/>
        <w:spacing w:before="20" w:line="276" w:lineRule="auto"/>
        <w:ind w:left="720"/>
        <w:jc w:val="both"/>
        <w:outlineLvl w:val="0"/>
        <w:rPr>
          <w:rFonts w:ascii="Arial" w:hAnsi="Arial" w:cs="Arial"/>
          <w:sz w:val="20"/>
          <w:u w:color="000000"/>
        </w:rPr>
      </w:pPr>
      <w:r w:rsidRPr="002F24FA">
        <w:rPr>
          <w:rFonts w:ascii="Arial" w:hAnsi="Arial" w:cs="Arial"/>
          <w:sz w:val="20"/>
          <w:u w:color="000000"/>
        </w:rPr>
        <w:t>La supervisión de las medidas urgentes o provisionales ordenadas se realizará  mediante la presentación de informes estatales y de las correspondientes observaciones a dichos informes por parte de los beneficiarios de dichas medidas o  sus representantes. La Comisión deberá presentar observaciones al informe del  Estado y a las observaciones de los beneficiarios de las medidas o sus  representantes</w:t>
      </w:r>
      <w:r w:rsidR="00B04FD5" w:rsidRPr="002F24FA">
        <w:rPr>
          <w:rStyle w:val="Refdenotaalpie"/>
          <w:rFonts w:ascii="Arial" w:hAnsi="Arial" w:cs="Arial"/>
          <w:sz w:val="20"/>
          <w:u w:color="000000"/>
        </w:rPr>
        <w:footnoteReference w:id="59"/>
      </w:r>
    </w:p>
    <w:p w:rsidR="00B04FD5" w:rsidRPr="00F56F2F" w:rsidRDefault="00B04FD5" w:rsidP="00F56F2F">
      <w:pPr>
        <w:pStyle w:val="Body1"/>
        <w:spacing w:before="20" w:line="360" w:lineRule="auto"/>
        <w:jc w:val="both"/>
        <w:outlineLvl w:val="0"/>
        <w:rPr>
          <w:rFonts w:ascii="Arial" w:hAnsi="Arial" w:cs="Arial"/>
          <w:i/>
          <w:sz w:val="18"/>
          <w:szCs w:val="18"/>
          <w:u w:color="000000"/>
        </w:rPr>
      </w:pPr>
    </w:p>
    <w:p w:rsidR="001E116E" w:rsidRDefault="00B04FD5"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el caso de que tales medidas sean tomadas, hay que considerar que son los E</w:t>
      </w:r>
      <w:r w:rsidR="001E116E" w:rsidRPr="00D630EF">
        <w:rPr>
          <w:rFonts w:ascii="Arial" w:hAnsi="Arial" w:cs="Arial"/>
          <w:sz w:val="22"/>
          <w:szCs w:val="22"/>
          <w:u w:color="000000"/>
        </w:rPr>
        <w:t xml:space="preserve">stados presuntamente responsables los que </w:t>
      </w:r>
      <w:r>
        <w:rPr>
          <w:rFonts w:ascii="Arial" w:hAnsi="Arial" w:cs="Arial"/>
          <w:sz w:val="22"/>
          <w:szCs w:val="22"/>
          <w:u w:color="000000"/>
        </w:rPr>
        <w:t xml:space="preserve">deben brindaras, y en muchos casos son los </w:t>
      </w:r>
      <w:r w:rsidR="00504C0F">
        <w:rPr>
          <w:rFonts w:ascii="Arial" w:hAnsi="Arial" w:cs="Arial"/>
          <w:sz w:val="22"/>
          <w:szCs w:val="22"/>
          <w:u w:color="000000"/>
        </w:rPr>
        <w:t xml:space="preserve">mismos </w:t>
      </w:r>
      <w:r>
        <w:rPr>
          <w:rFonts w:ascii="Arial" w:hAnsi="Arial" w:cs="Arial"/>
          <w:sz w:val="22"/>
          <w:szCs w:val="22"/>
          <w:u w:color="000000"/>
        </w:rPr>
        <w:t>Estados y sus agentes quienes están provocando o a punto de provocar las vulneraciones</w:t>
      </w:r>
      <w:r w:rsidR="00504C0F">
        <w:rPr>
          <w:rFonts w:ascii="Arial" w:hAnsi="Arial" w:cs="Arial"/>
          <w:sz w:val="22"/>
          <w:szCs w:val="22"/>
          <w:u w:color="000000"/>
        </w:rPr>
        <w:t>, su cumplimiento</w:t>
      </w:r>
      <w:r w:rsidR="007B6C38">
        <w:rPr>
          <w:rFonts w:ascii="Arial" w:hAnsi="Arial" w:cs="Arial"/>
          <w:sz w:val="22"/>
          <w:szCs w:val="22"/>
          <w:u w:color="000000"/>
        </w:rPr>
        <w:t xml:space="preserve"> puede presentar dificultades y obstáculos</w:t>
      </w:r>
      <w:r w:rsidR="00504C0F">
        <w:rPr>
          <w:rFonts w:ascii="Arial" w:hAnsi="Arial" w:cs="Arial"/>
          <w:sz w:val="22"/>
          <w:szCs w:val="22"/>
          <w:u w:color="000000"/>
        </w:rPr>
        <w:t>, por ello en varios casos los afectados renuncian</w:t>
      </w:r>
      <w:r>
        <w:rPr>
          <w:rFonts w:ascii="Arial" w:hAnsi="Arial" w:cs="Arial"/>
          <w:sz w:val="22"/>
          <w:szCs w:val="22"/>
          <w:u w:color="000000"/>
        </w:rPr>
        <w:t xml:space="preserve"> a la posibilidad de que la Co</w:t>
      </w:r>
      <w:r w:rsidR="00F731B3">
        <w:rPr>
          <w:rFonts w:ascii="Arial" w:hAnsi="Arial" w:cs="Arial"/>
          <w:sz w:val="22"/>
          <w:szCs w:val="22"/>
          <w:u w:color="000000"/>
        </w:rPr>
        <w:t>rte IDH dicte tales medidas.</w:t>
      </w:r>
      <w:r>
        <w:rPr>
          <w:rFonts w:ascii="Arial" w:hAnsi="Arial" w:cs="Arial"/>
          <w:sz w:val="22"/>
          <w:szCs w:val="22"/>
          <w:u w:color="000000"/>
        </w:rPr>
        <w:t xml:space="preserve"> </w:t>
      </w:r>
    </w:p>
    <w:p w:rsidR="00160FCD" w:rsidRPr="00D630EF" w:rsidRDefault="00160FCD" w:rsidP="001E116E">
      <w:pPr>
        <w:pStyle w:val="Body1"/>
        <w:spacing w:before="20" w:line="360" w:lineRule="auto"/>
        <w:jc w:val="both"/>
        <w:outlineLvl w:val="0"/>
        <w:rPr>
          <w:rFonts w:ascii="Arial" w:hAnsi="Arial" w:cs="Arial"/>
          <w:sz w:val="22"/>
          <w:szCs w:val="22"/>
          <w:u w:color="000000"/>
        </w:rPr>
      </w:pPr>
    </w:p>
    <w:p w:rsidR="00160FCD" w:rsidRDefault="007B6C38" w:rsidP="00705EB3">
      <w:pPr>
        <w:pStyle w:val="Body1"/>
        <w:spacing w:before="20" w:line="360" w:lineRule="auto"/>
        <w:jc w:val="both"/>
        <w:outlineLvl w:val="0"/>
        <w:rPr>
          <w:rFonts w:ascii="Arial" w:hAnsi="Arial" w:cs="Arial"/>
          <w:i/>
          <w:sz w:val="18"/>
          <w:szCs w:val="18"/>
          <w:u w:color="000000"/>
        </w:rPr>
      </w:pPr>
      <w:r>
        <w:rPr>
          <w:rFonts w:ascii="Arial" w:hAnsi="Arial" w:cs="Arial"/>
          <w:sz w:val="22"/>
          <w:szCs w:val="22"/>
          <w:u w:color="000000"/>
        </w:rPr>
        <w:t>De manera general la Corte IDH debe buscar por todo medio posibl</w:t>
      </w:r>
      <w:r w:rsidR="00E8662E">
        <w:rPr>
          <w:rFonts w:ascii="Arial" w:hAnsi="Arial" w:cs="Arial"/>
          <w:sz w:val="22"/>
          <w:szCs w:val="22"/>
          <w:u w:color="000000"/>
        </w:rPr>
        <w:t>e la realización de la justicia y dentro de ese escenario es importante</w:t>
      </w:r>
      <w:r>
        <w:rPr>
          <w:rFonts w:ascii="Arial" w:hAnsi="Arial" w:cs="Arial"/>
          <w:sz w:val="22"/>
          <w:szCs w:val="22"/>
          <w:u w:color="000000"/>
        </w:rPr>
        <w:t xml:space="preserve"> que la víctima encuentre que sus derechos serán eventualmente reconocidos a través del proceso, fruto de tal reconocimiento se espera que la ejecución de la sentencia se realice en el tiempo y la forma previstos en la resol</w:t>
      </w:r>
      <w:r w:rsidR="00E8662E">
        <w:rPr>
          <w:rFonts w:ascii="Arial" w:hAnsi="Arial" w:cs="Arial"/>
          <w:sz w:val="22"/>
          <w:szCs w:val="22"/>
          <w:u w:color="000000"/>
        </w:rPr>
        <w:t>ución, que en todo caso debe ser</w:t>
      </w:r>
      <w:r>
        <w:rPr>
          <w:rFonts w:ascii="Arial" w:hAnsi="Arial" w:cs="Arial"/>
          <w:sz w:val="22"/>
          <w:szCs w:val="22"/>
          <w:u w:color="000000"/>
        </w:rPr>
        <w:t xml:space="preserve"> </w:t>
      </w:r>
      <w:r w:rsidR="00E8662E">
        <w:rPr>
          <w:rFonts w:ascii="Arial" w:hAnsi="Arial" w:cs="Arial"/>
          <w:sz w:val="22"/>
          <w:szCs w:val="22"/>
          <w:u w:color="000000"/>
        </w:rPr>
        <w:t>breve e integral</w:t>
      </w:r>
      <w:r w:rsidR="00F731B3">
        <w:rPr>
          <w:rFonts w:ascii="Arial" w:hAnsi="Arial" w:cs="Arial"/>
          <w:sz w:val="22"/>
          <w:szCs w:val="22"/>
          <w:u w:color="000000"/>
        </w:rPr>
        <w:t xml:space="preserve">, </w:t>
      </w:r>
      <w:r>
        <w:rPr>
          <w:rFonts w:ascii="Arial" w:hAnsi="Arial" w:cs="Arial"/>
          <w:sz w:val="22"/>
          <w:szCs w:val="22"/>
          <w:u w:color="000000"/>
        </w:rPr>
        <w:t xml:space="preserve">de no cumplirse tales condiciones, el peticionario se puede encontrar en un estado de </w:t>
      </w:r>
      <w:proofErr w:type="spellStart"/>
      <w:r>
        <w:rPr>
          <w:rFonts w:ascii="Arial" w:hAnsi="Arial" w:cs="Arial"/>
          <w:sz w:val="22"/>
          <w:szCs w:val="22"/>
          <w:u w:color="000000"/>
        </w:rPr>
        <w:t>revic</w:t>
      </w:r>
      <w:r w:rsidR="00E8662E">
        <w:rPr>
          <w:rFonts w:ascii="Arial" w:hAnsi="Arial" w:cs="Arial"/>
          <w:sz w:val="22"/>
          <w:szCs w:val="22"/>
          <w:u w:color="000000"/>
        </w:rPr>
        <w:t>timización</w:t>
      </w:r>
      <w:proofErr w:type="spellEnd"/>
      <w:r w:rsidR="00E8662E">
        <w:rPr>
          <w:rFonts w:ascii="Arial" w:hAnsi="Arial" w:cs="Arial"/>
          <w:sz w:val="22"/>
          <w:szCs w:val="22"/>
          <w:u w:color="000000"/>
        </w:rPr>
        <w:t xml:space="preserve">, </w:t>
      </w:r>
      <w:r>
        <w:rPr>
          <w:rFonts w:ascii="Arial" w:hAnsi="Arial" w:cs="Arial"/>
          <w:sz w:val="22"/>
          <w:szCs w:val="22"/>
          <w:u w:color="000000"/>
        </w:rPr>
        <w:t xml:space="preserve">un  </w:t>
      </w:r>
      <w:r w:rsidR="00160FCD" w:rsidRPr="00D630EF">
        <w:rPr>
          <w:rFonts w:ascii="Arial" w:hAnsi="Arial" w:cs="Arial"/>
          <w:sz w:val="22"/>
          <w:szCs w:val="22"/>
          <w:u w:color="000000"/>
        </w:rPr>
        <w:t>hecho que sin duda este sistema quiere evitar.</w:t>
      </w:r>
      <w:r w:rsidR="00160FCD" w:rsidRPr="00D630EF">
        <w:rPr>
          <w:rFonts w:ascii="Arial" w:hAnsi="Arial" w:cs="Arial"/>
          <w:b/>
          <w:sz w:val="22"/>
          <w:szCs w:val="22"/>
          <w:u w:color="000000"/>
        </w:rPr>
        <w:t xml:space="preserve"> </w:t>
      </w:r>
      <w:r>
        <w:rPr>
          <w:rFonts w:ascii="Arial" w:hAnsi="Arial" w:cs="Arial"/>
          <w:sz w:val="22"/>
          <w:szCs w:val="22"/>
          <w:u w:color="000000"/>
        </w:rPr>
        <w:t xml:space="preserve">Es por ello que ha decir de </w:t>
      </w:r>
      <w:r w:rsidRPr="007B6C38">
        <w:rPr>
          <w:rFonts w:ascii="Arial" w:hAnsi="Arial" w:cs="Arial"/>
          <w:sz w:val="22"/>
          <w:szCs w:val="22"/>
        </w:rPr>
        <w:t xml:space="preserve">Pablo Miguel </w:t>
      </w:r>
      <w:proofErr w:type="spellStart"/>
      <w:r w:rsidRPr="007B6C38">
        <w:rPr>
          <w:rFonts w:ascii="Arial" w:hAnsi="Arial" w:cs="Arial"/>
          <w:sz w:val="22"/>
          <w:szCs w:val="22"/>
        </w:rPr>
        <w:t>Jacoby</w:t>
      </w:r>
      <w:proofErr w:type="spellEnd"/>
      <w:r w:rsidRPr="007B6C38">
        <w:rPr>
          <w:rFonts w:ascii="Arial" w:hAnsi="Arial" w:cs="Arial"/>
          <w:sz w:val="22"/>
          <w:szCs w:val="22"/>
        </w:rPr>
        <w:t xml:space="preserve"> y Hernán Luis </w:t>
      </w:r>
      <w:proofErr w:type="spellStart"/>
      <w:r w:rsidRPr="007B6C38">
        <w:rPr>
          <w:rFonts w:ascii="Arial" w:hAnsi="Arial" w:cs="Arial"/>
          <w:sz w:val="22"/>
          <w:szCs w:val="22"/>
        </w:rPr>
        <w:t>Folgueiro</w:t>
      </w:r>
      <w:proofErr w:type="spellEnd"/>
      <w:r w:rsidRPr="002F24FA">
        <w:rPr>
          <w:rFonts w:ascii="Arial" w:hAnsi="Arial" w:cs="Arial"/>
          <w:sz w:val="22"/>
          <w:szCs w:val="22"/>
        </w:rPr>
        <w:t>,</w:t>
      </w:r>
      <w:r w:rsidRPr="002F24FA">
        <w:rPr>
          <w:rFonts w:ascii="Arial" w:hAnsi="Arial" w:cs="Arial"/>
          <w:b/>
          <w:sz w:val="22"/>
          <w:szCs w:val="22"/>
          <w:u w:color="000000"/>
        </w:rPr>
        <w:t xml:space="preserve"> </w:t>
      </w:r>
      <w:r w:rsidR="00662FC0" w:rsidRPr="002F24FA">
        <w:rPr>
          <w:rFonts w:ascii="Arial" w:hAnsi="Arial" w:cs="Arial"/>
          <w:b/>
          <w:sz w:val="22"/>
          <w:szCs w:val="22"/>
          <w:u w:color="000000"/>
        </w:rPr>
        <w:t>“</w:t>
      </w:r>
      <w:r w:rsidR="00662FC0" w:rsidRPr="002F24FA">
        <w:rPr>
          <w:rFonts w:ascii="Arial" w:hAnsi="Arial" w:cs="Arial"/>
          <w:i/>
          <w:sz w:val="22"/>
          <w:szCs w:val="22"/>
          <w:u w:color="000000"/>
        </w:rPr>
        <w:t>El Sistema Interamericano de protección de Derechos H</w:t>
      </w:r>
      <w:r w:rsidR="00160FCD" w:rsidRPr="002F24FA">
        <w:rPr>
          <w:rFonts w:ascii="Arial" w:hAnsi="Arial" w:cs="Arial"/>
          <w:i/>
          <w:sz w:val="22"/>
          <w:szCs w:val="22"/>
          <w:u w:color="000000"/>
        </w:rPr>
        <w:t>umanos corre el peligro de perder legitimidad si sus decisiones producen un mero efecto testimonial</w:t>
      </w:r>
      <w:r w:rsidR="00662FC0" w:rsidRPr="002F24FA">
        <w:rPr>
          <w:rFonts w:ascii="Arial" w:hAnsi="Arial" w:cs="Arial"/>
          <w:i/>
          <w:sz w:val="22"/>
          <w:szCs w:val="22"/>
          <w:u w:color="000000"/>
        </w:rPr>
        <w:t>”</w:t>
      </w:r>
      <w:r w:rsidR="00160FCD" w:rsidRPr="00D630EF">
        <w:rPr>
          <w:rFonts w:ascii="Arial" w:hAnsi="Arial" w:cs="Arial"/>
          <w:sz w:val="22"/>
          <w:szCs w:val="22"/>
          <w:u w:color="000000"/>
          <w:vertAlign w:val="superscript"/>
        </w:rPr>
        <w:footnoteReference w:id="60"/>
      </w:r>
    </w:p>
    <w:p w:rsidR="00E8662E" w:rsidRDefault="00E8662E" w:rsidP="00E8662E">
      <w:pPr>
        <w:pStyle w:val="Body1"/>
        <w:spacing w:before="20" w:line="360" w:lineRule="auto"/>
        <w:jc w:val="both"/>
        <w:outlineLvl w:val="0"/>
        <w:rPr>
          <w:rFonts w:ascii="Arial" w:hAnsi="Arial" w:cs="Arial"/>
          <w:i/>
          <w:sz w:val="18"/>
          <w:szCs w:val="18"/>
          <w:u w:color="000000"/>
        </w:rPr>
      </w:pPr>
    </w:p>
    <w:p w:rsidR="00E8662E" w:rsidRPr="00E8662E" w:rsidRDefault="00E8662E"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Se puede observar entonces que la Corte IDH desempeña un papel de protección de los derechos humanos garantizando su reparación tras las violaciones suscitadas, pero </w:t>
      </w:r>
      <w:r>
        <w:rPr>
          <w:rFonts w:ascii="Arial" w:hAnsi="Arial" w:cs="Arial"/>
          <w:sz w:val="22"/>
          <w:szCs w:val="22"/>
          <w:u w:color="000000"/>
        </w:rPr>
        <w:lastRenderedPageBreak/>
        <w:t>además con la toma de medida</w:t>
      </w:r>
      <w:r w:rsidR="00F6408D">
        <w:rPr>
          <w:rFonts w:ascii="Arial" w:hAnsi="Arial" w:cs="Arial"/>
          <w:sz w:val="22"/>
          <w:szCs w:val="22"/>
          <w:u w:color="000000"/>
        </w:rPr>
        <w:t>s</w:t>
      </w:r>
      <w:r w:rsidR="00C36098">
        <w:rPr>
          <w:rFonts w:ascii="Arial" w:hAnsi="Arial" w:cs="Arial"/>
          <w:sz w:val="22"/>
          <w:szCs w:val="22"/>
          <w:u w:color="000000"/>
        </w:rPr>
        <w:t xml:space="preserve"> provisionales, procura</w:t>
      </w:r>
      <w:r>
        <w:rPr>
          <w:rFonts w:ascii="Arial" w:hAnsi="Arial" w:cs="Arial"/>
          <w:sz w:val="22"/>
          <w:szCs w:val="22"/>
          <w:u w:color="000000"/>
        </w:rPr>
        <w:t xml:space="preserve"> una protección antes de la vulneración</w:t>
      </w:r>
      <w:r w:rsidR="00F6408D">
        <w:rPr>
          <w:rFonts w:ascii="Arial" w:hAnsi="Arial" w:cs="Arial"/>
          <w:sz w:val="22"/>
          <w:szCs w:val="22"/>
          <w:u w:color="000000"/>
        </w:rPr>
        <w:t>.</w:t>
      </w:r>
      <w:r>
        <w:rPr>
          <w:rFonts w:ascii="Arial" w:hAnsi="Arial" w:cs="Arial"/>
          <w:sz w:val="22"/>
          <w:szCs w:val="22"/>
          <w:u w:color="000000"/>
        </w:rPr>
        <w:t xml:space="preserve">  </w:t>
      </w:r>
    </w:p>
    <w:p w:rsidR="00160FCD" w:rsidRDefault="00160FCD" w:rsidP="00160FCD">
      <w:pPr>
        <w:pStyle w:val="Body1"/>
        <w:spacing w:before="20" w:line="360" w:lineRule="auto"/>
        <w:jc w:val="both"/>
        <w:outlineLvl w:val="0"/>
        <w:rPr>
          <w:rFonts w:ascii="Arial" w:hAnsi="Arial" w:cs="Arial"/>
          <w:sz w:val="22"/>
          <w:szCs w:val="22"/>
          <w:u w:color="000000"/>
        </w:rPr>
      </w:pPr>
    </w:p>
    <w:p w:rsidR="00160FCD" w:rsidRDefault="00160FCD" w:rsidP="00705EB3">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Dentro </w:t>
      </w:r>
      <w:r w:rsidR="000D2BC3">
        <w:rPr>
          <w:rFonts w:ascii="Arial" w:hAnsi="Arial" w:cs="Arial"/>
          <w:sz w:val="22"/>
          <w:szCs w:val="22"/>
          <w:u w:color="000000"/>
        </w:rPr>
        <w:t xml:space="preserve">del Sistema Interamericano de protección de Derechos Humanos es importante referirse al </w:t>
      </w:r>
      <w:r w:rsidRPr="00D630EF">
        <w:rPr>
          <w:rFonts w:ascii="Arial" w:hAnsi="Arial" w:cs="Arial"/>
          <w:sz w:val="22"/>
          <w:szCs w:val="22"/>
          <w:u w:color="000000"/>
        </w:rPr>
        <w:t>papel de la Comisión Intera</w:t>
      </w:r>
      <w:r w:rsidR="000D2BC3">
        <w:rPr>
          <w:rFonts w:ascii="Arial" w:hAnsi="Arial" w:cs="Arial"/>
          <w:sz w:val="22"/>
          <w:szCs w:val="22"/>
          <w:u w:color="000000"/>
        </w:rPr>
        <w:t>mericana de Derechos Humanos</w:t>
      </w:r>
      <w:r w:rsidR="00C36098">
        <w:rPr>
          <w:rFonts w:ascii="Arial" w:hAnsi="Arial" w:cs="Arial"/>
          <w:sz w:val="22"/>
          <w:szCs w:val="22"/>
          <w:u w:color="000000"/>
        </w:rPr>
        <w:t xml:space="preserve">, en el artículo 41 de la Convención Americana sobre Derechos Humanos se establece </w:t>
      </w:r>
      <w:r w:rsidR="00C36098" w:rsidRPr="008C6CE0">
        <w:rPr>
          <w:rFonts w:ascii="Arial" w:hAnsi="Arial" w:cs="Arial"/>
          <w:sz w:val="22"/>
          <w:szCs w:val="22"/>
          <w:u w:color="000000"/>
        </w:rPr>
        <w:t>que  “</w:t>
      </w:r>
      <w:r w:rsidR="00C36098" w:rsidRPr="008C6CE0">
        <w:rPr>
          <w:rFonts w:ascii="Arial" w:hAnsi="Arial" w:cs="Arial"/>
          <w:i/>
          <w:sz w:val="22"/>
          <w:szCs w:val="22"/>
          <w:u w:color="000000"/>
        </w:rPr>
        <w:t>La Comisión tiene la función principal de promover la observancia y la defensa de los derechos humanos</w:t>
      </w:r>
      <w:r w:rsidR="002F24FA" w:rsidRPr="008C6CE0">
        <w:rPr>
          <w:rFonts w:ascii="Arial" w:hAnsi="Arial" w:cs="Arial"/>
          <w:i/>
          <w:sz w:val="22"/>
          <w:szCs w:val="22"/>
          <w:u w:color="000000"/>
        </w:rPr>
        <w:t>(</w:t>
      </w:r>
      <w:r w:rsidR="00C36098" w:rsidRPr="008C6CE0">
        <w:rPr>
          <w:rFonts w:ascii="Arial" w:hAnsi="Arial" w:cs="Arial"/>
          <w:i/>
          <w:sz w:val="22"/>
          <w:szCs w:val="22"/>
          <w:u w:color="000000"/>
        </w:rPr>
        <w:t>…</w:t>
      </w:r>
      <w:r w:rsidR="002F24FA" w:rsidRPr="008C6CE0">
        <w:rPr>
          <w:rFonts w:ascii="Arial" w:hAnsi="Arial" w:cs="Arial"/>
          <w:i/>
          <w:sz w:val="22"/>
          <w:szCs w:val="22"/>
          <w:u w:color="000000"/>
        </w:rPr>
        <w:t>)</w:t>
      </w:r>
      <w:r w:rsidR="00C36098" w:rsidRPr="008C6CE0">
        <w:rPr>
          <w:rFonts w:ascii="Arial" w:hAnsi="Arial" w:cs="Arial"/>
          <w:i/>
          <w:sz w:val="22"/>
          <w:szCs w:val="22"/>
          <w:u w:color="000000"/>
        </w:rPr>
        <w:t>”</w:t>
      </w:r>
      <w:r w:rsidR="000D2BC3">
        <w:rPr>
          <w:rFonts w:ascii="Arial" w:hAnsi="Arial" w:cs="Arial"/>
          <w:sz w:val="22"/>
          <w:szCs w:val="22"/>
          <w:u w:color="000000"/>
        </w:rPr>
        <w:t>, pues es el órgano que recibe</w:t>
      </w:r>
      <w:r w:rsidRPr="00D630EF">
        <w:rPr>
          <w:rFonts w:ascii="Arial" w:hAnsi="Arial" w:cs="Arial"/>
          <w:sz w:val="22"/>
          <w:szCs w:val="22"/>
          <w:u w:color="000000"/>
        </w:rPr>
        <w:t xml:space="preserve"> las peticiones</w:t>
      </w:r>
      <w:r w:rsidR="000D2BC3">
        <w:rPr>
          <w:rFonts w:ascii="Arial" w:hAnsi="Arial" w:cs="Arial"/>
          <w:sz w:val="22"/>
          <w:szCs w:val="22"/>
          <w:u w:color="000000"/>
        </w:rPr>
        <w:t xml:space="preserve"> </w:t>
      </w:r>
      <w:r w:rsidR="00612ABD">
        <w:rPr>
          <w:rFonts w:ascii="Arial" w:hAnsi="Arial" w:cs="Arial"/>
          <w:sz w:val="22"/>
          <w:szCs w:val="22"/>
          <w:u w:color="000000"/>
        </w:rPr>
        <w:t xml:space="preserve">que contienen </w:t>
      </w:r>
      <w:r w:rsidRPr="00D630EF">
        <w:rPr>
          <w:rFonts w:ascii="Arial" w:hAnsi="Arial" w:cs="Arial"/>
          <w:sz w:val="22"/>
          <w:szCs w:val="22"/>
          <w:u w:color="000000"/>
        </w:rPr>
        <w:t>denuncia</w:t>
      </w:r>
      <w:r w:rsidR="00612ABD">
        <w:rPr>
          <w:rFonts w:ascii="Arial" w:hAnsi="Arial" w:cs="Arial"/>
          <w:sz w:val="22"/>
          <w:szCs w:val="22"/>
          <w:u w:color="000000"/>
        </w:rPr>
        <w:t>s o quejas</w:t>
      </w:r>
      <w:r w:rsidRPr="00D630EF">
        <w:rPr>
          <w:rFonts w:ascii="Arial" w:hAnsi="Arial" w:cs="Arial"/>
          <w:sz w:val="22"/>
          <w:szCs w:val="22"/>
          <w:u w:color="000000"/>
        </w:rPr>
        <w:t xml:space="preserve"> sobre la violación de derechos humanos contenidos en la Convención Americana</w:t>
      </w:r>
      <w:r w:rsidR="00612ABD">
        <w:rPr>
          <w:rStyle w:val="Refdenotaalpie"/>
          <w:rFonts w:ascii="Arial" w:hAnsi="Arial" w:cs="Arial"/>
          <w:sz w:val="22"/>
          <w:szCs w:val="22"/>
          <w:u w:color="000000"/>
        </w:rPr>
        <w:footnoteReference w:id="61"/>
      </w:r>
      <w:r w:rsidR="00612ABD">
        <w:rPr>
          <w:rFonts w:ascii="Arial" w:hAnsi="Arial" w:cs="Arial"/>
          <w:sz w:val="22"/>
          <w:szCs w:val="22"/>
          <w:u w:color="000000"/>
        </w:rPr>
        <w:t>. Hay que</w:t>
      </w:r>
      <w:r w:rsidRPr="00D630EF">
        <w:rPr>
          <w:rFonts w:ascii="Arial" w:hAnsi="Arial" w:cs="Arial"/>
          <w:sz w:val="22"/>
          <w:szCs w:val="22"/>
          <w:u w:color="000000"/>
        </w:rPr>
        <w:t xml:space="preserve"> </w:t>
      </w:r>
      <w:r w:rsidR="00612ABD" w:rsidRPr="00D630EF">
        <w:rPr>
          <w:rFonts w:ascii="Arial" w:hAnsi="Arial" w:cs="Arial"/>
          <w:sz w:val="22"/>
          <w:szCs w:val="22"/>
          <w:u w:color="000000"/>
        </w:rPr>
        <w:t>señalar</w:t>
      </w:r>
      <w:r w:rsidRPr="00D630EF">
        <w:rPr>
          <w:rFonts w:ascii="Arial" w:hAnsi="Arial" w:cs="Arial"/>
          <w:sz w:val="22"/>
          <w:szCs w:val="22"/>
          <w:u w:color="000000"/>
        </w:rPr>
        <w:t xml:space="preserve"> </w:t>
      </w:r>
      <w:r w:rsidR="00612ABD">
        <w:rPr>
          <w:rFonts w:ascii="Arial" w:hAnsi="Arial" w:cs="Arial"/>
          <w:sz w:val="22"/>
          <w:szCs w:val="22"/>
          <w:u w:color="000000"/>
        </w:rPr>
        <w:t xml:space="preserve">que la Comisión admite </w:t>
      </w:r>
      <w:r w:rsidRPr="00D630EF">
        <w:rPr>
          <w:rFonts w:ascii="Arial" w:hAnsi="Arial" w:cs="Arial"/>
          <w:sz w:val="22"/>
          <w:szCs w:val="22"/>
          <w:u w:color="000000"/>
        </w:rPr>
        <w:t xml:space="preserve">peticiones </w:t>
      </w:r>
      <w:r w:rsidR="00612ABD">
        <w:rPr>
          <w:rFonts w:ascii="Arial" w:hAnsi="Arial" w:cs="Arial"/>
          <w:sz w:val="22"/>
          <w:szCs w:val="22"/>
          <w:u w:color="000000"/>
        </w:rPr>
        <w:t>de c</w:t>
      </w:r>
      <w:r w:rsidR="00612ABD" w:rsidRPr="00612ABD">
        <w:rPr>
          <w:rFonts w:ascii="Arial" w:hAnsi="Arial" w:cs="Arial"/>
          <w:sz w:val="22"/>
          <w:szCs w:val="22"/>
          <w:u w:color="000000"/>
        </w:rPr>
        <w:t>ualquier persona o grupo de personas, o entidad no gubernamental legalmente reconocida en uno o más Estados miembros de la O</w:t>
      </w:r>
      <w:r w:rsidR="00612ABD">
        <w:rPr>
          <w:rFonts w:ascii="Arial" w:hAnsi="Arial" w:cs="Arial"/>
          <w:sz w:val="22"/>
          <w:szCs w:val="22"/>
          <w:u w:color="000000"/>
        </w:rPr>
        <w:t>EA</w:t>
      </w:r>
      <w:r w:rsidR="0039735F">
        <w:rPr>
          <w:rStyle w:val="Refdenotaalpie"/>
          <w:rFonts w:ascii="Arial" w:hAnsi="Arial" w:cs="Arial"/>
          <w:sz w:val="22"/>
          <w:szCs w:val="22"/>
          <w:u w:color="000000"/>
        </w:rPr>
        <w:footnoteReference w:id="62"/>
      </w:r>
      <w:r w:rsidR="00926B59">
        <w:rPr>
          <w:rFonts w:ascii="Arial" w:hAnsi="Arial" w:cs="Arial"/>
          <w:sz w:val="22"/>
          <w:szCs w:val="22"/>
          <w:u w:color="000000"/>
        </w:rPr>
        <w:t>,</w:t>
      </w:r>
      <w:r w:rsidR="00612ABD">
        <w:rPr>
          <w:rFonts w:ascii="Arial" w:hAnsi="Arial" w:cs="Arial"/>
          <w:sz w:val="22"/>
          <w:szCs w:val="22"/>
          <w:u w:color="000000"/>
        </w:rPr>
        <w:t xml:space="preserve"> es decir, no necesariamente</w:t>
      </w:r>
      <w:r w:rsidRPr="00D630EF">
        <w:rPr>
          <w:rFonts w:ascii="Arial" w:hAnsi="Arial" w:cs="Arial"/>
          <w:sz w:val="22"/>
          <w:szCs w:val="22"/>
          <w:u w:color="000000"/>
        </w:rPr>
        <w:t xml:space="preserve"> </w:t>
      </w:r>
      <w:r w:rsidR="00612ABD">
        <w:rPr>
          <w:rFonts w:ascii="Arial" w:hAnsi="Arial" w:cs="Arial"/>
          <w:sz w:val="22"/>
          <w:szCs w:val="22"/>
          <w:u w:color="000000"/>
        </w:rPr>
        <w:t>de la víctima o sus</w:t>
      </w:r>
      <w:r w:rsidRPr="00D630EF">
        <w:rPr>
          <w:rFonts w:ascii="Arial" w:hAnsi="Arial" w:cs="Arial"/>
          <w:sz w:val="22"/>
          <w:szCs w:val="22"/>
          <w:u w:color="000000"/>
        </w:rPr>
        <w:t xml:space="preserve"> </w:t>
      </w:r>
      <w:r w:rsidR="00612ABD">
        <w:rPr>
          <w:rFonts w:ascii="Arial" w:hAnsi="Arial" w:cs="Arial"/>
          <w:sz w:val="22"/>
          <w:szCs w:val="22"/>
          <w:u w:color="000000"/>
        </w:rPr>
        <w:t xml:space="preserve">representantes, lo que amplía la </w:t>
      </w:r>
      <w:r w:rsidRPr="00D630EF">
        <w:rPr>
          <w:rFonts w:ascii="Arial" w:hAnsi="Arial" w:cs="Arial"/>
          <w:sz w:val="22"/>
          <w:szCs w:val="22"/>
          <w:u w:color="000000"/>
        </w:rPr>
        <w:t>pro</w:t>
      </w:r>
      <w:r w:rsidR="00612ABD">
        <w:rPr>
          <w:rFonts w:ascii="Arial" w:hAnsi="Arial" w:cs="Arial"/>
          <w:sz w:val="22"/>
          <w:szCs w:val="22"/>
          <w:u w:color="000000"/>
        </w:rPr>
        <w:t>tección internacional en la materia</w:t>
      </w:r>
      <w:r w:rsidRPr="00D630EF">
        <w:rPr>
          <w:rFonts w:ascii="Arial" w:hAnsi="Arial" w:cs="Arial"/>
          <w:sz w:val="22"/>
          <w:szCs w:val="22"/>
          <w:u w:color="000000"/>
        </w:rPr>
        <w:t>.</w:t>
      </w:r>
    </w:p>
    <w:p w:rsidR="00E35954" w:rsidRDefault="00E35954" w:rsidP="00160FCD">
      <w:pPr>
        <w:pStyle w:val="Body1"/>
        <w:spacing w:before="20" w:line="360" w:lineRule="auto"/>
        <w:jc w:val="both"/>
        <w:outlineLvl w:val="0"/>
        <w:rPr>
          <w:rFonts w:ascii="Arial" w:hAnsi="Arial" w:cs="Arial"/>
          <w:sz w:val="22"/>
          <w:szCs w:val="22"/>
          <w:u w:color="000000"/>
        </w:rPr>
      </w:pPr>
    </w:p>
    <w:p w:rsidR="00E35954" w:rsidRDefault="00E35954"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Es significativo además el papel de la Comisión en casos en los que sea factible una solución amistosa, por el reconocimiento de la parte victimaria en la vulneración</w:t>
      </w:r>
      <w:r w:rsidR="00926B59">
        <w:rPr>
          <w:rFonts w:ascii="Arial" w:hAnsi="Arial" w:cs="Arial"/>
          <w:sz w:val="22"/>
          <w:szCs w:val="22"/>
          <w:u w:color="000000"/>
        </w:rPr>
        <w:t xml:space="preserve"> y</w:t>
      </w:r>
      <w:r>
        <w:rPr>
          <w:rFonts w:ascii="Arial" w:hAnsi="Arial" w:cs="Arial"/>
          <w:sz w:val="22"/>
          <w:szCs w:val="22"/>
          <w:u w:color="000000"/>
        </w:rPr>
        <w:t xml:space="preserve"> </w:t>
      </w:r>
      <w:r w:rsidR="0077268E">
        <w:rPr>
          <w:rFonts w:ascii="Arial" w:hAnsi="Arial" w:cs="Arial"/>
          <w:sz w:val="22"/>
          <w:szCs w:val="22"/>
          <w:u w:color="000000"/>
        </w:rPr>
        <w:t xml:space="preserve">la aceptación de tal solución de las partes que intervienen </w:t>
      </w:r>
      <w:r w:rsidR="00926B59">
        <w:rPr>
          <w:rFonts w:ascii="Arial" w:hAnsi="Arial" w:cs="Arial"/>
          <w:sz w:val="22"/>
          <w:szCs w:val="22"/>
          <w:u w:color="000000"/>
        </w:rPr>
        <w:t>en</w:t>
      </w:r>
      <w:r>
        <w:rPr>
          <w:rFonts w:ascii="Arial" w:hAnsi="Arial" w:cs="Arial"/>
          <w:sz w:val="22"/>
          <w:szCs w:val="22"/>
          <w:u w:color="000000"/>
        </w:rPr>
        <w:t xml:space="preserve"> el arreglo en lo referente a reparaciones</w:t>
      </w:r>
      <w:r w:rsidR="0039735F">
        <w:rPr>
          <w:rFonts w:ascii="Arial" w:hAnsi="Arial" w:cs="Arial"/>
          <w:sz w:val="22"/>
          <w:szCs w:val="22"/>
          <w:u w:color="000000"/>
        </w:rPr>
        <w:t xml:space="preserve"> y costas</w:t>
      </w:r>
      <w:r>
        <w:rPr>
          <w:rStyle w:val="Refdenotaalpie"/>
          <w:rFonts w:ascii="Arial" w:hAnsi="Arial" w:cs="Arial"/>
          <w:sz w:val="22"/>
          <w:szCs w:val="22"/>
          <w:u w:color="000000"/>
        </w:rPr>
        <w:footnoteReference w:id="63"/>
      </w:r>
      <w:r w:rsidR="0082761C">
        <w:rPr>
          <w:rFonts w:ascii="Arial" w:hAnsi="Arial" w:cs="Arial"/>
          <w:sz w:val="22"/>
          <w:szCs w:val="22"/>
          <w:u w:color="000000"/>
        </w:rPr>
        <w:t>.</w:t>
      </w:r>
      <w:r>
        <w:rPr>
          <w:rFonts w:ascii="Arial" w:hAnsi="Arial" w:cs="Arial"/>
          <w:sz w:val="22"/>
          <w:szCs w:val="22"/>
          <w:u w:color="000000"/>
        </w:rPr>
        <w:t xml:space="preserve"> </w:t>
      </w:r>
    </w:p>
    <w:p w:rsidR="0039735F" w:rsidRDefault="0039735F" w:rsidP="00160FCD">
      <w:pPr>
        <w:pStyle w:val="Body1"/>
        <w:spacing w:before="20" w:line="360" w:lineRule="auto"/>
        <w:jc w:val="both"/>
        <w:outlineLvl w:val="0"/>
        <w:rPr>
          <w:rFonts w:ascii="Arial" w:hAnsi="Arial" w:cs="Arial"/>
          <w:sz w:val="22"/>
          <w:szCs w:val="22"/>
          <w:u w:color="000000"/>
        </w:rPr>
      </w:pPr>
    </w:p>
    <w:p w:rsidR="0039735F" w:rsidRPr="00D630EF" w:rsidRDefault="00CD604D"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 Comisión adicionalmente tiene</w:t>
      </w:r>
      <w:r w:rsidR="0039735F">
        <w:rPr>
          <w:rFonts w:ascii="Arial" w:hAnsi="Arial" w:cs="Arial"/>
          <w:sz w:val="22"/>
          <w:szCs w:val="22"/>
          <w:u w:color="000000"/>
        </w:rPr>
        <w:t xml:space="preserve"> la atribución a iniciativ</w:t>
      </w:r>
      <w:r>
        <w:rPr>
          <w:rFonts w:ascii="Arial" w:hAnsi="Arial" w:cs="Arial"/>
          <w:sz w:val="22"/>
          <w:szCs w:val="22"/>
          <w:u w:color="000000"/>
        </w:rPr>
        <w:t>a propia o a solicitud de parte de</w:t>
      </w:r>
      <w:r w:rsidR="0039735F">
        <w:rPr>
          <w:rFonts w:ascii="Arial" w:hAnsi="Arial" w:cs="Arial"/>
          <w:sz w:val="22"/>
          <w:szCs w:val="22"/>
          <w:u w:color="000000"/>
        </w:rPr>
        <w:t xml:space="preserve"> solicitar a los Estados que adopten medidas cautelares para prevenir daños irreparables que vulneren derechos humanos, tales medidas podrán ser de naturaleza colectiva, </w:t>
      </w:r>
      <w:r w:rsidR="00FC43E1">
        <w:rPr>
          <w:rFonts w:ascii="Arial" w:hAnsi="Arial" w:cs="Arial"/>
          <w:sz w:val="22"/>
          <w:szCs w:val="22"/>
          <w:u w:color="000000"/>
        </w:rPr>
        <w:t>y la</w:t>
      </w:r>
      <w:r w:rsidR="0039735F">
        <w:rPr>
          <w:rFonts w:ascii="Arial" w:hAnsi="Arial" w:cs="Arial"/>
          <w:sz w:val="22"/>
          <w:szCs w:val="22"/>
          <w:u w:color="000000"/>
        </w:rPr>
        <w:t xml:space="preserve"> vigencia de las m</w:t>
      </w:r>
      <w:r w:rsidR="00FC43E1">
        <w:rPr>
          <w:rFonts w:ascii="Arial" w:hAnsi="Arial" w:cs="Arial"/>
          <w:sz w:val="22"/>
          <w:szCs w:val="22"/>
          <w:u w:color="000000"/>
        </w:rPr>
        <w:t>ismas</w:t>
      </w:r>
      <w:r w:rsidR="0039735F">
        <w:rPr>
          <w:rFonts w:ascii="Arial" w:hAnsi="Arial" w:cs="Arial"/>
          <w:sz w:val="22"/>
          <w:szCs w:val="22"/>
          <w:u w:color="000000"/>
        </w:rPr>
        <w:t xml:space="preserve"> será evaluada </w:t>
      </w:r>
      <w:r w:rsidR="00186C5D">
        <w:rPr>
          <w:rFonts w:ascii="Arial" w:hAnsi="Arial" w:cs="Arial"/>
          <w:sz w:val="22"/>
          <w:szCs w:val="22"/>
          <w:u w:color="000000"/>
        </w:rPr>
        <w:t>con periodicidad por parte de la Comisión</w:t>
      </w:r>
      <w:r w:rsidR="00186C5D">
        <w:rPr>
          <w:rStyle w:val="Refdenotaalpie"/>
          <w:rFonts w:ascii="Arial" w:hAnsi="Arial" w:cs="Arial"/>
          <w:sz w:val="22"/>
          <w:szCs w:val="22"/>
          <w:u w:color="000000"/>
        </w:rPr>
        <w:footnoteReference w:id="64"/>
      </w:r>
      <w:r w:rsidR="00FA23AF">
        <w:rPr>
          <w:rFonts w:ascii="Arial" w:hAnsi="Arial" w:cs="Arial"/>
          <w:sz w:val="22"/>
          <w:szCs w:val="22"/>
          <w:u w:color="000000"/>
        </w:rPr>
        <w:t>.</w:t>
      </w:r>
    </w:p>
    <w:p w:rsidR="00160FCD" w:rsidRPr="00D630EF" w:rsidRDefault="00160FCD" w:rsidP="0039735F">
      <w:pPr>
        <w:pStyle w:val="Body1"/>
        <w:spacing w:before="20" w:line="360" w:lineRule="auto"/>
        <w:jc w:val="both"/>
        <w:outlineLvl w:val="0"/>
        <w:rPr>
          <w:rFonts w:ascii="Arial" w:hAnsi="Arial" w:cs="Arial"/>
          <w:sz w:val="22"/>
          <w:szCs w:val="22"/>
          <w:u w:color="000000"/>
        </w:rPr>
      </w:pPr>
    </w:p>
    <w:p w:rsidR="00490381" w:rsidRDefault="00FA2018"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 Comisión además podrá dar seguimiento al cumplimiento de la solución amistosa o al informe que incluye las respectivas recomendaciones, solicitando información a las partes o celebrando audiencias</w:t>
      </w:r>
      <w:r>
        <w:rPr>
          <w:rStyle w:val="Refdenotaalpie"/>
          <w:rFonts w:ascii="Arial" w:hAnsi="Arial" w:cs="Arial"/>
          <w:sz w:val="22"/>
          <w:szCs w:val="22"/>
          <w:u w:color="000000"/>
        </w:rPr>
        <w:footnoteReference w:id="65"/>
      </w:r>
      <w:r w:rsidR="00FA23AF">
        <w:rPr>
          <w:rFonts w:ascii="Arial" w:hAnsi="Arial" w:cs="Arial"/>
          <w:sz w:val="22"/>
          <w:szCs w:val="22"/>
          <w:u w:color="000000"/>
        </w:rPr>
        <w:t>.</w:t>
      </w:r>
      <w:r>
        <w:rPr>
          <w:rFonts w:ascii="Arial" w:hAnsi="Arial" w:cs="Arial"/>
          <w:sz w:val="22"/>
          <w:szCs w:val="22"/>
          <w:u w:color="000000"/>
        </w:rPr>
        <w:t xml:space="preserve"> </w:t>
      </w:r>
    </w:p>
    <w:p w:rsidR="00A00832" w:rsidRDefault="00A00832" w:rsidP="00FA2018">
      <w:pPr>
        <w:pStyle w:val="Body1"/>
        <w:spacing w:before="20" w:line="360" w:lineRule="auto"/>
        <w:jc w:val="both"/>
        <w:outlineLvl w:val="0"/>
        <w:rPr>
          <w:rFonts w:ascii="Arial" w:hAnsi="Arial" w:cs="Arial"/>
          <w:sz w:val="22"/>
          <w:szCs w:val="22"/>
          <w:u w:color="000000"/>
        </w:rPr>
      </w:pPr>
    </w:p>
    <w:p w:rsidR="00A00832" w:rsidRDefault="00F731B3"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cuanto a</w:t>
      </w:r>
      <w:r w:rsidR="00A00832">
        <w:rPr>
          <w:rFonts w:ascii="Arial" w:hAnsi="Arial" w:cs="Arial"/>
          <w:sz w:val="22"/>
          <w:szCs w:val="22"/>
          <w:u w:color="000000"/>
        </w:rPr>
        <w:t>l</w:t>
      </w:r>
      <w:r>
        <w:rPr>
          <w:rFonts w:ascii="Arial" w:hAnsi="Arial" w:cs="Arial"/>
          <w:sz w:val="22"/>
          <w:szCs w:val="22"/>
          <w:u w:color="000000"/>
        </w:rPr>
        <w:t xml:space="preserve"> papel de los Estados en la reparación</w:t>
      </w:r>
      <w:r w:rsidR="00A00832">
        <w:rPr>
          <w:rFonts w:ascii="Arial" w:hAnsi="Arial" w:cs="Arial"/>
          <w:sz w:val="22"/>
          <w:szCs w:val="22"/>
          <w:u w:color="000000"/>
        </w:rPr>
        <w:t xml:space="preserve"> </w:t>
      </w:r>
      <w:r>
        <w:rPr>
          <w:rFonts w:ascii="Arial" w:hAnsi="Arial" w:cs="Arial"/>
          <w:sz w:val="22"/>
          <w:szCs w:val="22"/>
          <w:u w:color="000000"/>
        </w:rPr>
        <w:t>integral, cabe considerar que a</w:t>
      </w:r>
      <w:r w:rsidR="00A00832">
        <w:rPr>
          <w:rFonts w:ascii="Arial" w:hAnsi="Arial" w:cs="Arial"/>
          <w:sz w:val="22"/>
          <w:szCs w:val="22"/>
          <w:u w:color="000000"/>
        </w:rPr>
        <w:t>l ser suscriptores de la Convención Americana sobre Derechos Humanos, deben respetar y proteger los derechos humanos, en caso de violación</w:t>
      </w:r>
      <w:r w:rsidR="00496055">
        <w:rPr>
          <w:rFonts w:ascii="Arial" w:hAnsi="Arial" w:cs="Arial"/>
          <w:sz w:val="22"/>
          <w:szCs w:val="22"/>
          <w:u w:color="000000"/>
        </w:rPr>
        <w:t xml:space="preserve"> a los derechos </w:t>
      </w:r>
      <w:proofErr w:type="gramStart"/>
      <w:r w:rsidR="00496055">
        <w:rPr>
          <w:rFonts w:ascii="Arial" w:hAnsi="Arial" w:cs="Arial"/>
          <w:sz w:val="22"/>
          <w:szCs w:val="22"/>
          <w:u w:color="000000"/>
        </w:rPr>
        <w:t>deben</w:t>
      </w:r>
      <w:proofErr w:type="gramEnd"/>
      <w:r w:rsidR="00496055">
        <w:rPr>
          <w:rFonts w:ascii="Arial" w:hAnsi="Arial" w:cs="Arial"/>
          <w:sz w:val="22"/>
          <w:szCs w:val="22"/>
          <w:u w:color="000000"/>
        </w:rPr>
        <w:t xml:space="preserve"> acudir a</w:t>
      </w:r>
      <w:r w:rsidR="00A00832">
        <w:rPr>
          <w:rFonts w:ascii="Arial" w:hAnsi="Arial" w:cs="Arial"/>
          <w:sz w:val="22"/>
          <w:szCs w:val="22"/>
          <w:u w:color="000000"/>
        </w:rPr>
        <w:t xml:space="preserve"> </w:t>
      </w:r>
      <w:r w:rsidR="00A00832">
        <w:rPr>
          <w:rFonts w:ascii="Arial" w:hAnsi="Arial" w:cs="Arial"/>
          <w:sz w:val="22"/>
          <w:szCs w:val="22"/>
          <w:u w:color="000000"/>
        </w:rPr>
        <w:lastRenderedPageBreak/>
        <w:t>todos los medio</w:t>
      </w:r>
      <w:r>
        <w:rPr>
          <w:rFonts w:ascii="Arial" w:hAnsi="Arial" w:cs="Arial"/>
          <w:sz w:val="22"/>
          <w:szCs w:val="22"/>
          <w:u w:color="000000"/>
        </w:rPr>
        <w:t>s</w:t>
      </w:r>
      <w:r w:rsidR="00A00832">
        <w:rPr>
          <w:rFonts w:ascii="Arial" w:hAnsi="Arial" w:cs="Arial"/>
          <w:sz w:val="22"/>
          <w:szCs w:val="22"/>
          <w:u w:color="000000"/>
        </w:rPr>
        <w:t xml:space="preserve"> posibles para reparar los daños y cumplir con la sentencia emitida por la Corte IDH.</w:t>
      </w:r>
    </w:p>
    <w:p w:rsidR="00496055" w:rsidRDefault="00496055" w:rsidP="00705EB3">
      <w:pPr>
        <w:pStyle w:val="Body1"/>
        <w:spacing w:before="20" w:line="360" w:lineRule="auto"/>
        <w:jc w:val="both"/>
        <w:outlineLvl w:val="0"/>
        <w:rPr>
          <w:rFonts w:ascii="Arial" w:hAnsi="Arial" w:cs="Arial"/>
          <w:sz w:val="22"/>
          <w:szCs w:val="22"/>
          <w:u w:color="000000"/>
        </w:rPr>
      </w:pPr>
    </w:p>
    <w:p w:rsidR="00A00832" w:rsidRDefault="00B072F3"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Sin embargo analistas jurídicos, juristas y demás actores del sistema interamericano de protección a los derechos humanos reconocen que existen falencias en la ejecución de la sentencias de la Corte IDH, las cuales son atribuibles a los Estados determinados responsables</w:t>
      </w:r>
      <w:r w:rsidR="00A00832" w:rsidRPr="00D630EF">
        <w:rPr>
          <w:rFonts w:ascii="Arial" w:hAnsi="Arial" w:cs="Arial"/>
          <w:sz w:val="22"/>
          <w:szCs w:val="22"/>
          <w:u w:color="000000"/>
          <w:vertAlign w:val="superscript"/>
        </w:rPr>
        <w:footnoteReference w:id="66"/>
      </w:r>
      <w:r>
        <w:rPr>
          <w:rFonts w:ascii="Arial" w:hAnsi="Arial" w:cs="Arial"/>
          <w:sz w:val="22"/>
          <w:szCs w:val="22"/>
          <w:u w:color="000000"/>
        </w:rPr>
        <w:t>.</w:t>
      </w:r>
    </w:p>
    <w:p w:rsidR="00B072F3" w:rsidRDefault="00B072F3" w:rsidP="00A00832">
      <w:pPr>
        <w:pStyle w:val="Body1"/>
        <w:spacing w:before="20" w:line="360" w:lineRule="auto"/>
        <w:jc w:val="both"/>
        <w:outlineLvl w:val="0"/>
        <w:rPr>
          <w:rFonts w:ascii="Arial" w:hAnsi="Arial" w:cs="Arial"/>
          <w:sz w:val="22"/>
          <w:szCs w:val="22"/>
          <w:u w:color="000000"/>
        </w:rPr>
      </w:pPr>
    </w:p>
    <w:p w:rsidR="00EE5C20" w:rsidRDefault="00EE5C20"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Respecto a la obligación de los Estados de ejecutar las sentencias, el principio 17 de los </w:t>
      </w:r>
      <w:r w:rsidRPr="00EE5C20">
        <w:rPr>
          <w:rFonts w:ascii="Arial" w:hAnsi="Arial" w:cs="Arial"/>
          <w:sz w:val="22"/>
          <w:szCs w:val="22"/>
          <w:u w:color="000000"/>
        </w:rPr>
        <w:t>Principios y directrices básicos sobre el derecho de las víctimas de violaciones manifiestas de las normas internacionales de derechos humanos y de violaciones graves del derecho internacional humanitario a interponer recursos y obtener reparaciones</w:t>
      </w:r>
      <w:r w:rsidR="00475B6F">
        <w:rPr>
          <w:rFonts w:ascii="Arial" w:hAnsi="Arial" w:cs="Arial"/>
          <w:sz w:val="22"/>
          <w:szCs w:val="22"/>
          <w:u w:color="000000"/>
        </w:rPr>
        <w:t>, aprobados por la Asamblea General de las Naciones Unidas</w:t>
      </w:r>
      <w:r>
        <w:rPr>
          <w:rFonts w:ascii="Arial" w:hAnsi="Arial" w:cs="Arial"/>
          <w:sz w:val="22"/>
          <w:szCs w:val="22"/>
          <w:u w:color="000000"/>
        </w:rPr>
        <w:t xml:space="preserve">, señala: </w:t>
      </w:r>
    </w:p>
    <w:p w:rsidR="00EE5C20" w:rsidRDefault="00EE5C20" w:rsidP="00A00832">
      <w:pPr>
        <w:pStyle w:val="Body1"/>
        <w:spacing w:before="20" w:line="360" w:lineRule="auto"/>
        <w:jc w:val="both"/>
        <w:outlineLvl w:val="0"/>
        <w:rPr>
          <w:rFonts w:ascii="Arial" w:hAnsi="Arial" w:cs="Arial"/>
          <w:sz w:val="22"/>
          <w:szCs w:val="22"/>
          <w:u w:color="000000"/>
        </w:rPr>
      </w:pPr>
    </w:p>
    <w:p w:rsidR="00EE5C20" w:rsidRPr="008C6CE0" w:rsidRDefault="00EE5C20" w:rsidP="008751FC">
      <w:pPr>
        <w:pStyle w:val="Body1"/>
        <w:spacing w:before="20" w:line="276" w:lineRule="auto"/>
        <w:ind w:left="720"/>
        <w:jc w:val="both"/>
        <w:outlineLvl w:val="0"/>
        <w:rPr>
          <w:rFonts w:ascii="Arial" w:hAnsi="Arial" w:cs="Arial"/>
          <w:sz w:val="20"/>
          <w:u w:color="000000"/>
        </w:rPr>
      </w:pPr>
      <w:r w:rsidRPr="008C6CE0">
        <w:rPr>
          <w:rFonts w:ascii="Arial" w:hAnsi="Arial" w:cs="Arial"/>
          <w:sz w:val="20"/>
          <w:u w:color="000000"/>
        </w:rPr>
        <w:t>Los Estados ejecutarán, con respecto a las reclamaciones de las víctimas, las sentencias de sus tribunales que impongan reparaciones a las personas o entidades responsables de los daños sufridos, y procurarán ejecutar las sentencias extranjeras válidas que impongan reparaciones con arreglo al derecho interno y a las obligaciones jurídicas internacionales. Con ese fin, los Estados deben establecer en su derecho interno mecanismos eficaces para la ejecución de las sentencias que obliguen a reparar daños</w:t>
      </w:r>
      <w:r w:rsidR="00CF7AB8" w:rsidRPr="008C6CE0">
        <w:rPr>
          <w:rStyle w:val="Refdenotaalpie"/>
          <w:rFonts w:ascii="Arial" w:hAnsi="Arial" w:cs="Arial"/>
          <w:sz w:val="20"/>
          <w:u w:color="000000"/>
        </w:rPr>
        <w:footnoteReference w:id="67"/>
      </w:r>
      <w:r w:rsidRPr="008C6CE0">
        <w:rPr>
          <w:rFonts w:ascii="Arial" w:hAnsi="Arial" w:cs="Arial"/>
          <w:sz w:val="20"/>
          <w:u w:color="000000"/>
        </w:rPr>
        <w:t xml:space="preserve">. </w:t>
      </w:r>
    </w:p>
    <w:p w:rsidR="00CF7AB8" w:rsidRDefault="00CF7AB8" w:rsidP="00CF7AB8">
      <w:pPr>
        <w:pStyle w:val="Body1"/>
        <w:spacing w:before="20" w:line="360" w:lineRule="auto"/>
        <w:jc w:val="both"/>
        <w:outlineLvl w:val="0"/>
        <w:rPr>
          <w:rFonts w:ascii="Arial" w:hAnsi="Arial" w:cs="Arial"/>
          <w:sz w:val="22"/>
          <w:szCs w:val="22"/>
          <w:u w:color="000000"/>
        </w:rPr>
      </w:pPr>
    </w:p>
    <w:p w:rsidR="00EB6D5C" w:rsidRDefault="00B072F3"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Cabe determinar que un Estado no demuestra su compromiso de proteger los derechos humanos únicamente cuando acata con brevedad y eficiencia las órdenes de la Corte IDH, es deber de los Estados en primer lugar evitar que las violaciones se produzcan, identificar l</w:t>
      </w:r>
      <w:r w:rsidR="00F731B3">
        <w:rPr>
          <w:rFonts w:ascii="Arial" w:hAnsi="Arial" w:cs="Arial"/>
          <w:sz w:val="22"/>
          <w:szCs w:val="22"/>
          <w:u w:color="000000"/>
        </w:rPr>
        <w:t>os hechos que podrían generar</w:t>
      </w:r>
      <w:r>
        <w:rPr>
          <w:rFonts w:ascii="Arial" w:hAnsi="Arial" w:cs="Arial"/>
          <w:sz w:val="22"/>
          <w:szCs w:val="22"/>
          <w:u w:color="000000"/>
        </w:rPr>
        <w:t xml:space="preserve"> vulneraciones y detenerlos, prevenir en todo caso que los hechos se susciten. Sin embargo una vez cometidos los hechos, el compromiso de los Estados responsables para reparar los daños es muy valioso. </w:t>
      </w:r>
    </w:p>
    <w:p w:rsidR="008751FC" w:rsidRDefault="008751FC" w:rsidP="00A00832">
      <w:pPr>
        <w:pStyle w:val="Body1"/>
        <w:spacing w:before="20" w:line="360" w:lineRule="auto"/>
        <w:jc w:val="both"/>
        <w:outlineLvl w:val="0"/>
        <w:rPr>
          <w:rFonts w:ascii="Arial" w:hAnsi="Arial" w:cs="Arial"/>
          <w:sz w:val="22"/>
          <w:szCs w:val="22"/>
          <w:u w:color="000000"/>
        </w:rPr>
      </w:pPr>
    </w:p>
    <w:p w:rsidR="001F76CC" w:rsidRDefault="00B072F3"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Es necesario mencionar además que si un caso llega a instancias i</w:t>
      </w:r>
      <w:r w:rsidR="00496055">
        <w:rPr>
          <w:rFonts w:ascii="Arial" w:hAnsi="Arial" w:cs="Arial"/>
          <w:sz w:val="22"/>
          <w:szCs w:val="22"/>
          <w:u w:color="000000"/>
        </w:rPr>
        <w:t>nternacionales y la Corte IDH</w:t>
      </w:r>
      <w:r>
        <w:rPr>
          <w:rFonts w:ascii="Arial" w:hAnsi="Arial" w:cs="Arial"/>
          <w:sz w:val="22"/>
          <w:szCs w:val="22"/>
          <w:u w:color="000000"/>
        </w:rPr>
        <w:t xml:space="preserve"> encuentra </w:t>
      </w:r>
      <w:r w:rsidR="00496055">
        <w:rPr>
          <w:rFonts w:ascii="Arial" w:hAnsi="Arial" w:cs="Arial"/>
          <w:sz w:val="22"/>
          <w:szCs w:val="22"/>
          <w:u w:color="000000"/>
        </w:rPr>
        <w:t xml:space="preserve">que el Estado es </w:t>
      </w:r>
      <w:r>
        <w:rPr>
          <w:rFonts w:ascii="Arial" w:hAnsi="Arial" w:cs="Arial"/>
          <w:sz w:val="22"/>
          <w:szCs w:val="22"/>
          <w:u w:color="000000"/>
        </w:rPr>
        <w:t xml:space="preserve">responsable de las violaciones, ha incurrido en la falta de cumplimiento de su deber de sancionar a los responsables y brindar tutela judicial efectiva a las personas por medio de sus instancias internas. El hecho de que la Corte encuentre responsabilidad en los Estado debe </w:t>
      </w:r>
      <w:r w:rsidR="001F76CC">
        <w:rPr>
          <w:rFonts w:ascii="Arial" w:hAnsi="Arial" w:cs="Arial"/>
          <w:sz w:val="22"/>
          <w:szCs w:val="22"/>
          <w:u w:color="000000"/>
        </w:rPr>
        <w:t xml:space="preserve">necesariamente llevar al reconocimiento y </w:t>
      </w:r>
      <w:r w:rsidR="001F76CC">
        <w:rPr>
          <w:rFonts w:ascii="Arial" w:hAnsi="Arial" w:cs="Arial"/>
          <w:sz w:val="22"/>
          <w:szCs w:val="22"/>
          <w:u w:color="000000"/>
        </w:rPr>
        <w:lastRenderedPageBreak/>
        <w:t>posterior disculpa pública de la falta de judicialización de los responsables y  haberlos mantenido impunes.</w:t>
      </w:r>
    </w:p>
    <w:p w:rsidR="001F76CC" w:rsidRDefault="001F76CC" w:rsidP="00A00832">
      <w:pPr>
        <w:pStyle w:val="Body1"/>
        <w:spacing w:before="20" w:line="360" w:lineRule="auto"/>
        <w:jc w:val="both"/>
        <w:outlineLvl w:val="0"/>
        <w:rPr>
          <w:rFonts w:ascii="Arial" w:hAnsi="Arial" w:cs="Arial"/>
          <w:sz w:val="22"/>
          <w:szCs w:val="22"/>
          <w:u w:color="000000"/>
        </w:rPr>
      </w:pPr>
    </w:p>
    <w:p w:rsidR="00B072F3" w:rsidRDefault="001F76CC"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Presentado el caso a la Comisión IDH, el Estado puede, de ser procedente, acogerse a un proceso de solución amistosa aceptando su responsabilidad e iniciando inmediatamente la reparación integral correspondiente conjuntamente con las recomendaciones de la Comisión.  </w:t>
      </w:r>
      <w:r w:rsidR="00B072F3">
        <w:rPr>
          <w:rFonts w:ascii="Arial" w:hAnsi="Arial" w:cs="Arial"/>
          <w:sz w:val="22"/>
          <w:szCs w:val="22"/>
          <w:u w:color="000000"/>
        </w:rPr>
        <w:t xml:space="preserve"> </w:t>
      </w:r>
    </w:p>
    <w:p w:rsidR="001F76CC" w:rsidRDefault="001F76CC" w:rsidP="001F76CC">
      <w:pPr>
        <w:pStyle w:val="Body1"/>
        <w:spacing w:before="20" w:line="360" w:lineRule="auto"/>
        <w:jc w:val="both"/>
        <w:outlineLvl w:val="0"/>
        <w:rPr>
          <w:rFonts w:ascii="Arial" w:hAnsi="Arial" w:cs="Arial"/>
          <w:sz w:val="22"/>
          <w:szCs w:val="22"/>
          <w:u w:color="000000"/>
        </w:rPr>
      </w:pPr>
    </w:p>
    <w:p w:rsidR="001F76CC" w:rsidRPr="00D630EF" w:rsidRDefault="001F76CC"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Aceptado el proceso de solución amistosa por todas la partes intervinientes, la Comisión debe señalar los </w:t>
      </w:r>
      <w:r w:rsidRPr="00D630EF">
        <w:rPr>
          <w:rFonts w:ascii="Arial" w:hAnsi="Arial" w:cs="Arial"/>
          <w:sz w:val="22"/>
          <w:szCs w:val="22"/>
          <w:u w:color="000000"/>
        </w:rPr>
        <w:t>plazos para el cumplimiento de las obligac</w:t>
      </w:r>
      <w:r>
        <w:rPr>
          <w:rFonts w:ascii="Arial" w:hAnsi="Arial" w:cs="Arial"/>
          <w:sz w:val="22"/>
          <w:szCs w:val="22"/>
          <w:u w:color="000000"/>
        </w:rPr>
        <w:t>iones asumidas por los Estados, teniendo estos la obligación de cumplirlos no solo en el tiempo sino en la forma más favorables a las víctimas</w:t>
      </w:r>
      <w:r w:rsidRPr="00D630EF">
        <w:rPr>
          <w:rFonts w:ascii="Arial" w:hAnsi="Arial" w:cs="Arial"/>
          <w:sz w:val="22"/>
          <w:szCs w:val="22"/>
          <w:u w:color="000000"/>
          <w:vertAlign w:val="superscript"/>
        </w:rPr>
        <w:footnoteReference w:id="68"/>
      </w:r>
      <w:r w:rsidR="00FA23AF">
        <w:rPr>
          <w:rFonts w:ascii="Arial" w:hAnsi="Arial" w:cs="Arial"/>
          <w:sz w:val="22"/>
          <w:szCs w:val="22"/>
          <w:u w:color="000000"/>
        </w:rPr>
        <w:t>.</w:t>
      </w:r>
      <w:r w:rsidRPr="00D630EF">
        <w:rPr>
          <w:rFonts w:ascii="Arial" w:hAnsi="Arial" w:cs="Arial"/>
          <w:sz w:val="22"/>
          <w:szCs w:val="22"/>
          <w:u w:color="000000"/>
        </w:rPr>
        <w:t xml:space="preserve">          </w:t>
      </w:r>
    </w:p>
    <w:p w:rsidR="0039388E" w:rsidRDefault="0039388E" w:rsidP="0039388E">
      <w:pPr>
        <w:pStyle w:val="Body1"/>
        <w:spacing w:before="20" w:line="360" w:lineRule="auto"/>
        <w:jc w:val="both"/>
        <w:outlineLvl w:val="0"/>
        <w:rPr>
          <w:rFonts w:ascii="Arial" w:hAnsi="Arial" w:cs="Arial"/>
          <w:sz w:val="22"/>
          <w:szCs w:val="22"/>
          <w:u w:color="000000"/>
        </w:rPr>
      </w:pPr>
    </w:p>
    <w:p w:rsidR="0039388E" w:rsidRDefault="0039388E"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De no</w:t>
      </w:r>
      <w:r w:rsidR="006416F4">
        <w:rPr>
          <w:rFonts w:ascii="Arial" w:hAnsi="Arial" w:cs="Arial"/>
          <w:sz w:val="22"/>
          <w:szCs w:val="22"/>
          <w:u w:color="000000"/>
        </w:rPr>
        <w:t xml:space="preserve"> alcanzarse la solución amistosa, el caso podría pasar</w:t>
      </w:r>
      <w:r>
        <w:rPr>
          <w:rFonts w:ascii="Arial" w:hAnsi="Arial" w:cs="Arial"/>
          <w:sz w:val="22"/>
          <w:szCs w:val="22"/>
          <w:u w:color="000000"/>
        </w:rPr>
        <w:t xml:space="preserve"> a</w:t>
      </w:r>
      <w:r w:rsidR="006416F4">
        <w:rPr>
          <w:rFonts w:ascii="Arial" w:hAnsi="Arial" w:cs="Arial"/>
          <w:sz w:val="22"/>
          <w:szCs w:val="22"/>
          <w:u w:color="000000"/>
        </w:rPr>
        <w:t xml:space="preserve"> conocimiento de la Corte IDH, e</w:t>
      </w:r>
      <w:r>
        <w:rPr>
          <w:rFonts w:ascii="Arial" w:hAnsi="Arial" w:cs="Arial"/>
          <w:sz w:val="22"/>
          <w:szCs w:val="22"/>
          <w:u w:color="000000"/>
        </w:rPr>
        <w:t>l Estado consiente de las violaciones produ</w:t>
      </w:r>
      <w:r w:rsidR="00496055">
        <w:rPr>
          <w:rFonts w:ascii="Arial" w:hAnsi="Arial" w:cs="Arial"/>
          <w:sz w:val="22"/>
          <w:szCs w:val="22"/>
          <w:u w:color="000000"/>
        </w:rPr>
        <w:t>cidas puede allanarse a las pretens</w:t>
      </w:r>
      <w:r>
        <w:rPr>
          <w:rFonts w:ascii="Arial" w:hAnsi="Arial" w:cs="Arial"/>
          <w:sz w:val="22"/>
          <w:szCs w:val="22"/>
          <w:u w:color="000000"/>
        </w:rPr>
        <w:t>iones de las víctimas.</w:t>
      </w:r>
    </w:p>
    <w:p w:rsidR="00794734" w:rsidRDefault="00794734" w:rsidP="0039388E">
      <w:pPr>
        <w:pStyle w:val="Body1"/>
        <w:spacing w:before="20" w:line="360" w:lineRule="auto"/>
        <w:jc w:val="both"/>
        <w:outlineLvl w:val="0"/>
        <w:rPr>
          <w:rFonts w:ascii="Arial" w:hAnsi="Arial" w:cs="Arial"/>
          <w:sz w:val="22"/>
          <w:szCs w:val="22"/>
          <w:u w:color="000000"/>
        </w:rPr>
      </w:pPr>
    </w:p>
    <w:p w:rsidR="00794734" w:rsidRDefault="00794734"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En el caso Myrna </w:t>
      </w:r>
      <w:proofErr w:type="spellStart"/>
      <w:r>
        <w:rPr>
          <w:rFonts w:ascii="Arial" w:hAnsi="Arial" w:cs="Arial"/>
          <w:sz w:val="22"/>
          <w:szCs w:val="22"/>
          <w:u w:color="000000"/>
        </w:rPr>
        <w:t>Mack</w:t>
      </w:r>
      <w:proofErr w:type="spellEnd"/>
      <w:r>
        <w:rPr>
          <w:rFonts w:ascii="Arial" w:hAnsi="Arial" w:cs="Arial"/>
          <w:sz w:val="22"/>
          <w:szCs w:val="22"/>
          <w:u w:color="000000"/>
        </w:rPr>
        <w:t xml:space="preserve"> Chang vs Guatemala, con sentencia de 25 de noviembre del 2003, el Estado se allanó, presentando ante la Corte IDH el comunicado </w:t>
      </w:r>
      <w:r w:rsidRPr="00794734">
        <w:rPr>
          <w:rFonts w:ascii="Arial" w:hAnsi="Arial" w:cs="Arial"/>
          <w:sz w:val="22"/>
          <w:szCs w:val="22"/>
          <w:u w:color="000000"/>
        </w:rPr>
        <w:t>No. 032-2003 de 19 de febrero de 2003 del Ministerio de Relac</w:t>
      </w:r>
      <w:r>
        <w:rPr>
          <w:rFonts w:ascii="Arial" w:hAnsi="Arial" w:cs="Arial"/>
          <w:sz w:val="22"/>
          <w:szCs w:val="22"/>
          <w:u w:color="000000"/>
        </w:rPr>
        <w:t>iones Exteriores denominado</w:t>
      </w:r>
      <w:r w:rsidR="006416F4">
        <w:rPr>
          <w:rFonts w:ascii="Arial" w:hAnsi="Arial" w:cs="Arial"/>
          <w:sz w:val="22"/>
          <w:szCs w:val="22"/>
          <w:u w:color="000000"/>
        </w:rPr>
        <w:t>:</w:t>
      </w:r>
      <w:r>
        <w:rPr>
          <w:rFonts w:ascii="Arial" w:hAnsi="Arial" w:cs="Arial"/>
          <w:sz w:val="22"/>
          <w:szCs w:val="22"/>
          <w:u w:color="000000"/>
        </w:rPr>
        <w:t xml:space="preserve"> “E</w:t>
      </w:r>
      <w:r w:rsidRPr="00794734">
        <w:rPr>
          <w:rFonts w:ascii="Arial" w:hAnsi="Arial" w:cs="Arial"/>
          <w:sz w:val="22"/>
          <w:szCs w:val="22"/>
          <w:u w:color="000000"/>
        </w:rPr>
        <w:t xml:space="preserve">l Estado de Guatemala contribuye a la justicia en el Caso </w:t>
      </w:r>
      <w:proofErr w:type="spellStart"/>
      <w:r w:rsidRPr="00794734">
        <w:rPr>
          <w:rFonts w:ascii="Arial" w:hAnsi="Arial" w:cs="Arial"/>
          <w:sz w:val="22"/>
          <w:szCs w:val="22"/>
          <w:u w:color="000000"/>
        </w:rPr>
        <w:t>Mack</w:t>
      </w:r>
      <w:proofErr w:type="spellEnd"/>
      <w:r w:rsidRPr="00794734">
        <w:rPr>
          <w:rFonts w:ascii="Arial" w:hAnsi="Arial" w:cs="Arial"/>
          <w:sz w:val="22"/>
          <w:szCs w:val="22"/>
          <w:u w:color="000000"/>
        </w:rPr>
        <w:t xml:space="preserve"> Chang aceptando la responsabilidad institucional ante la Corte Interamericana de Derechos Humanos”</w:t>
      </w:r>
      <w:r>
        <w:rPr>
          <w:rFonts w:ascii="Arial" w:hAnsi="Arial" w:cs="Arial"/>
          <w:sz w:val="22"/>
          <w:szCs w:val="22"/>
          <w:u w:color="000000"/>
        </w:rPr>
        <w:t xml:space="preserve">. Luego presentaría escritos señalando el </w:t>
      </w:r>
      <w:r w:rsidRPr="00794734">
        <w:rPr>
          <w:rFonts w:ascii="Arial" w:hAnsi="Arial" w:cs="Arial"/>
          <w:sz w:val="22"/>
          <w:szCs w:val="22"/>
          <w:u w:color="000000"/>
        </w:rPr>
        <w:t xml:space="preserve">alcance de la aceptación de responsabilidad de Guatemala en el </w:t>
      </w:r>
      <w:r>
        <w:rPr>
          <w:rFonts w:ascii="Arial" w:hAnsi="Arial" w:cs="Arial"/>
          <w:sz w:val="22"/>
          <w:szCs w:val="22"/>
          <w:u w:color="000000"/>
        </w:rPr>
        <w:t xml:space="preserve">presente </w:t>
      </w:r>
      <w:r w:rsidRPr="00794734">
        <w:rPr>
          <w:rFonts w:ascii="Arial" w:hAnsi="Arial" w:cs="Arial"/>
          <w:sz w:val="22"/>
          <w:szCs w:val="22"/>
          <w:u w:color="000000"/>
        </w:rPr>
        <w:t>caso</w:t>
      </w:r>
      <w:r>
        <w:rPr>
          <w:rStyle w:val="Refdenotaalpie"/>
          <w:rFonts w:ascii="Arial" w:hAnsi="Arial" w:cs="Arial"/>
          <w:sz w:val="22"/>
          <w:szCs w:val="22"/>
          <w:u w:color="000000"/>
        </w:rPr>
        <w:footnoteReference w:id="69"/>
      </w:r>
      <w:r>
        <w:rPr>
          <w:rFonts w:ascii="Arial" w:hAnsi="Arial" w:cs="Arial"/>
          <w:sz w:val="22"/>
          <w:szCs w:val="22"/>
          <w:u w:color="000000"/>
        </w:rPr>
        <w:t>.</w:t>
      </w:r>
    </w:p>
    <w:p w:rsidR="00F13F18" w:rsidRDefault="00F13F18" w:rsidP="0039388E">
      <w:pPr>
        <w:pStyle w:val="Body1"/>
        <w:spacing w:before="20" w:line="360" w:lineRule="auto"/>
        <w:jc w:val="both"/>
        <w:outlineLvl w:val="0"/>
        <w:rPr>
          <w:rFonts w:ascii="Arial" w:hAnsi="Arial" w:cs="Arial"/>
          <w:sz w:val="22"/>
          <w:szCs w:val="22"/>
          <w:u w:color="000000"/>
        </w:rPr>
      </w:pPr>
    </w:p>
    <w:p w:rsidR="00794734" w:rsidRDefault="00F13F18"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Cabe determinar que en el Reglamento de la Corte IDH no se establece un momento específico en el que la parte demandada pueda presentar su allanamiento, pudiendo entonces presentarlo en cualquier momento, el Tribunal</w:t>
      </w:r>
      <w:r w:rsidRPr="00F13F18">
        <w:rPr>
          <w:rFonts w:ascii="Arial" w:hAnsi="Arial" w:cs="Arial"/>
          <w:sz w:val="22"/>
          <w:szCs w:val="22"/>
          <w:u w:color="000000"/>
        </w:rPr>
        <w:t xml:space="preserve"> después de haber escuchado a todas las partes, deb</w:t>
      </w:r>
      <w:r w:rsidR="00E428A6">
        <w:rPr>
          <w:rFonts w:ascii="Arial" w:hAnsi="Arial" w:cs="Arial"/>
          <w:sz w:val="22"/>
          <w:szCs w:val="22"/>
          <w:u w:color="000000"/>
        </w:rPr>
        <w:t>e evaluar y decidir sus alcance</w:t>
      </w:r>
      <w:r w:rsidRPr="00F13F18">
        <w:rPr>
          <w:rFonts w:ascii="Arial" w:hAnsi="Arial" w:cs="Arial"/>
          <w:sz w:val="22"/>
          <w:szCs w:val="22"/>
          <w:u w:color="000000"/>
        </w:rPr>
        <w:t xml:space="preserve"> en cada caso en particular</w:t>
      </w:r>
      <w:r>
        <w:rPr>
          <w:rFonts w:ascii="Arial" w:hAnsi="Arial" w:cs="Arial"/>
          <w:sz w:val="22"/>
          <w:szCs w:val="22"/>
          <w:u w:color="000000"/>
        </w:rPr>
        <w:t xml:space="preserve">. </w:t>
      </w:r>
      <w:r w:rsidR="00794734">
        <w:rPr>
          <w:rFonts w:ascii="Arial" w:hAnsi="Arial" w:cs="Arial"/>
          <w:sz w:val="22"/>
          <w:szCs w:val="22"/>
          <w:u w:color="000000"/>
        </w:rPr>
        <w:t xml:space="preserve"> </w:t>
      </w:r>
    </w:p>
    <w:p w:rsidR="0039388E" w:rsidRPr="00D630EF" w:rsidRDefault="0039388E" w:rsidP="00F13F18">
      <w:pPr>
        <w:pStyle w:val="Body1"/>
        <w:spacing w:before="20" w:line="360" w:lineRule="auto"/>
        <w:outlineLvl w:val="0"/>
        <w:rPr>
          <w:rFonts w:ascii="Arial" w:hAnsi="Arial" w:cs="Arial"/>
          <w:sz w:val="22"/>
          <w:szCs w:val="22"/>
          <w:u w:color="000000"/>
        </w:rPr>
      </w:pPr>
    </w:p>
    <w:p w:rsidR="00E428A6" w:rsidRDefault="00FA23AF" w:rsidP="00A93F1B">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Si bien con el a</w:t>
      </w:r>
      <w:r w:rsidR="00E428A6">
        <w:rPr>
          <w:rFonts w:ascii="Arial" w:hAnsi="Arial" w:cs="Arial"/>
          <w:sz w:val="22"/>
          <w:szCs w:val="22"/>
          <w:u w:color="000000"/>
        </w:rPr>
        <w:t>llana</w:t>
      </w:r>
      <w:r>
        <w:rPr>
          <w:rFonts w:ascii="Arial" w:hAnsi="Arial" w:cs="Arial"/>
          <w:sz w:val="22"/>
          <w:szCs w:val="22"/>
          <w:u w:color="000000"/>
        </w:rPr>
        <w:t>miento del Estado responsable</w:t>
      </w:r>
      <w:r w:rsidR="00E428A6">
        <w:rPr>
          <w:rFonts w:ascii="Arial" w:hAnsi="Arial" w:cs="Arial"/>
          <w:sz w:val="22"/>
          <w:szCs w:val="22"/>
          <w:u w:color="000000"/>
        </w:rPr>
        <w:t xml:space="preserve"> puede agilizar el proceso de reparación, es importante que las víctimas asuman tal allanamiento como la vía más conveniente para recuperar sus derechos y su dignidad, tanto en el allanamiento como en </w:t>
      </w:r>
      <w:r w:rsidR="00E428A6">
        <w:rPr>
          <w:rFonts w:ascii="Arial" w:hAnsi="Arial" w:cs="Arial"/>
          <w:sz w:val="22"/>
          <w:szCs w:val="22"/>
          <w:u w:color="000000"/>
        </w:rPr>
        <w:lastRenderedPageBreak/>
        <w:t xml:space="preserve">la solución amistosa es necesario que se incluyan todas las peticiones y cuestiones que forman parte de </w:t>
      </w:r>
      <w:r w:rsidR="006416F4">
        <w:rPr>
          <w:rFonts w:ascii="Arial" w:hAnsi="Arial" w:cs="Arial"/>
          <w:sz w:val="22"/>
          <w:szCs w:val="22"/>
          <w:u w:color="000000"/>
        </w:rPr>
        <w:t>sus reclamos</w:t>
      </w:r>
      <w:r w:rsidR="00E428A6">
        <w:rPr>
          <w:rFonts w:ascii="Arial" w:hAnsi="Arial" w:cs="Arial"/>
          <w:sz w:val="22"/>
          <w:szCs w:val="22"/>
          <w:u w:color="000000"/>
        </w:rPr>
        <w:t>, del mismo m</w:t>
      </w:r>
      <w:r w:rsidR="006416F4">
        <w:rPr>
          <w:rFonts w:ascii="Arial" w:hAnsi="Arial" w:cs="Arial"/>
          <w:sz w:val="22"/>
          <w:szCs w:val="22"/>
          <w:u w:color="000000"/>
        </w:rPr>
        <w:t>odo tanto</w:t>
      </w:r>
      <w:r w:rsidR="00E428A6">
        <w:rPr>
          <w:rFonts w:ascii="Arial" w:hAnsi="Arial" w:cs="Arial"/>
          <w:sz w:val="22"/>
          <w:szCs w:val="22"/>
          <w:u w:color="000000"/>
        </w:rPr>
        <w:t xml:space="preserve"> la Comisión </w:t>
      </w:r>
      <w:r w:rsidR="006416F4">
        <w:rPr>
          <w:rFonts w:ascii="Arial" w:hAnsi="Arial" w:cs="Arial"/>
          <w:sz w:val="22"/>
          <w:szCs w:val="22"/>
          <w:u w:color="000000"/>
        </w:rPr>
        <w:t>com</w:t>
      </w:r>
      <w:r w:rsidR="00E428A6">
        <w:rPr>
          <w:rFonts w:ascii="Arial" w:hAnsi="Arial" w:cs="Arial"/>
          <w:sz w:val="22"/>
          <w:szCs w:val="22"/>
          <w:u w:color="000000"/>
        </w:rPr>
        <w:t>o la Corte deben tomar todas las medidas a su alcance para lograr que los compromi</w:t>
      </w:r>
      <w:r w:rsidR="006416F4">
        <w:rPr>
          <w:rFonts w:ascii="Arial" w:hAnsi="Arial" w:cs="Arial"/>
          <w:sz w:val="22"/>
          <w:szCs w:val="22"/>
          <w:u w:color="000000"/>
        </w:rPr>
        <w:t>sos, recomendaciones y órdenes s</w:t>
      </w:r>
      <w:r w:rsidR="00E428A6">
        <w:rPr>
          <w:rFonts w:ascii="Arial" w:hAnsi="Arial" w:cs="Arial"/>
          <w:sz w:val="22"/>
          <w:szCs w:val="22"/>
          <w:u w:color="000000"/>
        </w:rPr>
        <w:t>e cumplan cabalmente</w:t>
      </w:r>
      <w:r w:rsidR="003A7B88">
        <w:rPr>
          <w:rStyle w:val="Refdenotaalpie"/>
          <w:rFonts w:ascii="Arial" w:hAnsi="Arial" w:cs="Arial"/>
          <w:sz w:val="22"/>
          <w:szCs w:val="22"/>
          <w:u w:color="000000"/>
        </w:rPr>
        <w:footnoteReference w:id="70"/>
      </w:r>
      <w:r w:rsidR="006416F4">
        <w:rPr>
          <w:rFonts w:ascii="Arial" w:hAnsi="Arial" w:cs="Arial"/>
          <w:sz w:val="22"/>
          <w:szCs w:val="22"/>
          <w:u w:color="000000"/>
        </w:rPr>
        <w:t>. La ví</w:t>
      </w:r>
      <w:r w:rsidR="00E428A6">
        <w:rPr>
          <w:rFonts w:ascii="Arial" w:hAnsi="Arial" w:cs="Arial"/>
          <w:sz w:val="22"/>
          <w:szCs w:val="22"/>
          <w:u w:color="000000"/>
        </w:rPr>
        <w:t>ctima debe alcanzar un estado psicológico que le permita superar los traumas producto de las violaciones</w:t>
      </w:r>
      <w:r>
        <w:rPr>
          <w:rFonts w:ascii="Arial" w:hAnsi="Arial" w:cs="Arial"/>
          <w:sz w:val="22"/>
          <w:szCs w:val="22"/>
          <w:u w:color="000000"/>
        </w:rPr>
        <w:t>,</w:t>
      </w:r>
      <w:r w:rsidR="00E428A6">
        <w:rPr>
          <w:rFonts w:ascii="Arial" w:hAnsi="Arial" w:cs="Arial"/>
          <w:sz w:val="22"/>
          <w:szCs w:val="22"/>
          <w:u w:color="000000"/>
        </w:rPr>
        <w:t xml:space="preserve"> por ello la </w:t>
      </w:r>
      <w:r>
        <w:rPr>
          <w:rFonts w:ascii="Arial" w:hAnsi="Arial" w:cs="Arial"/>
          <w:sz w:val="22"/>
          <w:szCs w:val="22"/>
          <w:u w:color="000000"/>
        </w:rPr>
        <w:t xml:space="preserve">Comisión y la Corte deben responder a la </w:t>
      </w:r>
      <w:r w:rsidR="00E428A6">
        <w:rPr>
          <w:rFonts w:ascii="Arial" w:hAnsi="Arial" w:cs="Arial"/>
          <w:sz w:val="22"/>
          <w:szCs w:val="22"/>
          <w:u w:color="000000"/>
        </w:rPr>
        <w:t xml:space="preserve">confianza depositada </w:t>
      </w:r>
      <w:r>
        <w:rPr>
          <w:rFonts w:ascii="Arial" w:hAnsi="Arial" w:cs="Arial"/>
          <w:sz w:val="22"/>
          <w:szCs w:val="22"/>
          <w:u w:color="000000"/>
        </w:rPr>
        <w:t>sugiriendo y ordenando respectivamente</w:t>
      </w:r>
      <w:r w:rsidR="006416F4">
        <w:rPr>
          <w:rFonts w:ascii="Arial" w:hAnsi="Arial" w:cs="Arial"/>
          <w:sz w:val="22"/>
          <w:szCs w:val="22"/>
          <w:u w:color="000000"/>
        </w:rPr>
        <w:t xml:space="preserve"> </w:t>
      </w:r>
      <w:r>
        <w:rPr>
          <w:rFonts w:ascii="Arial" w:hAnsi="Arial" w:cs="Arial"/>
          <w:sz w:val="22"/>
          <w:szCs w:val="22"/>
          <w:u w:color="000000"/>
        </w:rPr>
        <w:t>una reparación integral</w:t>
      </w:r>
      <w:r w:rsidR="00E428A6">
        <w:rPr>
          <w:rFonts w:ascii="Arial" w:hAnsi="Arial" w:cs="Arial"/>
          <w:sz w:val="22"/>
          <w:szCs w:val="22"/>
          <w:u w:color="000000"/>
        </w:rPr>
        <w:t xml:space="preserve"> </w:t>
      </w:r>
      <w:r>
        <w:rPr>
          <w:rFonts w:ascii="Arial" w:hAnsi="Arial" w:cs="Arial"/>
          <w:sz w:val="22"/>
          <w:szCs w:val="22"/>
          <w:u w:color="000000"/>
        </w:rPr>
        <w:t>al Estado responsable.</w:t>
      </w:r>
      <w:r w:rsidR="00E428A6">
        <w:rPr>
          <w:rFonts w:ascii="Arial" w:hAnsi="Arial" w:cs="Arial"/>
          <w:sz w:val="22"/>
          <w:szCs w:val="22"/>
          <w:u w:color="000000"/>
        </w:rPr>
        <w:t xml:space="preserve"> </w:t>
      </w:r>
    </w:p>
    <w:p w:rsidR="00E428A6" w:rsidRDefault="00E428A6" w:rsidP="0039388E">
      <w:pPr>
        <w:pStyle w:val="Body1"/>
        <w:spacing w:before="20" w:line="360" w:lineRule="auto"/>
        <w:jc w:val="both"/>
        <w:outlineLvl w:val="0"/>
        <w:rPr>
          <w:rFonts w:ascii="Arial" w:hAnsi="Arial" w:cs="Arial"/>
          <w:sz w:val="22"/>
          <w:szCs w:val="22"/>
          <w:u w:color="000000"/>
        </w:rPr>
      </w:pPr>
    </w:p>
    <w:p w:rsidR="00541246" w:rsidRDefault="00541246"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Aunque exista escepticismo en las víctimas de que los Estados no </w:t>
      </w:r>
      <w:r w:rsidR="006416F4">
        <w:rPr>
          <w:rFonts w:ascii="Arial" w:hAnsi="Arial" w:cs="Arial"/>
          <w:sz w:val="22"/>
          <w:szCs w:val="22"/>
          <w:u w:color="000000"/>
        </w:rPr>
        <w:t>cumplan</w:t>
      </w:r>
      <w:r>
        <w:rPr>
          <w:rFonts w:ascii="Arial" w:hAnsi="Arial" w:cs="Arial"/>
          <w:sz w:val="22"/>
          <w:szCs w:val="22"/>
          <w:u w:color="000000"/>
        </w:rPr>
        <w:t xml:space="preserve"> con sus obligaciones, la Corte puede solicitar informes de cumplimiento a los Estados y celebrar audiencias donde se supervise el cumplimiento de las decisiones</w:t>
      </w:r>
      <w:r w:rsidR="00903E28">
        <w:rPr>
          <w:rStyle w:val="Refdenotaalpie"/>
          <w:rFonts w:ascii="Arial" w:hAnsi="Arial" w:cs="Arial"/>
          <w:sz w:val="22"/>
          <w:szCs w:val="22"/>
          <w:u w:color="000000"/>
        </w:rPr>
        <w:footnoteReference w:id="71"/>
      </w:r>
      <w:r>
        <w:rPr>
          <w:rFonts w:ascii="Arial" w:hAnsi="Arial" w:cs="Arial"/>
          <w:sz w:val="22"/>
          <w:szCs w:val="22"/>
          <w:u w:color="000000"/>
        </w:rPr>
        <w:t xml:space="preserve">.  </w:t>
      </w:r>
    </w:p>
    <w:p w:rsidR="00A00832" w:rsidRPr="00D630EF" w:rsidRDefault="00A00832" w:rsidP="00A00832">
      <w:pPr>
        <w:pStyle w:val="Body1"/>
        <w:spacing w:before="20" w:line="360" w:lineRule="auto"/>
        <w:jc w:val="both"/>
        <w:outlineLvl w:val="0"/>
        <w:rPr>
          <w:rFonts w:ascii="Arial" w:hAnsi="Arial" w:cs="Arial"/>
          <w:sz w:val="22"/>
          <w:szCs w:val="22"/>
          <w:u w:color="000000"/>
        </w:rPr>
      </w:pPr>
    </w:p>
    <w:p w:rsidR="00725F25" w:rsidRDefault="00541246"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caso de que el Estado demandado no se allane el proceso continuará hasta que la Corte se pronuncie. El papel del Estado al determinarse su responsabilidad es el de cumplir las órdenes de la Corte, procurar que las sentencia</w:t>
      </w:r>
      <w:r w:rsidR="00A93F1B">
        <w:rPr>
          <w:rFonts w:ascii="Arial" w:hAnsi="Arial" w:cs="Arial"/>
          <w:sz w:val="22"/>
          <w:szCs w:val="22"/>
          <w:u w:color="000000"/>
        </w:rPr>
        <w:t>s s</w:t>
      </w:r>
      <w:r>
        <w:rPr>
          <w:rFonts w:ascii="Arial" w:hAnsi="Arial" w:cs="Arial"/>
          <w:sz w:val="22"/>
          <w:szCs w:val="22"/>
          <w:u w:color="000000"/>
        </w:rPr>
        <w:t>e ejecute</w:t>
      </w:r>
      <w:r w:rsidR="00A93F1B">
        <w:rPr>
          <w:rFonts w:ascii="Arial" w:hAnsi="Arial" w:cs="Arial"/>
          <w:sz w:val="22"/>
          <w:szCs w:val="22"/>
          <w:u w:color="000000"/>
        </w:rPr>
        <w:t>n</w:t>
      </w:r>
      <w:r>
        <w:rPr>
          <w:rFonts w:ascii="Arial" w:hAnsi="Arial" w:cs="Arial"/>
          <w:sz w:val="22"/>
          <w:szCs w:val="22"/>
          <w:u w:color="000000"/>
        </w:rPr>
        <w:t xml:space="preserve"> en la forma como se ha establecido </w:t>
      </w:r>
      <w:r w:rsidR="00216189">
        <w:rPr>
          <w:rFonts w:ascii="Arial" w:hAnsi="Arial" w:cs="Arial"/>
          <w:sz w:val="22"/>
          <w:szCs w:val="22"/>
          <w:u w:color="000000"/>
        </w:rPr>
        <w:t>en el momento determinado.</w:t>
      </w:r>
      <w:r w:rsidR="006416F4">
        <w:rPr>
          <w:rFonts w:ascii="Arial" w:hAnsi="Arial" w:cs="Arial"/>
          <w:sz w:val="22"/>
          <w:szCs w:val="22"/>
          <w:u w:color="000000"/>
        </w:rPr>
        <w:t xml:space="preserve"> </w:t>
      </w:r>
      <w:r w:rsidR="00216189">
        <w:rPr>
          <w:rFonts w:ascii="Arial" w:hAnsi="Arial" w:cs="Arial"/>
          <w:sz w:val="22"/>
          <w:szCs w:val="22"/>
          <w:u w:color="000000"/>
        </w:rPr>
        <w:t>En</w:t>
      </w:r>
      <w:r w:rsidR="006416F4">
        <w:rPr>
          <w:rFonts w:ascii="Arial" w:hAnsi="Arial" w:cs="Arial"/>
          <w:sz w:val="22"/>
          <w:szCs w:val="22"/>
          <w:u w:color="000000"/>
        </w:rPr>
        <w:t xml:space="preserve"> este</w:t>
      </w:r>
      <w:r>
        <w:rPr>
          <w:rFonts w:ascii="Arial" w:hAnsi="Arial" w:cs="Arial"/>
          <w:sz w:val="22"/>
          <w:szCs w:val="22"/>
          <w:u w:color="000000"/>
        </w:rPr>
        <w:t xml:space="preserve"> punto el Estado debe mantener una constante comunicación con las víctimas y sus familiares prestando </w:t>
      </w:r>
      <w:r w:rsidR="006416F4">
        <w:rPr>
          <w:rFonts w:ascii="Arial" w:hAnsi="Arial" w:cs="Arial"/>
          <w:sz w:val="22"/>
          <w:szCs w:val="22"/>
          <w:u w:color="000000"/>
        </w:rPr>
        <w:t>todas las facilidades posibles, evitando</w:t>
      </w:r>
      <w:r>
        <w:rPr>
          <w:rFonts w:ascii="Arial" w:hAnsi="Arial" w:cs="Arial"/>
          <w:sz w:val="22"/>
          <w:szCs w:val="22"/>
          <w:u w:color="000000"/>
        </w:rPr>
        <w:t xml:space="preserve"> </w:t>
      </w:r>
      <w:r w:rsidR="006416F4">
        <w:rPr>
          <w:rFonts w:ascii="Arial" w:hAnsi="Arial" w:cs="Arial"/>
          <w:sz w:val="22"/>
          <w:szCs w:val="22"/>
          <w:u w:color="000000"/>
        </w:rPr>
        <w:t>los trámites burocrático</w:t>
      </w:r>
      <w:r>
        <w:rPr>
          <w:rFonts w:ascii="Arial" w:hAnsi="Arial" w:cs="Arial"/>
          <w:sz w:val="22"/>
          <w:szCs w:val="22"/>
          <w:u w:color="000000"/>
        </w:rPr>
        <w:t xml:space="preserve">s que </w:t>
      </w:r>
      <w:r w:rsidR="006416F4">
        <w:rPr>
          <w:rFonts w:ascii="Arial" w:hAnsi="Arial" w:cs="Arial"/>
          <w:sz w:val="22"/>
          <w:szCs w:val="22"/>
          <w:u w:color="000000"/>
        </w:rPr>
        <w:t>pudieran obstaculizar</w:t>
      </w:r>
      <w:r>
        <w:rPr>
          <w:rFonts w:ascii="Arial" w:hAnsi="Arial" w:cs="Arial"/>
          <w:sz w:val="22"/>
          <w:szCs w:val="22"/>
          <w:u w:color="000000"/>
        </w:rPr>
        <w:t xml:space="preserve"> el proceso de reparación</w:t>
      </w:r>
      <w:r w:rsidR="00725F25">
        <w:rPr>
          <w:rFonts w:ascii="Arial" w:hAnsi="Arial" w:cs="Arial"/>
          <w:sz w:val="22"/>
          <w:szCs w:val="22"/>
          <w:u w:color="000000"/>
        </w:rPr>
        <w:t xml:space="preserve">. Las obligaciones </w:t>
      </w:r>
      <w:proofErr w:type="spellStart"/>
      <w:r w:rsidR="00725F25">
        <w:rPr>
          <w:rFonts w:ascii="Arial" w:hAnsi="Arial" w:cs="Arial"/>
          <w:sz w:val="22"/>
          <w:szCs w:val="22"/>
          <w:u w:color="000000"/>
        </w:rPr>
        <w:t>del</w:t>
      </w:r>
      <w:proofErr w:type="spellEnd"/>
      <w:r w:rsidR="00725F25">
        <w:rPr>
          <w:rFonts w:ascii="Arial" w:hAnsi="Arial" w:cs="Arial"/>
          <w:sz w:val="22"/>
          <w:szCs w:val="22"/>
          <w:u w:color="000000"/>
        </w:rPr>
        <w:t xml:space="preserve"> los Estados al haber sido claramente determinadas por la Corte no requieren de procesos internos o pronunciamiento</w:t>
      </w:r>
      <w:r w:rsidR="00216189">
        <w:rPr>
          <w:rFonts w:ascii="Arial" w:hAnsi="Arial" w:cs="Arial"/>
          <w:sz w:val="22"/>
          <w:szCs w:val="22"/>
          <w:u w:color="000000"/>
        </w:rPr>
        <w:t>s</w:t>
      </w:r>
      <w:r w:rsidR="00725F25">
        <w:rPr>
          <w:rFonts w:ascii="Arial" w:hAnsi="Arial" w:cs="Arial"/>
          <w:sz w:val="22"/>
          <w:szCs w:val="22"/>
          <w:u w:color="000000"/>
        </w:rPr>
        <w:t xml:space="preserve"> de autoridades para cumplirse, no deben existir condiciones impuestas por entidades u organismos estatales que eviten la inmediata ejecución de la sentencia.</w:t>
      </w:r>
      <w:r w:rsidR="00725F25" w:rsidRPr="00D630EF">
        <w:rPr>
          <w:rFonts w:ascii="Arial" w:hAnsi="Arial" w:cs="Arial"/>
          <w:sz w:val="22"/>
          <w:szCs w:val="22"/>
          <w:u w:color="000000"/>
        </w:rPr>
        <w:t xml:space="preserve"> </w:t>
      </w:r>
      <w:r w:rsidR="00725F25">
        <w:rPr>
          <w:rFonts w:ascii="Arial" w:hAnsi="Arial" w:cs="Arial"/>
          <w:sz w:val="22"/>
          <w:szCs w:val="22"/>
          <w:u w:color="000000"/>
        </w:rPr>
        <w:t xml:space="preserve">Los agentes y autoridades estatales deben estar prestos a dar toda la información que </w:t>
      </w:r>
      <w:r w:rsidR="006416F4">
        <w:rPr>
          <w:rFonts w:ascii="Arial" w:hAnsi="Arial" w:cs="Arial"/>
          <w:sz w:val="22"/>
          <w:szCs w:val="22"/>
          <w:u w:color="000000"/>
        </w:rPr>
        <w:t>sea solicitada por las víctimas y</w:t>
      </w:r>
      <w:r w:rsidR="00725F25">
        <w:rPr>
          <w:rFonts w:ascii="Arial" w:hAnsi="Arial" w:cs="Arial"/>
          <w:sz w:val="22"/>
          <w:szCs w:val="22"/>
          <w:u w:color="000000"/>
        </w:rPr>
        <w:t xml:space="preserve"> tienen el deber de guiar y facilitar dicho proceso.</w:t>
      </w:r>
    </w:p>
    <w:p w:rsidR="00725F25" w:rsidRDefault="00725F25" w:rsidP="00A00832">
      <w:pPr>
        <w:pStyle w:val="Body1"/>
        <w:spacing w:before="20" w:line="360" w:lineRule="auto"/>
        <w:jc w:val="both"/>
        <w:outlineLvl w:val="0"/>
        <w:rPr>
          <w:rFonts w:ascii="Arial" w:hAnsi="Arial" w:cs="Arial"/>
          <w:sz w:val="22"/>
          <w:szCs w:val="22"/>
          <w:u w:color="000000"/>
        </w:rPr>
      </w:pPr>
    </w:p>
    <w:p w:rsidR="00A00832" w:rsidRPr="00D630EF" w:rsidRDefault="00725F25"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Una vez que la Corte ha determinado las medidas de reparación, el Estado no puede alegar la ausencia o la contradicción con normas internas para cumplir sus obligaciones, pues al momento de ratificar los instrumentos internacionales de protección a los derechos humanos, como la Convención Americana sobre Derechos Humanos, debe ajustar su normativa interna para </w:t>
      </w:r>
      <w:r w:rsidR="006416F4">
        <w:rPr>
          <w:rFonts w:ascii="Arial" w:hAnsi="Arial" w:cs="Arial"/>
          <w:sz w:val="22"/>
          <w:szCs w:val="22"/>
          <w:u w:color="000000"/>
        </w:rPr>
        <w:t>que los instrumentos</w:t>
      </w:r>
      <w:r w:rsidR="00796DEA">
        <w:rPr>
          <w:rFonts w:ascii="Arial" w:hAnsi="Arial" w:cs="Arial"/>
          <w:sz w:val="22"/>
          <w:szCs w:val="22"/>
          <w:u w:color="000000"/>
        </w:rPr>
        <w:t xml:space="preserve"> internacionales se apliquen, </w:t>
      </w:r>
      <w:r>
        <w:rPr>
          <w:rFonts w:ascii="Arial" w:hAnsi="Arial" w:cs="Arial"/>
          <w:sz w:val="22"/>
          <w:szCs w:val="22"/>
          <w:u w:color="000000"/>
        </w:rPr>
        <w:t>cumplan y respeten</w:t>
      </w:r>
      <w:r w:rsidR="00796DEA">
        <w:rPr>
          <w:rFonts w:ascii="Arial" w:hAnsi="Arial" w:cs="Arial"/>
          <w:sz w:val="22"/>
          <w:szCs w:val="22"/>
          <w:u w:color="000000"/>
        </w:rPr>
        <w:t xml:space="preserve">. En este sentido, la Corte IDH se pronunció en el caso Fermín Ramírez señalando que </w:t>
      </w:r>
      <w:r w:rsidR="00796DEA" w:rsidRPr="008C6CE0">
        <w:rPr>
          <w:rFonts w:ascii="Arial" w:hAnsi="Arial" w:cs="Arial"/>
          <w:i/>
          <w:sz w:val="22"/>
          <w:szCs w:val="22"/>
          <w:u w:color="000000"/>
        </w:rPr>
        <w:t xml:space="preserve">“La obligación de reparar, regulada por el Derecho Internacional, </w:t>
      </w:r>
      <w:r w:rsidR="00796DEA" w:rsidRPr="008C6CE0">
        <w:rPr>
          <w:rFonts w:ascii="Arial" w:hAnsi="Arial" w:cs="Arial"/>
          <w:i/>
          <w:sz w:val="22"/>
          <w:szCs w:val="22"/>
          <w:u w:color="000000"/>
        </w:rPr>
        <w:lastRenderedPageBreak/>
        <w:t>no puede ser modificada o incumplida por el Estado obligado invocando disposiciones de su derecho interno”</w:t>
      </w:r>
      <w:r w:rsidR="00A00832" w:rsidRPr="00796DEA">
        <w:rPr>
          <w:rFonts w:ascii="Arial" w:hAnsi="Arial" w:cs="Arial"/>
          <w:i/>
          <w:sz w:val="18"/>
          <w:szCs w:val="18"/>
          <w:u w:color="000000"/>
          <w:vertAlign w:val="superscript"/>
        </w:rPr>
        <w:footnoteReference w:id="72"/>
      </w:r>
      <w:r>
        <w:rPr>
          <w:rFonts w:ascii="Arial" w:hAnsi="Arial" w:cs="Arial"/>
          <w:sz w:val="22"/>
          <w:szCs w:val="22"/>
          <w:u w:color="000000"/>
        </w:rPr>
        <w:t>.</w:t>
      </w:r>
    </w:p>
    <w:p w:rsidR="008C6CE0" w:rsidRDefault="008C6CE0" w:rsidP="004E6209">
      <w:pPr>
        <w:pStyle w:val="Body1"/>
        <w:spacing w:before="20" w:line="360" w:lineRule="auto"/>
        <w:jc w:val="both"/>
        <w:outlineLvl w:val="0"/>
        <w:rPr>
          <w:rFonts w:ascii="Arial" w:hAnsi="Arial" w:cs="Arial"/>
          <w:sz w:val="22"/>
          <w:szCs w:val="22"/>
          <w:u w:color="000000"/>
        </w:rPr>
      </w:pPr>
    </w:p>
    <w:p w:rsidR="00A00832" w:rsidRPr="00D630EF" w:rsidRDefault="004E6209" w:rsidP="004E6209">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 reparación por parte de los Estados responsables no es únicamente la entrega de cierta suma de dinero a las víctimas como indemnización, obligación que por cierto es legítima y las víctimas están en a</w:t>
      </w:r>
      <w:r w:rsidR="006416F4">
        <w:rPr>
          <w:rFonts w:ascii="Arial" w:hAnsi="Arial" w:cs="Arial"/>
          <w:sz w:val="22"/>
          <w:szCs w:val="22"/>
          <w:u w:color="000000"/>
        </w:rPr>
        <w:t>bsoluto derecho de recibir; incluye además</w:t>
      </w:r>
      <w:r>
        <w:rPr>
          <w:rFonts w:ascii="Arial" w:hAnsi="Arial" w:cs="Arial"/>
          <w:sz w:val="22"/>
          <w:szCs w:val="22"/>
          <w:u w:color="000000"/>
        </w:rPr>
        <w:t xml:space="preserve"> medidas que tienden en general a devolver la dign</w:t>
      </w:r>
      <w:r w:rsidR="006416F4">
        <w:rPr>
          <w:rFonts w:ascii="Arial" w:hAnsi="Arial" w:cs="Arial"/>
          <w:sz w:val="22"/>
          <w:szCs w:val="22"/>
          <w:u w:color="000000"/>
        </w:rPr>
        <w:t>idad a los afectados, encausarles</w:t>
      </w:r>
      <w:r>
        <w:rPr>
          <w:rFonts w:ascii="Arial" w:hAnsi="Arial" w:cs="Arial"/>
          <w:sz w:val="22"/>
          <w:szCs w:val="22"/>
          <w:u w:color="000000"/>
        </w:rPr>
        <w:t xml:space="preserve"> nuevamente hacia sus proyectos de vida </w:t>
      </w:r>
      <w:r w:rsidR="006416F4">
        <w:rPr>
          <w:rFonts w:ascii="Arial" w:hAnsi="Arial" w:cs="Arial"/>
          <w:sz w:val="22"/>
          <w:szCs w:val="22"/>
          <w:u w:color="000000"/>
        </w:rPr>
        <w:t xml:space="preserve">y permitir a toda la sociedad </w:t>
      </w:r>
      <w:r>
        <w:rPr>
          <w:rFonts w:ascii="Arial" w:hAnsi="Arial" w:cs="Arial"/>
          <w:sz w:val="22"/>
          <w:szCs w:val="22"/>
          <w:u w:color="000000"/>
        </w:rPr>
        <w:t xml:space="preserve">conocer la verdad de los hechos reforzando el derecho a la memoria. Para los  </w:t>
      </w:r>
      <w:r w:rsidR="00A00832" w:rsidRPr="00D630EF">
        <w:rPr>
          <w:rFonts w:ascii="Arial" w:hAnsi="Arial" w:cs="Arial"/>
          <w:sz w:val="22"/>
          <w:szCs w:val="22"/>
          <w:u w:color="000000"/>
        </w:rPr>
        <w:t xml:space="preserve">Estados </w:t>
      </w:r>
      <w:r>
        <w:rPr>
          <w:rFonts w:ascii="Arial" w:hAnsi="Arial" w:cs="Arial"/>
          <w:sz w:val="22"/>
          <w:szCs w:val="22"/>
          <w:u w:color="000000"/>
        </w:rPr>
        <w:t xml:space="preserve">responsables la indemnización es una obligación relativamente fácil de cumplir, situación que en la mayoría de los casos ocurre, sin embargo el desarrollo de la doctrina y la jurisprudencia han puesto de manifiesto que la </w:t>
      </w:r>
      <w:r w:rsidR="00A00832" w:rsidRPr="00D630EF">
        <w:rPr>
          <w:rFonts w:ascii="Arial" w:hAnsi="Arial" w:cs="Arial"/>
          <w:sz w:val="22"/>
          <w:szCs w:val="22"/>
          <w:u w:color="000000"/>
        </w:rPr>
        <w:t>obligación de repara</w:t>
      </w:r>
      <w:r w:rsidR="00A00832">
        <w:rPr>
          <w:rFonts w:ascii="Arial" w:hAnsi="Arial" w:cs="Arial"/>
          <w:sz w:val="22"/>
          <w:szCs w:val="22"/>
          <w:u w:color="000000"/>
        </w:rPr>
        <w:t>r</w:t>
      </w:r>
      <w:r w:rsidR="00A00832" w:rsidRPr="00D630EF">
        <w:rPr>
          <w:rFonts w:ascii="Arial" w:hAnsi="Arial" w:cs="Arial"/>
          <w:sz w:val="22"/>
          <w:szCs w:val="22"/>
          <w:u w:color="000000"/>
        </w:rPr>
        <w:t xml:space="preserve"> de forma integral</w:t>
      </w:r>
      <w:r>
        <w:rPr>
          <w:rFonts w:ascii="Arial" w:hAnsi="Arial" w:cs="Arial"/>
          <w:sz w:val="22"/>
          <w:szCs w:val="22"/>
          <w:u w:color="000000"/>
        </w:rPr>
        <w:t xml:space="preserve"> no se agota en ningún caso en el aspecto económico</w:t>
      </w:r>
      <w:r w:rsidR="00A00832" w:rsidRPr="00D630EF">
        <w:rPr>
          <w:rFonts w:ascii="Arial" w:hAnsi="Arial" w:cs="Arial"/>
          <w:sz w:val="22"/>
          <w:szCs w:val="22"/>
          <w:u w:color="000000"/>
          <w:vertAlign w:val="superscript"/>
        </w:rPr>
        <w:footnoteReference w:id="73"/>
      </w:r>
      <w:r w:rsidR="007525A5">
        <w:rPr>
          <w:rFonts w:ascii="Arial" w:hAnsi="Arial" w:cs="Arial"/>
          <w:sz w:val="22"/>
          <w:szCs w:val="22"/>
          <w:u w:color="000000"/>
        </w:rPr>
        <w:t>.</w:t>
      </w:r>
    </w:p>
    <w:p w:rsidR="00A00832" w:rsidRPr="00D630EF" w:rsidRDefault="00A00832" w:rsidP="009C605B">
      <w:pPr>
        <w:pStyle w:val="Body1"/>
        <w:spacing w:before="20" w:line="360" w:lineRule="auto"/>
        <w:outlineLvl w:val="0"/>
        <w:rPr>
          <w:rFonts w:ascii="Arial" w:hAnsi="Arial" w:cs="Arial"/>
          <w:sz w:val="22"/>
          <w:szCs w:val="22"/>
          <w:u w:color="000000"/>
        </w:rPr>
      </w:pPr>
    </w:p>
    <w:p w:rsidR="00A00832" w:rsidRPr="00D630EF" w:rsidRDefault="004E6209"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El papel de los Estados en la protección de los derechos humanos debe extenderse en todas las esferas públicas, los funcionarios y agentes, así como los miembros de la fuerza púb</w:t>
      </w:r>
      <w:r w:rsidR="004416B7">
        <w:rPr>
          <w:rFonts w:ascii="Arial" w:hAnsi="Arial" w:cs="Arial"/>
          <w:sz w:val="22"/>
          <w:szCs w:val="22"/>
          <w:u w:color="000000"/>
        </w:rPr>
        <w:t>lica deben conocer y respetar la</w:t>
      </w:r>
      <w:r>
        <w:rPr>
          <w:rFonts w:ascii="Arial" w:hAnsi="Arial" w:cs="Arial"/>
          <w:sz w:val="22"/>
          <w:szCs w:val="22"/>
          <w:u w:color="000000"/>
        </w:rPr>
        <w:t>s normas tanto internas como internacionales de derechos humanos. Comúnmente existe desconocimiento por parte de los funcionarios</w:t>
      </w:r>
      <w:r w:rsidR="004416B7">
        <w:rPr>
          <w:rFonts w:ascii="Arial" w:hAnsi="Arial" w:cs="Arial"/>
          <w:sz w:val="22"/>
          <w:szCs w:val="22"/>
          <w:u w:color="000000"/>
        </w:rPr>
        <w:t xml:space="preserve"> sobre</w:t>
      </w:r>
      <w:r>
        <w:rPr>
          <w:rFonts w:ascii="Arial" w:hAnsi="Arial" w:cs="Arial"/>
          <w:sz w:val="22"/>
          <w:szCs w:val="22"/>
          <w:u w:color="000000"/>
        </w:rPr>
        <w:t xml:space="preserve"> </w:t>
      </w:r>
      <w:r w:rsidR="004416B7">
        <w:rPr>
          <w:rFonts w:ascii="Arial" w:hAnsi="Arial" w:cs="Arial"/>
          <w:sz w:val="22"/>
          <w:szCs w:val="22"/>
          <w:u w:color="000000"/>
        </w:rPr>
        <w:t xml:space="preserve">normas, instancias, órganos, </w:t>
      </w:r>
      <w:r>
        <w:rPr>
          <w:rFonts w:ascii="Arial" w:hAnsi="Arial" w:cs="Arial"/>
          <w:sz w:val="22"/>
          <w:szCs w:val="22"/>
          <w:u w:color="000000"/>
        </w:rPr>
        <w:t xml:space="preserve">mecanismos </w:t>
      </w:r>
      <w:r w:rsidR="004416B7">
        <w:rPr>
          <w:rFonts w:ascii="Arial" w:hAnsi="Arial" w:cs="Arial"/>
          <w:sz w:val="22"/>
          <w:szCs w:val="22"/>
          <w:u w:color="000000"/>
        </w:rPr>
        <w:t xml:space="preserve">y en general sobre el </w:t>
      </w:r>
      <w:r w:rsidR="00A00832" w:rsidRPr="00D630EF">
        <w:rPr>
          <w:rFonts w:ascii="Arial" w:hAnsi="Arial" w:cs="Arial"/>
          <w:sz w:val="22"/>
          <w:szCs w:val="22"/>
          <w:u w:color="000000"/>
        </w:rPr>
        <w:t>funci</w:t>
      </w:r>
      <w:r w:rsidR="00A00832">
        <w:rPr>
          <w:rFonts w:ascii="Arial" w:hAnsi="Arial" w:cs="Arial"/>
          <w:sz w:val="22"/>
          <w:szCs w:val="22"/>
          <w:u w:color="000000"/>
        </w:rPr>
        <w:t>ona</w:t>
      </w:r>
      <w:r w:rsidR="004416B7">
        <w:rPr>
          <w:rFonts w:ascii="Arial" w:hAnsi="Arial" w:cs="Arial"/>
          <w:sz w:val="22"/>
          <w:szCs w:val="22"/>
          <w:u w:color="000000"/>
        </w:rPr>
        <w:t>miento</w:t>
      </w:r>
      <w:r w:rsidR="00A00832">
        <w:rPr>
          <w:rFonts w:ascii="Arial" w:hAnsi="Arial" w:cs="Arial"/>
          <w:sz w:val="22"/>
          <w:szCs w:val="22"/>
          <w:u w:color="000000"/>
        </w:rPr>
        <w:t xml:space="preserve"> </w:t>
      </w:r>
      <w:r w:rsidR="004416B7">
        <w:rPr>
          <w:rFonts w:ascii="Arial" w:hAnsi="Arial" w:cs="Arial"/>
          <w:sz w:val="22"/>
          <w:szCs w:val="22"/>
          <w:u w:color="000000"/>
        </w:rPr>
        <w:t>d</w:t>
      </w:r>
      <w:r w:rsidR="00905F3D">
        <w:rPr>
          <w:rFonts w:ascii="Arial" w:hAnsi="Arial" w:cs="Arial"/>
          <w:sz w:val="22"/>
          <w:szCs w:val="22"/>
          <w:u w:color="000000"/>
        </w:rPr>
        <w:t>el Sistema I</w:t>
      </w:r>
      <w:r w:rsidR="00A00832">
        <w:rPr>
          <w:rFonts w:ascii="Arial" w:hAnsi="Arial" w:cs="Arial"/>
          <w:sz w:val="22"/>
          <w:szCs w:val="22"/>
          <w:u w:color="000000"/>
        </w:rPr>
        <w:t>nteramericano</w:t>
      </w:r>
      <w:r w:rsidR="00905F3D">
        <w:rPr>
          <w:rFonts w:ascii="Arial" w:hAnsi="Arial" w:cs="Arial"/>
          <w:sz w:val="22"/>
          <w:szCs w:val="22"/>
          <w:u w:color="000000"/>
        </w:rPr>
        <w:t xml:space="preserve"> de protección de Derechos H</w:t>
      </w:r>
      <w:r w:rsidR="00A00832" w:rsidRPr="00D630EF">
        <w:rPr>
          <w:rFonts w:ascii="Arial" w:hAnsi="Arial" w:cs="Arial"/>
          <w:sz w:val="22"/>
          <w:szCs w:val="22"/>
          <w:u w:color="000000"/>
        </w:rPr>
        <w:t xml:space="preserve">umanos. </w:t>
      </w:r>
      <w:r w:rsidR="004416B7">
        <w:rPr>
          <w:rFonts w:ascii="Arial" w:hAnsi="Arial" w:cs="Arial"/>
          <w:sz w:val="22"/>
          <w:szCs w:val="22"/>
          <w:u w:color="000000"/>
        </w:rPr>
        <w:t>Existe cierta reticencia hacia</w:t>
      </w:r>
      <w:r w:rsidR="00A00832" w:rsidRPr="00D630EF">
        <w:rPr>
          <w:rFonts w:ascii="Arial" w:hAnsi="Arial" w:cs="Arial"/>
          <w:sz w:val="22"/>
          <w:szCs w:val="22"/>
          <w:u w:color="000000"/>
        </w:rPr>
        <w:t xml:space="preserve"> </w:t>
      </w:r>
      <w:r w:rsidR="00905F3D">
        <w:rPr>
          <w:rFonts w:ascii="Arial" w:hAnsi="Arial" w:cs="Arial"/>
          <w:sz w:val="22"/>
          <w:szCs w:val="22"/>
          <w:u w:color="000000"/>
        </w:rPr>
        <w:t>el SIDH</w:t>
      </w:r>
      <w:r w:rsidR="004416B7">
        <w:rPr>
          <w:rFonts w:ascii="Arial" w:hAnsi="Arial" w:cs="Arial"/>
          <w:sz w:val="22"/>
          <w:szCs w:val="22"/>
          <w:u w:color="000000"/>
        </w:rPr>
        <w:t>, alegando una afectación a la soberanía nacional, lo que conlleva un retroceso en la tarea de los organismos internacionales que buscan la vigencia reconocimiento y progresión de los derechos humanos. Es importante generar una noción de apertura hacia la labor de los órganos internacionales especialmente en los funcionarios de gobierno que tienen directamente a su cargo el tratamiento de derechos humanos</w:t>
      </w:r>
      <w:r w:rsidR="00EF07F9">
        <w:rPr>
          <w:rStyle w:val="Refdenotaalpie"/>
          <w:rFonts w:ascii="Arial" w:hAnsi="Arial" w:cs="Arial"/>
          <w:sz w:val="22"/>
          <w:szCs w:val="22"/>
          <w:u w:color="000000"/>
        </w:rPr>
        <w:footnoteReference w:id="74"/>
      </w:r>
      <w:r w:rsidR="004416B7">
        <w:rPr>
          <w:rFonts w:ascii="Arial" w:hAnsi="Arial" w:cs="Arial"/>
          <w:sz w:val="22"/>
          <w:szCs w:val="22"/>
          <w:u w:color="000000"/>
        </w:rPr>
        <w:t xml:space="preserve">.   </w:t>
      </w:r>
      <w:r w:rsidR="00A00832" w:rsidRPr="00D630EF">
        <w:rPr>
          <w:rFonts w:ascii="Arial" w:hAnsi="Arial" w:cs="Arial"/>
          <w:sz w:val="22"/>
          <w:szCs w:val="22"/>
          <w:u w:color="000000"/>
        </w:rPr>
        <w:t xml:space="preserve"> </w:t>
      </w:r>
    </w:p>
    <w:p w:rsidR="00A00832" w:rsidRPr="00D630EF" w:rsidRDefault="00A00832" w:rsidP="00A00832">
      <w:pPr>
        <w:pStyle w:val="Body1"/>
        <w:spacing w:before="20" w:line="360" w:lineRule="auto"/>
        <w:outlineLvl w:val="0"/>
        <w:rPr>
          <w:rFonts w:ascii="Arial" w:hAnsi="Arial" w:cs="Arial"/>
          <w:sz w:val="22"/>
          <w:szCs w:val="22"/>
          <w:u w:color="000000"/>
        </w:rPr>
      </w:pPr>
    </w:p>
    <w:p w:rsidR="00A00832" w:rsidRPr="00D630EF" w:rsidRDefault="00C56A19"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Los Estados P</w:t>
      </w:r>
      <w:r w:rsidR="00A00832" w:rsidRPr="00D630EF">
        <w:rPr>
          <w:rFonts w:ascii="Arial" w:hAnsi="Arial" w:cs="Arial"/>
          <w:sz w:val="22"/>
          <w:szCs w:val="22"/>
          <w:u w:color="000000"/>
        </w:rPr>
        <w:t>arte</w:t>
      </w:r>
      <w:r>
        <w:rPr>
          <w:rFonts w:ascii="Arial" w:hAnsi="Arial" w:cs="Arial"/>
          <w:sz w:val="22"/>
          <w:szCs w:val="22"/>
          <w:u w:color="000000"/>
        </w:rPr>
        <w:t>s</w:t>
      </w:r>
      <w:r w:rsidR="00A00832" w:rsidRPr="00D630EF">
        <w:rPr>
          <w:rFonts w:ascii="Arial" w:hAnsi="Arial" w:cs="Arial"/>
          <w:sz w:val="22"/>
          <w:szCs w:val="22"/>
          <w:u w:color="000000"/>
        </w:rPr>
        <w:t xml:space="preserve"> de la Convención </w:t>
      </w:r>
      <w:r>
        <w:rPr>
          <w:rFonts w:ascii="Arial" w:hAnsi="Arial" w:cs="Arial"/>
          <w:sz w:val="22"/>
          <w:szCs w:val="22"/>
          <w:u w:color="000000"/>
        </w:rPr>
        <w:t xml:space="preserve">Americana </w:t>
      </w:r>
      <w:r w:rsidR="00A00832" w:rsidRPr="00D630EF">
        <w:rPr>
          <w:rFonts w:ascii="Arial" w:hAnsi="Arial" w:cs="Arial"/>
          <w:sz w:val="22"/>
          <w:szCs w:val="22"/>
          <w:u w:color="000000"/>
        </w:rPr>
        <w:t>deben dictar leyes en el ámbito interno que</w:t>
      </w:r>
      <w:r>
        <w:rPr>
          <w:rFonts w:ascii="Arial" w:hAnsi="Arial" w:cs="Arial"/>
          <w:sz w:val="22"/>
          <w:szCs w:val="22"/>
          <w:u w:color="000000"/>
        </w:rPr>
        <w:t xml:space="preserve"> establezcan có</w:t>
      </w:r>
      <w:r w:rsidR="00A00832" w:rsidRPr="00D630EF">
        <w:rPr>
          <w:rFonts w:ascii="Arial" w:hAnsi="Arial" w:cs="Arial"/>
          <w:sz w:val="22"/>
          <w:szCs w:val="22"/>
          <w:u w:color="000000"/>
        </w:rPr>
        <w:t xml:space="preserve">mo se va a implementar </w:t>
      </w:r>
      <w:proofErr w:type="spellStart"/>
      <w:r>
        <w:rPr>
          <w:rFonts w:ascii="Arial" w:hAnsi="Arial" w:cs="Arial"/>
          <w:sz w:val="22"/>
          <w:szCs w:val="22"/>
          <w:u w:color="000000"/>
        </w:rPr>
        <w:t>esta</w:t>
      </w:r>
      <w:proofErr w:type="spellEnd"/>
      <w:r>
        <w:rPr>
          <w:rFonts w:ascii="Arial" w:hAnsi="Arial" w:cs="Arial"/>
          <w:sz w:val="22"/>
          <w:szCs w:val="22"/>
          <w:u w:color="000000"/>
        </w:rPr>
        <w:t xml:space="preserve"> </w:t>
      </w:r>
      <w:r w:rsidR="00A00832" w:rsidRPr="00D630EF">
        <w:rPr>
          <w:rFonts w:ascii="Arial" w:hAnsi="Arial" w:cs="Arial"/>
          <w:sz w:val="22"/>
          <w:szCs w:val="22"/>
          <w:u w:color="000000"/>
        </w:rPr>
        <w:t xml:space="preserve">en el marco de un proceso de solución amistosa, o bien </w:t>
      </w:r>
      <w:proofErr w:type="spellStart"/>
      <w:r w:rsidR="00A00832" w:rsidRPr="00D630EF">
        <w:rPr>
          <w:rFonts w:ascii="Arial" w:hAnsi="Arial" w:cs="Arial"/>
          <w:sz w:val="22"/>
          <w:szCs w:val="22"/>
          <w:u w:color="000000"/>
        </w:rPr>
        <w:t>como</w:t>
      </w:r>
      <w:proofErr w:type="spellEnd"/>
      <w:r w:rsidR="00A00832" w:rsidRPr="00D630EF">
        <w:rPr>
          <w:rFonts w:ascii="Arial" w:hAnsi="Arial" w:cs="Arial"/>
          <w:sz w:val="22"/>
          <w:szCs w:val="22"/>
          <w:u w:color="000000"/>
        </w:rPr>
        <w:t xml:space="preserve"> se van a ejecutar las decisiones de la Comisión y de la Corte Int</w:t>
      </w:r>
      <w:r w:rsidR="007525A5">
        <w:rPr>
          <w:rFonts w:ascii="Arial" w:hAnsi="Arial" w:cs="Arial"/>
          <w:sz w:val="22"/>
          <w:szCs w:val="22"/>
          <w:u w:color="000000"/>
        </w:rPr>
        <w:t>eramericana. Determinando</w:t>
      </w:r>
      <w:r w:rsidR="00A00832" w:rsidRPr="00D630EF">
        <w:rPr>
          <w:rFonts w:ascii="Arial" w:hAnsi="Arial" w:cs="Arial"/>
          <w:sz w:val="22"/>
          <w:szCs w:val="22"/>
          <w:u w:color="000000"/>
        </w:rPr>
        <w:t xml:space="preserve"> </w:t>
      </w:r>
      <w:r w:rsidR="004416B7">
        <w:rPr>
          <w:rFonts w:ascii="Arial" w:hAnsi="Arial" w:cs="Arial"/>
          <w:sz w:val="22"/>
          <w:szCs w:val="22"/>
          <w:u w:color="000000"/>
        </w:rPr>
        <w:t xml:space="preserve">autoridades que controlen los procesos de ejecución, </w:t>
      </w:r>
      <w:r w:rsidR="004416B7">
        <w:rPr>
          <w:rFonts w:ascii="Arial" w:hAnsi="Arial" w:cs="Arial"/>
          <w:sz w:val="22"/>
          <w:szCs w:val="22"/>
          <w:u w:color="000000"/>
        </w:rPr>
        <w:lastRenderedPageBreak/>
        <w:t>plazos, condiciones y facilidades.</w:t>
      </w:r>
      <w:r w:rsidR="00A00832" w:rsidRPr="00D630EF">
        <w:rPr>
          <w:rFonts w:ascii="Arial" w:hAnsi="Arial" w:cs="Arial"/>
          <w:sz w:val="22"/>
          <w:szCs w:val="22"/>
          <w:u w:color="000000"/>
        </w:rPr>
        <w:t xml:space="preserve"> </w:t>
      </w:r>
      <w:r w:rsidR="004416B7">
        <w:rPr>
          <w:rFonts w:ascii="Arial" w:hAnsi="Arial" w:cs="Arial"/>
          <w:sz w:val="22"/>
          <w:szCs w:val="22"/>
          <w:u w:color="000000"/>
        </w:rPr>
        <w:t>Es necesario además i</w:t>
      </w:r>
      <w:r w:rsidR="00A00832" w:rsidRPr="00D630EF">
        <w:rPr>
          <w:rFonts w:ascii="Arial" w:hAnsi="Arial" w:cs="Arial"/>
          <w:sz w:val="22"/>
          <w:szCs w:val="22"/>
          <w:u w:color="000000"/>
        </w:rPr>
        <w:t xml:space="preserve">ndividualizar al funcionario del Estado que será interlocutor ante la Corte o </w:t>
      </w:r>
      <w:r w:rsidR="004416B7">
        <w:rPr>
          <w:rFonts w:ascii="Arial" w:hAnsi="Arial" w:cs="Arial"/>
          <w:sz w:val="22"/>
          <w:szCs w:val="22"/>
          <w:u w:color="000000"/>
        </w:rPr>
        <w:t xml:space="preserve">la </w:t>
      </w:r>
      <w:r w:rsidR="00A00832" w:rsidRPr="00D630EF">
        <w:rPr>
          <w:rFonts w:ascii="Arial" w:hAnsi="Arial" w:cs="Arial"/>
          <w:sz w:val="22"/>
          <w:szCs w:val="22"/>
          <w:u w:color="000000"/>
        </w:rPr>
        <w:t>Comisión</w:t>
      </w:r>
      <w:r w:rsidR="004416B7">
        <w:rPr>
          <w:rFonts w:ascii="Arial" w:hAnsi="Arial" w:cs="Arial"/>
          <w:sz w:val="22"/>
          <w:szCs w:val="22"/>
          <w:u w:color="000000"/>
        </w:rPr>
        <w:t>.</w:t>
      </w:r>
      <w:r w:rsidR="00A00832" w:rsidRPr="00D630EF">
        <w:rPr>
          <w:rFonts w:ascii="Arial" w:hAnsi="Arial" w:cs="Arial"/>
          <w:sz w:val="22"/>
          <w:szCs w:val="22"/>
          <w:u w:color="000000"/>
        </w:rPr>
        <w:t xml:space="preserve"> </w:t>
      </w:r>
    </w:p>
    <w:p w:rsidR="003B0E37" w:rsidRPr="00D630EF" w:rsidRDefault="003B0E37" w:rsidP="00FA2018">
      <w:pPr>
        <w:pStyle w:val="Body1"/>
        <w:spacing w:before="20" w:line="360" w:lineRule="auto"/>
        <w:jc w:val="both"/>
        <w:outlineLvl w:val="0"/>
        <w:rPr>
          <w:rFonts w:ascii="Arial" w:hAnsi="Arial" w:cs="Arial"/>
          <w:sz w:val="22"/>
          <w:szCs w:val="22"/>
          <w:u w:color="000000"/>
        </w:rPr>
      </w:pPr>
    </w:p>
    <w:p w:rsidR="00AD346E" w:rsidRPr="00D630EF" w:rsidRDefault="004416B7"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Por citar </w:t>
      </w:r>
      <w:r w:rsidR="006C62D6">
        <w:rPr>
          <w:rFonts w:ascii="Arial" w:hAnsi="Arial" w:cs="Arial"/>
          <w:sz w:val="22"/>
          <w:szCs w:val="22"/>
          <w:u w:color="000000"/>
        </w:rPr>
        <w:t>el</w:t>
      </w:r>
      <w:r>
        <w:rPr>
          <w:rFonts w:ascii="Arial" w:hAnsi="Arial" w:cs="Arial"/>
          <w:sz w:val="22"/>
          <w:szCs w:val="22"/>
          <w:u w:color="000000"/>
        </w:rPr>
        <w:t xml:space="preserve"> caso </w:t>
      </w:r>
      <w:r w:rsidR="006C62D6">
        <w:rPr>
          <w:rFonts w:ascii="Arial" w:hAnsi="Arial" w:cs="Arial"/>
          <w:sz w:val="22"/>
          <w:szCs w:val="22"/>
          <w:u w:color="000000"/>
        </w:rPr>
        <w:t>peruano,</w:t>
      </w:r>
      <w:r w:rsidR="00AD346E" w:rsidRPr="00D630EF">
        <w:rPr>
          <w:rFonts w:ascii="Arial" w:hAnsi="Arial" w:cs="Arial"/>
          <w:sz w:val="22"/>
          <w:szCs w:val="22"/>
          <w:u w:color="000000"/>
        </w:rPr>
        <w:t xml:space="preserve"> </w:t>
      </w:r>
      <w:r w:rsidR="006C62D6">
        <w:rPr>
          <w:rFonts w:ascii="Arial" w:hAnsi="Arial" w:cs="Arial"/>
          <w:sz w:val="22"/>
          <w:szCs w:val="22"/>
          <w:u w:color="000000"/>
        </w:rPr>
        <w:t>cabe determinar que es el país con más sentencias de la Corte IDH donde se ha determinado su responsabilidad, el Estado creó</w:t>
      </w:r>
      <w:r w:rsidR="00AD346E" w:rsidRPr="00D630EF">
        <w:rPr>
          <w:rFonts w:ascii="Arial" w:hAnsi="Arial" w:cs="Arial"/>
          <w:sz w:val="22"/>
          <w:szCs w:val="22"/>
          <w:u w:color="000000"/>
        </w:rPr>
        <w:t xml:space="preserve"> la Comisión de la Verdad y Reconc</w:t>
      </w:r>
      <w:r w:rsidR="006C62D6">
        <w:rPr>
          <w:rFonts w:ascii="Arial" w:hAnsi="Arial" w:cs="Arial"/>
          <w:sz w:val="22"/>
          <w:szCs w:val="22"/>
          <w:u w:color="000000"/>
        </w:rPr>
        <w:t>iliación (CVR), incluyendo</w:t>
      </w:r>
      <w:r w:rsidR="00AD346E" w:rsidRPr="00D630EF">
        <w:rPr>
          <w:rFonts w:ascii="Arial" w:hAnsi="Arial" w:cs="Arial"/>
          <w:sz w:val="22"/>
          <w:szCs w:val="22"/>
          <w:u w:color="000000"/>
        </w:rPr>
        <w:t xml:space="preserve"> en su mandato recomendar "propuestas de reparación y dignificación de las víctimas y de sus </w:t>
      </w:r>
      <w:r w:rsidR="00905F3D">
        <w:rPr>
          <w:rFonts w:ascii="Arial" w:hAnsi="Arial" w:cs="Arial"/>
          <w:sz w:val="22"/>
          <w:szCs w:val="22"/>
          <w:u w:color="000000"/>
        </w:rPr>
        <w:t>familiares", de esta manera el E</w:t>
      </w:r>
      <w:r w:rsidR="00AD346E" w:rsidRPr="00D630EF">
        <w:rPr>
          <w:rFonts w:ascii="Arial" w:hAnsi="Arial" w:cs="Arial"/>
          <w:sz w:val="22"/>
          <w:szCs w:val="22"/>
          <w:u w:color="000000"/>
        </w:rPr>
        <w:t>stado peruano aceptó su deber legal de asegurar que las víctimas del conflicto armado tengan una reparación adecuada, el mecanismo por medio del cual se garantiza el cumplimiento de este deber es un Plan Integral de Reparaciones</w:t>
      </w:r>
      <w:r w:rsidR="00AD346E" w:rsidRPr="00D630EF">
        <w:rPr>
          <w:rFonts w:ascii="Arial" w:hAnsi="Arial" w:cs="Arial"/>
          <w:sz w:val="22"/>
          <w:szCs w:val="22"/>
          <w:u w:color="000000"/>
          <w:vertAlign w:val="superscript"/>
        </w:rPr>
        <w:footnoteReference w:id="75"/>
      </w:r>
      <w:r w:rsidR="00AD346E" w:rsidRPr="00D630EF">
        <w:rPr>
          <w:rFonts w:ascii="Arial" w:hAnsi="Arial" w:cs="Arial"/>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EB6D5C"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Por último</w:t>
      </w:r>
      <w:r w:rsidR="006C62D6">
        <w:rPr>
          <w:rFonts w:ascii="Arial" w:hAnsi="Arial" w:cs="Arial"/>
          <w:sz w:val="22"/>
          <w:szCs w:val="22"/>
          <w:u w:color="000000"/>
        </w:rPr>
        <w:t xml:space="preserve"> </w:t>
      </w:r>
      <w:r>
        <w:rPr>
          <w:rFonts w:ascii="Arial" w:hAnsi="Arial" w:cs="Arial"/>
          <w:sz w:val="22"/>
          <w:szCs w:val="22"/>
          <w:u w:color="000000"/>
        </w:rPr>
        <w:t xml:space="preserve">hay que destacar también </w:t>
      </w:r>
      <w:r w:rsidR="006C62D6">
        <w:rPr>
          <w:rFonts w:ascii="Arial" w:hAnsi="Arial" w:cs="Arial"/>
          <w:sz w:val="22"/>
          <w:szCs w:val="22"/>
          <w:u w:color="000000"/>
        </w:rPr>
        <w:t>el papel que desempeñan</w:t>
      </w:r>
      <w:r w:rsidR="00AD346E" w:rsidRPr="00D630EF">
        <w:rPr>
          <w:rFonts w:ascii="Arial" w:hAnsi="Arial" w:cs="Arial"/>
          <w:sz w:val="22"/>
          <w:szCs w:val="22"/>
          <w:u w:color="000000"/>
        </w:rPr>
        <w:t xml:space="preserve"> los abogados </w:t>
      </w:r>
      <w:r w:rsidR="006C62D6">
        <w:rPr>
          <w:rFonts w:ascii="Arial" w:hAnsi="Arial" w:cs="Arial"/>
          <w:sz w:val="22"/>
          <w:szCs w:val="22"/>
          <w:u w:color="000000"/>
        </w:rPr>
        <w:t xml:space="preserve">en este ámbito </w:t>
      </w:r>
      <w:r w:rsidR="00AD346E" w:rsidRPr="00D630EF">
        <w:rPr>
          <w:rFonts w:ascii="Arial" w:hAnsi="Arial" w:cs="Arial"/>
          <w:sz w:val="22"/>
          <w:szCs w:val="22"/>
          <w:u w:color="000000"/>
        </w:rPr>
        <w:t>ya que para que ingrese un caso en el Sistema Interamericano se debe determinar la relación entre las violaciones a</w:t>
      </w:r>
      <w:r w:rsidR="006C62D6">
        <w:rPr>
          <w:rFonts w:ascii="Arial" w:hAnsi="Arial" w:cs="Arial"/>
          <w:sz w:val="22"/>
          <w:szCs w:val="22"/>
          <w:u w:color="000000"/>
        </w:rPr>
        <w:t xml:space="preserve"> los derechos humanos denunciado</w:t>
      </w:r>
      <w:r w:rsidR="00AD346E" w:rsidRPr="00D630EF">
        <w:rPr>
          <w:rFonts w:ascii="Arial" w:hAnsi="Arial" w:cs="Arial"/>
          <w:sz w:val="22"/>
          <w:szCs w:val="22"/>
          <w:u w:color="000000"/>
        </w:rPr>
        <w:t>s y los derechos protegidos por la Convención Americana, se requiere vincular los testimonios de las víctimas co</w:t>
      </w:r>
      <w:r w:rsidR="006C62D6">
        <w:rPr>
          <w:rFonts w:ascii="Arial" w:hAnsi="Arial" w:cs="Arial"/>
          <w:sz w:val="22"/>
          <w:szCs w:val="22"/>
          <w:u w:color="000000"/>
        </w:rPr>
        <w:t xml:space="preserve">n la normativa de la Convención. Es necesario un acompañamiento </w:t>
      </w:r>
      <w:r w:rsidR="00114071">
        <w:rPr>
          <w:rFonts w:ascii="Arial" w:hAnsi="Arial" w:cs="Arial"/>
          <w:sz w:val="22"/>
          <w:szCs w:val="22"/>
          <w:u w:color="000000"/>
        </w:rPr>
        <w:t>durante todo el proceso y de ser necesario conformar un equipo interdisciplinario que apoye a las víctimas y sus familiares.</w:t>
      </w:r>
    </w:p>
    <w:p w:rsidR="00705EB3" w:rsidRDefault="00705EB3" w:rsidP="00705EB3">
      <w:pPr>
        <w:pStyle w:val="Body1"/>
        <w:spacing w:before="20" w:line="360" w:lineRule="auto"/>
        <w:jc w:val="both"/>
        <w:outlineLvl w:val="0"/>
        <w:rPr>
          <w:rFonts w:ascii="Arial" w:hAnsi="Arial" w:cs="Arial"/>
          <w:sz w:val="22"/>
          <w:szCs w:val="22"/>
          <w:u w:color="000000"/>
        </w:rPr>
      </w:pPr>
    </w:p>
    <w:p w:rsidR="00AD346E" w:rsidRPr="00705EB3" w:rsidRDefault="00256EF9" w:rsidP="00B656C2">
      <w:pPr>
        <w:pStyle w:val="Body1"/>
        <w:numPr>
          <w:ilvl w:val="1"/>
          <w:numId w:val="7"/>
        </w:numPr>
        <w:spacing w:before="20" w:line="360" w:lineRule="auto"/>
        <w:jc w:val="both"/>
        <w:outlineLvl w:val="1"/>
        <w:rPr>
          <w:rFonts w:ascii="Arial" w:hAnsi="Arial" w:cs="Arial"/>
          <w:b/>
          <w:szCs w:val="24"/>
          <w:u w:color="000000"/>
        </w:rPr>
      </w:pPr>
      <w:bookmarkStart w:id="13" w:name="_Toc356432250"/>
      <w:r>
        <w:rPr>
          <w:rFonts w:ascii="Arial" w:hAnsi="Arial" w:cs="Arial"/>
          <w:b/>
          <w:szCs w:val="24"/>
          <w:u w:color="000000"/>
        </w:rPr>
        <w:t>L</w:t>
      </w:r>
      <w:r w:rsidR="00CD69B2">
        <w:rPr>
          <w:rFonts w:ascii="Arial" w:hAnsi="Arial" w:cs="Arial"/>
          <w:b/>
          <w:szCs w:val="24"/>
          <w:u w:color="000000"/>
        </w:rPr>
        <w:t>as formas</w:t>
      </w:r>
      <w:r w:rsidR="005E1D9D">
        <w:rPr>
          <w:rFonts w:ascii="Arial" w:hAnsi="Arial" w:cs="Arial"/>
          <w:b/>
          <w:szCs w:val="24"/>
          <w:u w:color="000000"/>
        </w:rPr>
        <w:t xml:space="preserve"> de</w:t>
      </w:r>
      <w:r w:rsidRPr="00705EB3">
        <w:rPr>
          <w:rFonts w:ascii="Arial" w:hAnsi="Arial" w:cs="Arial"/>
          <w:b/>
          <w:szCs w:val="24"/>
          <w:u w:color="000000"/>
        </w:rPr>
        <w:t xml:space="preserve"> </w:t>
      </w:r>
      <w:r>
        <w:rPr>
          <w:rFonts w:ascii="Arial" w:hAnsi="Arial" w:cs="Arial"/>
          <w:b/>
          <w:szCs w:val="24"/>
          <w:u w:color="000000"/>
        </w:rPr>
        <w:t>repara</w:t>
      </w:r>
      <w:r w:rsidR="00CD69B2">
        <w:rPr>
          <w:rFonts w:ascii="Arial" w:hAnsi="Arial" w:cs="Arial"/>
          <w:b/>
          <w:szCs w:val="24"/>
          <w:u w:color="000000"/>
        </w:rPr>
        <w:t>ción contemplada</w:t>
      </w:r>
      <w:r>
        <w:rPr>
          <w:rFonts w:ascii="Arial" w:hAnsi="Arial" w:cs="Arial"/>
          <w:b/>
          <w:szCs w:val="24"/>
          <w:u w:color="000000"/>
        </w:rPr>
        <w:t>s por la Corte Interamericana de Derechos H</w:t>
      </w:r>
      <w:r w:rsidRPr="00705EB3">
        <w:rPr>
          <w:rFonts w:ascii="Arial" w:hAnsi="Arial" w:cs="Arial"/>
          <w:b/>
          <w:szCs w:val="24"/>
          <w:u w:color="000000"/>
        </w:rPr>
        <w:t>umanos</w:t>
      </w:r>
      <w:bookmarkEnd w:id="13"/>
    </w:p>
    <w:p w:rsidR="00AD346E" w:rsidRPr="00D630EF" w:rsidRDefault="00AD346E" w:rsidP="00D630EF">
      <w:pPr>
        <w:pStyle w:val="Body1"/>
        <w:spacing w:before="20" w:line="360" w:lineRule="auto"/>
        <w:outlineLvl w:val="0"/>
        <w:rPr>
          <w:rFonts w:ascii="Arial" w:hAnsi="Arial" w:cs="Arial"/>
          <w:sz w:val="22"/>
          <w:szCs w:val="22"/>
          <w:u w:color="000000"/>
        </w:rPr>
      </w:pPr>
    </w:p>
    <w:p w:rsidR="0039635C" w:rsidRDefault="009B371B"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Cuando la Corte IDH de acuerdo</w:t>
      </w:r>
      <w:r w:rsidR="0084248B">
        <w:rPr>
          <w:rFonts w:ascii="Arial" w:hAnsi="Arial" w:cs="Arial"/>
          <w:sz w:val="22"/>
          <w:szCs w:val="22"/>
          <w:u w:color="000000"/>
        </w:rPr>
        <w:t xml:space="preserve"> a</w:t>
      </w:r>
      <w:r w:rsidR="0039635C">
        <w:rPr>
          <w:rFonts w:ascii="Arial" w:hAnsi="Arial" w:cs="Arial"/>
          <w:sz w:val="22"/>
          <w:szCs w:val="22"/>
          <w:u w:color="000000"/>
        </w:rPr>
        <w:t>l artículo 63 de la Convención Americana sobre Derechos Humanos, decida que hubo violación de uno de los derechos protegidos por esta Convención dispondrá, de ser procedente, que se reparen las co</w:t>
      </w:r>
      <w:r w:rsidR="0039635C" w:rsidRPr="0039635C">
        <w:rPr>
          <w:rFonts w:ascii="Arial" w:hAnsi="Arial" w:cs="Arial"/>
          <w:sz w:val="22"/>
          <w:szCs w:val="22"/>
          <w:u w:color="000000"/>
        </w:rPr>
        <w:t>nsecuencias de la medida o situación que ha configurado la vulneración de esos derechos y el pago de una justa</w:t>
      </w:r>
      <w:r w:rsidR="0039635C">
        <w:rPr>
          <w:rFonts w:ascii="Arial" w:hAnsi="Arial" w:cs="Arial"/>
          <w:sz w:val="22"/>
          <w:szCs w:val="22"/>
          <w:u w:color="000000"/>
        </w:rPr>
        <w:t xml:space="preserve"> indemnización a la parte lesionada.</w:t>
      </w:r>
    </w:p>
    <w:p w:rsidR="00475B6F" w:rsidRDefault="00475B6F" w:rsidP="0039635C">
      <w:pPr>
        <w:pStyle w:val="Body1"/>
        <w:spacing w:before="20" w:line="360" w:lineRule="auto"/>
        <w:jc w:val="both"/>
        <w:outlineLvl w:val="0"/>
        <w:rPr>
          <w:rFonts w:ascii="Arial" w:hAnsi="Arial" w:cs="Arial"/>
          <w:sz w:val="22"/>
          <w:szCs w:val="22"/>
          <w:u w:color="000000"/>
        </w:rPr>
      </w:pPr>
    </w:p>
    <w:p w:rsidR="00424972" w:rsidRDefault="0084248B"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 reparación </w:t>
      </w:r>
      <w:r w:rsidR="00424972">
        <w:rPr>
          <w:rFonts w:ascii="Arial" w:hAnsi="Arial" w:cs="Arial"/>
          <w:sz w:val="22"/>
          <w:szCs w:val="22"/>
          <w:u w:color="000000"/>
        </w:rPr>
        <w:t>tanto como elemento</w:t>
      </w:r>
      <w:r w:rsidR="009A4D25">
        <w:rPr>
          <w:rFonts w:ascii="Arial" w:hAnsi="Arial" w:cs="Arial"/>
          <w:sz w:val="22"/>
          <w:szCs w:val="22"/>
          <w:u w:color="000000"/>
        </w:rPr>
        <w:t xml:space="preserve"> fundamental del desarrollo de los derechos humanos</w:t>
      </w:r>
      <w:r w:rsidR="00D67B4C">
        <w:rPr>
          <w:rFonts w:ascii="Arial" w:hAnsi="Arial" w:cs="Arial"/>
          <w:sz w:val="22"/>
          <w:szCs w:val="22"/>
          <w:u w:color="000000"/>
        </w:rPr>
        <w:t>,</w:t>
      </w:r>
      <w:r w:rsidR="009A4D25">
        <w:rPr>
          <w:rFonts w:ascii="Arial" w:hAnsi="Arial" w:cs="Arial"/>
          <w:sz w:val="22"/>
          <w:szCs w:val="22"/>
          <w:u w:color="000000"/>
        </w:rPr>
        <w:t xml:space="preserve"> como obligación de los Estados encontrados respon</w:t>
      </w:r>
      <w:r w:rsidR="00424972">
        <w:rPr>
          <w:rFonts w:ascii="Arial" w:hAnsi="Arial" w:cs="Arial"/>
          <w:sz w:val="22"/>
          <w:szCs w:val="22"/>
          <w:u w:color="000000"/>
        </w:rPr>
        <w:t>sables</w:t>
      </w:r>
      <w:r w:rsidR="00D67B4C">
        <w:rPr>
          <w:rFonts w:ascii="Arial" w:hAnsi="Arial" w:cs="Arial"/>
          <w:sz w:val="22"/>
          <w:szCs w:val="22"/>
          <w:u w:color="000000"/>
        </w:rPr>
        <w:t>,</w:t>
      </w:r>
      <w:r w:rsidR="00424972">
        <w:rPr>
          <w:rFonts w:ascii="Arial" w:hAnsi="Arial" w:cs="Arial"/>
          <w:sz w:val="22"/>
          <w:szCs w:val="22"/>
          <w:u w:color="000000"/>
        </w:rPr>
        <w:t xml:space="preserve"> se ha venido desarrollando sobre todo en el aspecto inmaterial. </w:t>
      </w:r>
      <w:r w:rsidR="009A4D25">
        <w:rPr>
          <w:rFonts w:ascii="Arial" w:hAnsi="Arial" w:cs="Arial"/>
          <w:sz w:val="22"/>
          <w:szCs w:val="22"/>
          <w:u w:color="000000"/>
        </w:rPr>
        <w:t xml:space="preserve"> </w:t>
      </w:r>
      <w:r w:rsidR="00424972">
        <w:rPr>
          <w:rFonts w:ascii="Arial" w:hAnsi="Arial" w:cs="Arial"/>
          <w:sz w:val="22"/>
          <w:szCs w:val="22"/>
          <w:u w:color="000000"/>
        </w:rPr>
        <w:t xml:space="preserve">En </w:t>
      </w:r>
      <w:r w:rsidR="008E30CE">
        <w:rPr>
          <w:rFonts w:ascii="Arial" w:hAnsi="Arial" w:cs="Arial"/>
          <w:sz w:val="22"/>
          <w:szCs w:val="22"/>
          <w:u w:color="000000"/>
        </w:rPr>
        <w:t xml:space="preserve">cuanto a la reparación, </w:t>
      </w:r>
      <w:r w:rsidR="005E1D9D">
        <w:rPr>
          <w:rFonts w:ascii="Arial" w:hAnsi="Arial" w:cs="Arial"/>
          <w:sz w:val="22"/>
          <w:szCs w:val="22"/>
          <w:u w:color="000000"/>
        </w:rPr>
        <w:t xml:space="preserve">en </w:t>
      </w:r>
      <w:r w:rsidR="00424972">
        <w:rPr>
          <w:rFonts w:ascii="Arial" w:hAnsi="Arial" w:cs="Arial"/>
          <w:sz w:val="22"/>
          <w:szCs w:val="22"/>
          <w:u w:color="000000"/>
        </w:rPr>
        <w:t xml:space="preserve">un primer momento </w:t>
      </w:r>
      <w:r w:rsidR="00AD346E" w:rsidRPr="00D630EF">
        <w:rPr>
          <w:rFonts w:ascii="Arial" w:hAnsi="Arial" w:cs="Arial"/>
          <w:sz w:val="22"/>
          <w:szCs w:val="22"/>
          <w:u w:color="000000"/>
        </w:rPr>
        <w:t xml:space="preserve">existía una concepción de justicia basada en la indemnización económica de los perjuicios. </w:t>
      </w:r>
      <w:r w:rsidR="00424972">
        <w:rPr>
          <w:rFonts w:ascii="Arial" w:hAnsi="Arial" w:cs="Arial"/>
          <w:sz w:val="22"/>
          <w:szCs w:val="22"/>
          <w:u w:color="000000"/>
        </w:rPr>
        <w:t xml:space="preserve">Cabe aclarar que no solo se atendían los daños materiales, sino que se tendía </w:t>
      </w:r>
      <w:r w:rsidR="00424972">
        <w:rPr>
          <w:rFonts w:ascii="Arial" w:hAnsi="Arial" w:cs="Arial"/>
          <w:sz w:val="22"/>
          <w:szCs w:val="22"/>
          <w:u w:color="000000"/>
        </w:rPr>
        <w:lastRenderedPageBreak/>
        <w:t>a reparar únicamente con indemnizaciones económicas los daños inmateriales o morales</w:t>
      </w:r>
      <w:r w:rsidR="007801A6">
        <w:rPr>
          <w:rStyle w:val="Refdenotaalpie"/>
          <w:rFonts w:ascii="Arial" w:hAnsi="Arial" w:cs="Arial"/>
          <w:sz w:val="22"/>
          <w:szCs w:val="22"/>
          <w:u w:color="000000"/>
        </w:rPr>
        <w:footnoteReference w:id="76"/>
      </w:r>
      <w:r w:rsidR="00424972">
        <w:rPr>
          <w:rFonts w:ascii="Arial" w:hAnsi="Arial" w:cs="Arial"/>
          <w:sz w:val="22"/>
          <w:szCs w:val="22"/>
          <w:u w:color="000000"/>
        </w:rPr>
        <w:t xml:space="preserve">. </w:t>
      </w:r>
    </w:p>
    <w:p w:rsidR="00424972" w:rsidRDefault="00424972" w:rsidP="006B2942">
      <w:pPr>
        <w:pStyle w:val="Body1"/>
        <w:spacing w:before="20" w:line="360" w:lineRule="auto"/>
        <w:jc w:val="both"/>
        <w:outlineLvl w:val="0"/>
        <w:rPr>
          <w:rFonts w:ascii="Arial" w:hAnsi="Arial" w:cs="Arial"/>
          <w:sz w:val="22"/>
          <w:szCs w:val="22"/>
          <w:u w:color="000000"/>
        </w:rPr>
      </w:pPr>
    </w:p>
    <w:p w:rsidR="0070281B" w:rsidRDefault="00424972"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 concepción de reparación para las víctimas y sus familiares no siempre está ligada a la obtención de una suma de dinero, además se debe prestar especial interés en aquellos casos </w:t>
      </w:r>
      <w:r w:rsidR="00AD346E" w:rsidRPr="00D630EF">
        <w:rPr>
          <w:rFonts w:ascii="Arial" w:hAnsi="Arial" w:cs="Arial"/>
          <w:sz w:val="22"/>
          <w:szCs w:val="22"/>
          <w:u w:color="000000"/>
        </w:rPr>
        <w:t xml:space="preserve">donde el </w:t>
      </w:r>
      <w:r>
        <w:rPr>
          <w:rFonts w:ascii="Arial" w:hAnsi="Arial" w:cs="Arial"/>
          <w:sz w:val="22"/>
          <w:szCs w:val="22"/>
          <w:u w:color="000000"/>
        </w:rPr>
        <w:t xml:space="preserve">perjuicio económico es mínimo, pero el moral inmenso. Las víctimas esperan reparaciones que son imposibles de </w:t>
      </w:r>
      <w:r w:rsidR="00AD346E" w:rsidRPr="00D630EF">
        <w:rPr>
          <w:rFonts w:ascii="Arial" w:hAnsi="Arial" w:cs="Arial"/>
          <w:sz w:val="22"/>
          <w:szCs w:val="22"/>
          <w:u w:color="000000"/>
        </w:rPr>
        <w:t xml:space="preserve">tasar en dinero como el conocimiento de la verdad de lo sucedido y el debido juzgamiento a los culpables del hecho. </w:t>
      </w:r>
    </w:p>
    <w:p w:rsidR="002B0DA7" w:rsidRDefault="002B0DA7" w:rsidP="006B2942">
      <w:pPr>
        <w:pStyle w:val="Body1"/>
        <w:spacing w:before="20" w:line="360" w:lineRule="auto"/>
        <w:jc w:val="both"/>
        <w:outlineLvl w:val="0"/>
        <w:rPr>
          <w:rFonts w:ascii="Arial" w:hAnsi="Arial" w:cs="Arial"/>
          <w:sz w:val="22"/>
          <w:szCs w:val="22"/>
          <w:u w:color="000000"/>
        </w:rPr>
      </w:pPr>
    </w:p>
    <w:p w:rsidR="00AD346E" w:rsidRDefault="00AD346E" w:rsidP="00705EB3">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Actualmente se presenta una tendencia hacia una concepción </w:t>
      </w:r>
      <w:r w:rsidR="006B2942" w:rsidRPr="00D630EF">
        <w:rPr>
          <w:rFonts w:ascii="Arial" w:hAnsi="Arial" w:cs="Arial"/>
          <w:sz w:val="22"/>
          <w:szCs w:val="22"/>
          <w:u w:color="000000"/>
        </w:rPr>
        <w:t>más</w:t>
      </w:r>
      <w:r w:rsidRPr="00D630EF">
        <w:rPr>
          <w:rFonts w:ascii="Arial" w:hAnsi="Arial" w:cs="Arial"/>
          <w:sz w:val="22"/>
          <w:szCs w:val="22"/>
          <w:u w:color="000000"/>
        </w:rPr>
        <w:t xml:space="preserve"> amplia de </w:t>
      </w:r>
      <w:r w:rsidR="00025631">
        <w:rPr>
          <w:rFonts w:ascii="Arial" w:hAnsi="Arial" w:cs="Arial"/>
          <w:sz w:val="22"/>
          <w:szCs w:val="22"/>
          <w:u w:color="000000"/>
        </w:rPr>
        <w:t>justicia, en la que se incluye</w:t>
      </w:r>
      <w:r w:rsidRPr="00D630EF">
        <w:rPr>
          <w:rFonts w:ascii="Arial" w:hAnsi="Arial" w:cs="Arial"/>
          <w:sz w:val="22"/>
          <w:szCs w:val="22"/>
          <w:u w:color="000000"/>
        </w:rPr>
        <w:t xml:space="preserve"> el derecho de las </w:t>
      </w:r>
      <w:proofErr w:type="spellStart"/>
      <w:r w:rsidRPr="00D630EF">
        <w:rPr>
          <w:rFonts w:ascii="Arial" w:hAnsi="Arial" w:cs="Arial"/>
          <w:sz w:val="22"/>
          <w:szCs w:val="22"/>
          <w:u w:color="000000"/>
        </w:rPr>
        <w:t>victimas</w:t>
      </w:r>
      <w:proofErr w:type="spellEnd"/>
      <w:r w:rsidRPr="00D630EF">
        <w:rPr>
          <w:rFonts w:ascii="Arial" w:hAnsi="Arial" w:cs="Arial"/>
          <w:sz w:val="22"/>
          <w:szCs w:val="22"/>
          <w:u w:color="000000"/>
        </w:rPr>
        <w:t xml:space="preserve"> a obtener además de la indemnización económica, </w:t>
      </w:r>
      <w:r w:rsidR="00C1125B">
        <w:rPr>
          <w:rFonts w:ascii="Arial" w:hAnsi="Arial" w:cs="Arial"/>
          <w:sz w:val="22"/>
          <w:szCs w:val="22"/>
          <w:u w:color="000000"/>
        </w:rPr>
        <w:t xml:space="preserve">que se realicen las investigaciones para descubrir </w:t>
      </w:r>
      <w:r w:rsidRPr="00D630EF">
        <w:rPr>
          <w:rFonts w:ascii="Arial" w:hAnsi="Arial" w:cs="Arial"/>
          <w:sz w:val="22"/>
          <w:szCs w:val="22"/>
          <w:u w:color="000000"/>
        </w:rPr>
        <w:t>la verdad sobre los hechos</w:t>
      </w:r>
      <w:r w:rsidR="00C1125B">
        <w:rPr>
          <w:rFonts w:ascii="Arial" w:hAnsi="Arial" w:cs="Arial"/>
          <w:sz w:val="22"/>
          <w:szCs w:val="22"/>
          <w:u w:color="000000"/>
        </w:rPr>
        <w:t>.</w:t>
      </w:r>
      <w:r w:rsidR="00025631">
        <w:rPr>
          <w:rFonts w:ascii="Arial" w:hAnsi="Arial" w:cs="Arial"/>
          <w:sz w:val="22"/>
          <w:szCs w:val="22"/>
          <w:u w:color="000000"/>
        </w:rPr>
        <w:t xml:space="preserve"> </w:t>
      </w:r>
      <w:r w:rsidR="00C1125B">
        <w:rPr>
          <w:rFonts w:ascii="Arial" w:hAnsi="Arial" w:cs="Arial"/>
          <w:sz w:val="22"/>
          <w:szCs w:val="22"/>
          <w:u w:color="000000"/>
        </w:rPr>
        <w:t>Hay</w:t>
      </w:r>
      <w:r w:rsidR="0070281B">
        <w:rPr>
          <w:rFonts w:ascii="Arial" w:hAnsi="Arial" w:cs="Arial"/>
          <w:sz w:val="22"/>
          <w:szCs w:val="22"/>
          <w:u w:color="000000"/>
        </w:rPr>
        <w:t xml:space="preserve"> que señalar </w:t>
      </w:r>
      <w:r w:rsidR="00025631">
        <w:rPr>
          <w:rFonts w:ascii="Arial" w:hAnsi="Arial" w:cs="Arial"/>
          <w:sz w:val="22"/>
          <w:szCs w:val="22"/>
          <w:u w:color="000000"/>
        </w:rPr>
        <w:t>adicionalmente</w:t>
      </w:r>
      <w:r w:rsidR="00424972">
        <w:rPr>
          <w:rFonts w:ascii="Arial" w:hAnsi="Arial" w:cs="Arial"/>
          <w:sz w:val="22"/>
          <w:szCs w:val="22"/>
          <w:u w:color="000000"/>
        </w:rPr>
        <w:t xml:space="preserve"> la preocupación que ha mostrado la Corte</w:t>
      </w:r>
      <w:r w:rsidR="00D67B4C">
        <w:rPr>
          <w:rFonts w:ascii="Arial" w:hAnsi="Arial" w:cs="Arial"/>
          <w:sz w:val="22"/>
          <w:szCs w:val="22"/>
          <w:u w:color="000000"/>
        </w:rPr>
        <w:t xml:space="preserve"> IDH</w:t>
      </w:r>
      <w:r w:rsidR="00424972">
        <w:rPr>
          <w:rFonts w:ascii="Arial" w:hAnsi="Arial" w:cs="Arial"/>
          <w:sz w:val="22"/>
          <w:szCs w:val="22"/>
          <w:u w:color="000000"/>
        </w:rPr>
        <w:t xml:space="preserve"> respecto a la reparación de los daños al proyecto de vida</w:t>
      </w:r>
      <w:r w:rsidRPr="00D630EF">
        <w:rPr>
          <w:rFonts w:ascii="Arial" w:hAnsi="Arial" w:cs="Arial"/>
          <w:sz w:val="22"/>
          <w:szCs w:val="22"/>
          <w:u w:color="000000"/>
        </w:rPr>
        <w:t xml:space="preserve"> y la garantía de seguirle un proceso adecuado y apegado a las normas al autor o autores de</w:t>
      </w:r>
      <w:r w:rsidR="005E1D9D">
        <w:rPr>
          <w:rFonts w:ascii="Arial" w:hAnsi="Arial" w:cs="Arial"/>
          <w:sz w:val="22"/>
          <w:szCs w:val="22"/>
          <w:u w:color="000000"/>
        </w:rPr>
        <w:t xml:space="preserve"> </w:t>
      </w:r>
      <w:r w:rsidRPr="00D630EF">
        <w:rPr>
          <w:rFonts w:ascii="Arial" w:hAnsi="Arial" w:cs="Arial"/>
          <w:sz w:val="22"/>
          <w:szCs w:val="22"/>
          <w:u w:color="000000"/>
        </w:rPr>
        <w:t>l</w:t>
      </w:r>
      <w:r w:rsidR="005E1D9D">
        <w:rPr>
          <w:rFonts w:ascii="Arial" w:hAnsi="Arial" w:cs="Arial"/>
          <w:sz w:val="22"/>
          <w:szCs w:val="22"/>
          <w:u w:color="000000"/>
        </w:rPr>
        <w:t>os</w:t>
      </w:r>
      <w:r w:rsidRPr="00D630EF">
        <w:rPr>
          <w:rFonts w:ascii="Arial" w:hAnsi="Arial" w:cs="Arial"/>
          <w:sz w:val="22"/>
          <w:szCs w:val="22"/>
          <w:u w:color="000000"/>
        </w:rPr>
        <w:t xml:space="preserve"> </w:t>
      </w:r>
      <w:r w:rsidR="005E1D9D" w:rsidRPr="00D630EF">
        <w:rPr>
          <w:rFonts w:ascii="Arial" w:hAnsi="Arial" w:cs="Arial"/>
          <w:sz w:val="22"/>
          <w:szCs w:val="22"/>
          <w:u w:color="000000"/>
        </w:rPr>
        <w:t>crímen</w:t>
      </w:r>
      <w:r w:rsidR="005E1D9D">
        <w:rPr>
          <w:rFonts w:ascii="Arial" w:hAnsi="Arial" w:cs="Arial"/>
          <w:sz w:val="22"/>
          <w:szCs w:val="22"/>
          <w:u w:color="000000"/>
        </w:rPr>
        <w:t>es</w:t>
      </w:r>
      <w:r w:rsidRPr="00D630EF">
        <w:rPr>
          <w:rFonts w:ascii="Arial" w:hAnsi="Arial" w:cs="Arial"/>
          <w:sz w:val="22"/>
          <w:szCs w:val="22"/>
          <w:u w:color="000000"/>
        </w:rPr>
        <w:t>.</w:t>
      </w:r>
      <w:r w:rsidRPr="00D630EF">
        <w:rPr>
          <w:rFonts w:ascii="Arial" w:hAnsi="Arial" w:cs="Arial"/>
          <w:sz w:val="22"/>
          <w:szCs w:val="22"/>
          <w:u w:color="000000"/>
          <w:vertAlign w:val="superscript"/>
        </w:rPr>
        <w:footnoteReference w:id="77"/>
      </w:r>
    </w:p>
    <w:p w:rsidR="009C605B" w:rsidRPr="00D630EF" w:rsidRDefault="009C605B" w:rsidP="006B2942">
      <w:pPr>
        <w:pStyle w:val="Body1"/>
        <w:spacing w:before="20" w:line="360" w:lineRule="auto"/>
        <w:jc w:val="both"/>
        <w:outlineLvl w:val="0"/>
        <w:rPr>
          <w:rFonts w:ascii="Arial" w:hAnsi="Arial" w:cs="Arial"/>
          <w:sz w:val="22"/>
          <w:szCs w:val="22"/>
          <w:u w:color="000000"/>
        </w:rPr>
      </w:pPr>
    </w:p>
    <w:p w:rsidR="008C6CE0" w:rsidRDefault="00025631"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Varios autores se refieren</w:t>
      </w:r>
      <w:r w:rsidR="008E1292">
        <w:rPr>
          <w:rFonts w:ascii="Arial" w:hAnsi="Arial" w:cs="Arial"/>
          <w:sz w:val="22"/>
          <w:szCs w:val="22"/>
          <w:u w:color="000000"/>
        </w:rPr>
        <w:t xml:space="preserve"> al</w:t>
      </w:r>
      <w:r>
        <w:rPr>
          <w:rFonts w:ascii="Arial" w:hAnsi="Arial" w:cs="Arial"/>
          <w:sz w:val="22"/>
          <w:szCs w:val="22"/>
          <w:u w:color="000000"/>
        </w:rPr>
        <w:t xml:space="preserve"> carácter simbólico de la reparación, basados en la noción de que es imposible que se restituya a la víctima a una situación igual a la que se encontraba antes de perpetradas las violaciones</w:t>
      </w:r>
      <w:r w:rsidR="008E1292">
        <w:rPr>
          <w:rFonts w:ascii="Arial" w:hAnsi="Arial" w:cs="Arial"/>
          <w:sz w:val="22"/>
          <w:szCs w:val="22"/>
          <w:u w:color="000000"/>
        </w:rPr>
        <w:t xml:space="preserve">, </w:t>
      </w:r>
      <w:r w:rsidR="0070281B">
        <w:rPr>
          <w:rFonts w:ascii="Arial" w:hAnsi="Arial" w:cs="Arial"/>
          <w:sz w:val="22"/>
          <w:szCs w:val="22"/>
          <w:u w:color="000000"/>
        </w:rPr>
        <w:t xml:space="preserve">noción sustentada </w:t>
      </w:r>
      <w:r w:rsidR="008E1292">
        <w:rPr>
          <w:rFonts w:ascii="Arial" w:hAnsi="Arial" w:cs="Arial"/>
          <w:sz w:val="22"/>
          <w:szCs w:val="22"/>
          <w:u w:color="000000"/>
        </w:rPr>
        <w:t xml:space="preserve">por el texto propuesto por la ONU donde se determina que la reparación debe </w:t>
      </w:r>
      <w:r w:rsidR="008E1292" w:rsidRPr="008E1292">
        <w:rPr>
          <w:rFonts w:ascii="Arial" w:hAnsi="Arial" w:cs="Arial"/>
          <w:sz w:val="22"/>
          <w:szCs w:val="22"/>
          <w:u w:color="000000"/>
        </w:rPr>
        <w:t>abarcar todos los daños y per</w:t>
      </w:r>
      <w:r w:rsidR="008E1292">
        <w:rPr>
          <w:rFonts w:ascii="Arial" w:hAnsi="Arial" w:cs="Arial"/>
          <w:sz w:val="22"/>
          <w:szCs w:val="22"/>
          <w:u w:color="000000"/>
        </w:rPr>
        <w:t>juicios sufridos por la víctima</w:t>
      </w:r>
      <w:r w:rsidR="008E1292">
        <w:rPr>
          <w:rStyle w:val="Refdenotaalpie"/>
          <w:rFonts w:ascii="Arial" w:hAnsi="Arial" w:cs="Arial"/>
          <w:sz w:val="22"/>
          <w:szCs w:val="22"/>
          <w:u w:color="000000"/>
        </w:rPr>
        <w:footnoteReference w:id="78"/>
      </w:r>
      <w:r w:rsidR="00C1125B">
        <w:rPr>
          <w:rFonts w:ascii="Arial" w:hAnsi="Arial" w:cs="Arial"/>
          <w:sz w:val="22"/>
          <w:szCs w:val="22"/>
          <w:u w:color="000000"/>
        </w:rPr>
        <w:t>,</w:t>
      </w:r>
      <w:r>
        <w:rPr>
          <w:rFonts w:ascii="Arial" w:hAnsi="Arial" w:cs="Arial"/>
          <w:sz w:val="22"/>
          <w:szCs w:val="22"/>
          <w:u w:color="000000"/>
        </w:rPr>
        <w:t xml:space="preserve"> </w:t>
      </w:r>
      <w:r w:rsidR="00C1125B">
        <w:rPr>
          <w:rFonts w:ascii="Arial" w:hAnsi="Arial" w:cs="Arial"/>
          <w:sz w:val="22"/>
          <w:szCs w:val="22"/>
          <w:u w:color="000000"/>
        </w:rPr>
        <w:t>lo cual es un</w:t>
      </w:r>
      <w:r w:rsidR="00C1125B" w:rsidRPr="008E1292">
        <w:rPr>
          <w:rFonts w:ascii="Arial" w:hAnsi="Arial" w:cs="Arial"/>
          <w:sz w:val="22"/>
          <w:szCs w:val="22"/>
          <w:u w:color="000000"/>
        </w:rPr>
        <w:t xml:space="preserve"> imposible material</w:t>
      </w:r>
      <w:r w:rsidR="00C1125B">
        <w:rPr>
          <w:rFonts w:ascii="Arial" w:hAnsi="Arial" w:cs="Arial"/>
          <w:sz w:val="22"/>
          <w:szCs w:val="22"/>
          <w:u w:color="000000"/>
        </w:rPr>
        <w:t>. El aspecto simbólico además depende de la perspectiva de la víctima y sus familiares, s</w:t>
      </w:r>
      <w:r w:rsidR="008E1292">
        <w:rPr>
          <w:rFonts w:ascii="Arial" w:hAnsi="Arial" w:cs="Arial"/>
          <w:sz w:val="22"/>
          <w:szCs w:val="22"/>
          <w:u w:color="000000"/>
        </w:rPr>
        <w:t xml:space="preserve">obre ello </w:t>
      </w:r>
      <w:r w:rsidR="008E1292" w:rsidRPr="008E1292">
        <w:rPr>
          <w:rFonts w:ascii="Arial" w:hAnsi="Arial" w:cs="Arial"/>
          <w:sz w:val="22"/>
          <w:szCs w:val="22"/>
          <w:u w:color="000000"/>
        </w:rPr>
        <w:t xml:space="preserve">Graciela </w:t>
      </w:r>
      <w:proofErr w:type="spellStart"/>
      <w:r w:rsidR="008E1292" w:rsidRPr="008E1292">
        <w:rPr>
          <w:rFonts w:ascii="Arial" w:hAnsi="Arial" w:cs="Arial"/>
          <w:sz w:val="22"/>
          <w:szCs w:val="22"/>
          <w:u w:color="000000"/>
        </w:rPr>
        <w:t>Guilis</w:t>
      </w:r>
      <w:proofErr w:type="spellEnd"/>
      <w:r w:rsidR="008E1292" w:rsidRPr="008E1292">
        <w:rPr>
          <w:rFonts w:ascii="Arial" w:hAnsi="Arial" w:cs="Arial"/>
          <w:sz w:val="22"/>
          <w:szCs w:val="22"/>
          <w:u w:color="000000"/>
        </w:rPr>
        <w:t xml:space="preserve"> </w:t>
      </w:r>
      <w:r w:rsidR="008E1292">
        <w:rPr>
          <w:rFonts w:ascii="Arial" w:hAnsi="Arial" w:cs="Arial"/>
          <w:sz w:val="22"/>
          <w:szCs w:val="22"/>
          <w:u w:color="000000"/>
        </w:rPr>
        <w:t xml:space="preserve">señala que: </w:t>
      </w:r>
    </w:p>
    <w:p w:rsidR="008C6CE0" w:rsidRDefault="008C6CE0" w:rsidP="00705EB3">
      <w:pPr>
        <w:pStyle w:val="Body1"/>
        <w:spacing w:before="20" w:line="360" w:lineRule="auto"/>
        <w:jc w:val="both"/>
        <w:outlineLvl w:val="0"/>
        <w:rPr>
          <w:rFonts w:ascii="Arial" w:hAnsi="Arial" w:cs="Arial"/>
          <w:sz w:val="22"/>
          <w:szCs w:val="22"/>
          <w:u w:color="000000"/>
        </w:rPr>
      </w:pPr>
    </w:p>
    <w:p w:rsidR="008C6CE0" w:rsidRDefault="008E1292" w:rsidP="00225803">
      <w:pPr>
        <w:pStyle w:val="Body1"/>
        <w:spacing w:before="20" w:line="360" w:lineRule="auto"/>
        <w:ind w:left="720"/>
        <w:jc w:val="both"/>
        <w:outlineLvl w:val="0"/>
        <w:rPr>
          <w:rFonts w:ascii="Arial" w:hAnsi="Arial" w:cs="Arial"/>
          <w:sz w:val="22"/>
          <w:szCs w:val="22"/>
          <w:u w:color="000000"/>
        </w:rPr>
      </w:pPr>
      <w:r w:rsidRPr="00225803">
        <w:rPr>
          <w:rFonts w:ascii="Arial" w:hAnsi="Arial" w:cs="Arial"/>
          <w:sz w:val="20"/>
          <w:u w:color="000000"/>
        </w:rPr>
        <w:t>La operación simbólica que la víctima realiza a partir de la reparación, implica la búsqueda de  una puesta en relación entre lo que se le entrega y lo que ha perdido. No se trata del rescate de un valor simbólico que  está en la esencia de la reparación misma, sino del valor  singular que la víctima pueda asignarle</w:t>
      </w:r>
      <w:r>
        <w:rPr>
          <w:rStyle w:val="Refdenotaalpie"/>
          <w:rFonts w:ascii="Arial" w:hAnsi="Arial" w:cs="Arial"/>
          <w:sz w:val="22"/>
          <w:szCs w:val="22"/>
          <w:u w:color="000000"/>
        </w:rPr>
        <w:footnoteReference w:id="79"/>
      </w:r>
      <w:r w:rsidR="00693EAE">
        <w:rPr>
          <w:rFonts w:ascii="Arial" w:hAnsi="Arial" w:cs="Arial"/>
          <w:i/>
          <w:sz w:val="18"/>
          <w:szCs w:val="18"/>
          <w:u w:color="000000"/>
        </w:rPr>
        <w:t>.</w:t>
      </w:r>
      <w:r>
        <w:rPr>
          <w:rFonts w:ascii="Arial" w:hAnsi="Arial" w:cs="Arial"/>
          <w:sz w:val="22"/>
          <w:szCs w:val="22"/>
          <w:u w:color="000000"/>
        </w:rPr>
        <w:t xml:space="preserve"> </w:t>
      </w:r>
    </w:p>
    <w:p w:rsidR="00025631" w:rsidRDefault="00C1125B" w:rsidP="008C6CE0">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lastRenderedPageBreak/>
        <w:t>Es por ello que ciertas medi</w:t>
      </w:r>
      <w:r w:rsidR="008E30CE">
        <w:rPr>
          <w:rFonts w:ascii="Arial" w:hAnsi="Arial" w:cs="Arial"/>
          <w:sz w:val="22"/>
          <w:szCs w:val="22"/>
          <w:u w:color="000000"/>
        </w:rPr>
        <w:t>d</w:t>
      </w:r>
      <w:r>
        <w:rPr>
          <w:rFonts w:ascii="Arial" w:hAnsi="Arial" w:cs="Arial"/>
          <w:sz w:val="22"/>
          <w:szCs w:val="22"/>
          <w:u w:color="000000"/>
        </w:rPr>
        <w:t>as que la Corte determina</w:t>
      </w:r>
      <w:r w:rsidR="00025631">
        <w:rPr>
          <w:rFonts w:ascii="Arial" w:hAnsi="Arial" w:cs="Arial"/>
          <w:sz w:val="22"/>
          <w:szCs w:val="22"/>
          <w:u w:color="000000"/>
        </w:rPr>
        <w:t xml:space="preserve"> son simbólicas pues tratan de representar con las mi</w:t>
      </w:r>
      <w:r w:rsidR="008E30CE">
        <w:rPr>
          <w:rFonts w:ascii="Arial" w:hAnsi="Arial" w:cs="Arial"/>
          <w:sz w:val="22"/>
          <w:szCs w:val="22"/>
          <w:u w:color="000000"/>
        </w:rPr>
        <w:t>s</w:t>
      </w:r>
      <w:r w:rsidR="00025631">
        <w:rPr>
          <w:rFonts w:ascii="Arial" w:hAnsi="Arial" w:cs="Arial"/>
          <w:sz w:val="22"/>
          <w:szCs w:val="22"/>
          <w:u w:color="000000"/>
        </w:rPr>
        <w:t>mas</w:t>
      </w:r>
      <w:r w:rsidR="00002814">
        <w:rPr>
          <w:rFonts w:ascii="Arial" w:hAnsi="Arial" w:cs="Arial"/>
          <w:sz w:val="22"/>
          <w:szCs w:val="22"/>
          <w:u w:color="000000"/>
        </w:rPr>
        <w:t>,</w:t>
      </w:r>
      <w:r w:rsidR="00025631">
        <w:rPr>
          <w:rFonts w:ascii="Arial" w:hAnsi="Arial" w:cs="Arial"/>
          <w:sz w:val="22"/>
          <w:szCs w:val="22"/>
          <w:u w:color="000000"/>
        </w:rPr>
        <w:t xml:space="preserve"> </w:t>
      </w:r>
      <w:r w:rsidR="00002814">
        <w:rPr>
          <w:rFonts w:ascii="Arial" w:hAnsi="Arial" w:cs="Arial"/>
          <w:sz w:val="22"/>
          <w:szCs w:val="22"/>
          <w:u w:color="000000"/>
        </w:rPr>
        <w:t>condiciones de bienestar para que las víctimas superen los traumas y vuelvan a construir sus proyectos de vida. Las reparaciones son simbólicas sobre todo en los casos de asesinato y desaparición donde es imposible la restitución</w:t>
      </w:r>
      <w:r w:rsidR="00D67B4C">
        <w:rPr>
          <w:rFonts w:ascii="Arial" w:hAnsi="Arial" w:cs="Arial"/>
          <w:sz w:val="22"/>
          <w:szCs w:val="22"/>
          <w:u w:color="000000"/>
        </w:rPr>
        <w:t>.</w:t>
      </w:r>
      <w:r w:rsidR="00025631" w:rsidRPr="00025631">
        <w:rPr>
          <w:rFonts w:ascii="Arial" w:hAnsi="Arial" w:cs="Arial"/>
          <w:sz w:val="22"/>
          <w:szCs w:val="22"/>
          <w:u w:color="000000"/>
        </w:rPr>
        <w:t xml:space="preserve"> </w:t>
      </w:r>
    </w:p>
    <w:p w:rsidR="00475B6F" w:rsidRDefault="00475B6F" w:rsidP="00025631">
      <w:pPr>
        <w:pStyle w:val="Body1"/>
        <w:spacing w:before="20" w:line="360" w:lineRule="auto"/>
        <w:jc w:val="both"/>
        <w:outlineLvl w:val="0"/>
        <w:rPr>
          <w:rFonts w:ascii="Arial" w:hAnsi="Arial" w:cs="Arial"/>
          <w:sz w:val="22"/>
          <w:szCs w:val="22"/>
          <w:u w:color="000000"/>
        </w:rPr>
      </w:pPr>
    </w:p>
    <w:p w:rsidR="00025631" w:rsidRPr="00D630EF" w:rsidRDefault="00693EAE"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El simbolismo de la reparación está lig</w:t>
      </w:r>
      <w:r w:rsidR="0097278B">
        <w:rPr>
          <w:rFonts w:ascii="Arial" w:hAnsi="Arial" w:cs="Arial"/>
          <w:sz w:val="22"/>
          <w:szCs w:val="22"/>
          <w:u w:color="000000"/>
        </w:rPr>
        <w:t>ado a la situación psicológica</w:t>
      </w:r>
      <w:r>
        <w:rPr>
          <w:rFonts w:ascii="Arial" w:hAnsi="Arial" w:cs="Arial"/>
          <w:sz w:val="22"/>
          <w:szCs w:val="22"/>
          <w:u w:color="000000"/>
        </w:rPr>
        <w:t xml:space="preserve"> de la víctima</w:t>
      </w:r>
      <w:r w:rsidR="0097278B">
        <w:rPr>
          <w:rFonts w:ascii="Arial" w:hAnsi="Arial" w:cs="Arial"/>
          <w:sz w:val="22"/>
          <w:szCs w:val="22"/>
          <w:u w:color="000000"/>
        </w:rPr>
        <w:t>,</w:t>
      </w:r>
      <w:r>
        <w:rPr>
          <w:rFonts w:ascii="Arial" w:hAnsi="Arial" w:cs="Arial"/>
          <w:sz w:val="22"/>
          <w:szCs w:val="22"/>
          <w:u w:color="000000"/>
        </w:rPr>
        <w:t xml:space="preserve"> por ello señala Alejandro Roldán</w:t>
      </w:r>
      <w:r w:rsidR="0097278B">
        <w:rPr>
          <w:rFonts w:ascii="Arial" w:hAnsi="Arial" w:cs="Arial"/>
          <w:sz w:val="22"/>
          <w:szCs w:val="22"/>
          <w:u w:color="000000"/>
        </w:rPr>
        <w:t xml:space="preserve"> que</w:t>
      </w:r>
      <w:r>
        <w:rPr>
          <w:rFonts w:ascii="Arial" w:hAnsi="Arial" w:cs="Arial"/>
          <w:sz w:val="22"/>
          <w:szCs w:val="22"/>
          <w:u w:color="000000"/>
        </w:rPr>
        <w:t xml:space="preserve">: </w:t>
      </w:r>
      <w:r w:rsidRPr="00225803">
        <w:rPr>
          <w:rFonts w:ascii="Arial" w:hAnsi="Arial" w:cs="Arial"/>
          <w:sz w:val="22"/>
          <w:szCs w:val="22"/>
          <w:u w:color="000000"/>
        </w:rPr>
        <w:t>“</w:t>
      </w:r>
      <w:r w:rsidR="00025631" w:rsidRPr="00225803">
        <w:rPr>
          <w:rFonts w:ascii="Arial" w:hAnsi="Arial" w:cs="Arial"/>
          <w:i/>
          <w:sz w:val="22"/>
          <w:szCs w:val="22"/>
          <w:u w:color="000000"/>
        </w:rPr>
        <w:t>No basta con establecer actos de reparación si lo que se busca es estandarizarlos, lo que se requiere en este sentido es el reconocimiento de las particularidades que emergen en dichos actos</w:t>
      </w:r>
      <w:r w:rsidRPr="00225803">
        <w:rPr>
          <w:rFonts w:ascii="Arial" w:hAnsi="Arial" w:cs="Arial"/>
          <w:i/>
          <w:sz w:val="22"/>
          <w:szCs w:val="22"/>
          <w:u w:color="000000"/>
        </w:rPr>
        <w:t>”</w:t>
      </w:r>
      <w:r w:rsidR="00025631">
        <w:rPr>
          <w:rStyle w:val="Refdenotaalpie"/>
          <w:rFonts w:ascii="Arial" w:hAnsi="Arial" w:cs="Arial"/>
          <w:sz w:val="22"/>
          <w:szCs w:val="22"/>
          <w:u w:color="000000"/>
        </w:rPr>
        <w:footnoteReference w:id="80"/>
      </w:r>
      <w:r w:rsidR="00025631" w:rsidRPr="006020C1">
        <w:rPr>
          <w:rFonts w:ascii="Arial" w:hAnsi="Arial" w:cs="Arial"/>
          <w:sz w:val="22"/>
          <w:szCs w:val="22"/>
          <w:u w:color="000000"/>
        </w:rPr>
        <w:t>.</w:t>
      </w:r>
      <w:r>
        <w:rPr>
          <w:rFonts w:ascii="Arial" w:hAnsi="Arial" w:cs="Arial"/>
          <w:sz w:val="22"/>
          <w:szCs w:val="22"/>
          <w:u w:color="000000"/>
        </w:rPr>
        <w:t xml:space="preserve"> La progresión en  </w:t>
      </w:r>
      <w:r w:rsidR="00D67B4C">
        <w:rPr>
          <w:rFonts w:ascii="Arial" w:hAnsi="Arial" w:cs="Arial"/>
          <w:sz w:val="22"/>
          <w:szCs w:val="22"/>
          <w:u w:color="000000"/>
        </w:rPr>
        <w:t>materia de reparación además de</w:t>
      </w:r>
      <w:r>
        <w:rPr>
          <w:rFonts w:ascii="Arial" w:hAnsi="Arial" w:cs="Arial"/>
          <w:sz w:val="22"/>
          <w:szCs w:val="22"/>
          <w:u w:color="000000"/>
        </w:rPr>
        <w:t xml:space="preserve"> tender al establecimiento de nuevas formas de reparar</w:t>
      </w:r>
      <w:r w:rsidR="00D23789">
        <w:rPr>
          <w:rFonts w:ascii="Arial" w:hAnsi="Arial" w:cs="Arial"/>
          <w:sz w:val="22"/>
          <w:szCs w:val="22"/>
          <w:u w:color="000000"/>
        </w:rPr>
        <w:t xml:space="preserve">, </w:t>
      </w:r>
      <w:r w:rsidR="005E1D9D">
        <w:rPr>
          <w:rFonts w:ascii="Arial" w:hAnsi="Arial" w:cs="Arial"/>
          <w:sz w:val="22"/>
          <w:szCs w:val="22"/>
          <w:u w:color="000000"/>
        </w:rPr>
        <w:t>debe buscar</w:t>
      </w:r>
      <w:r w:rsidR="00D67B4C">
        <w:rPr>
          <w:rFonts w:ascii="Arial" w:hAnsi="Arial" w:cs="Arial"/>
          <w:sz w:val="22"/>
          <w:szCs w:val="22"/>
          <w:u w:color="000000"/>
        </w:rPr>
        <w:t xml:space="preserve"> los mecanismos que procuren determinar la individualidad y particularidad de cada caso, ya que las</w:t>
      </w:r>
      <w:r w:rsidR="00D23789">
        <w:rPr>
          <w:rFonts w:ascii="Arial" w:hAnsi="Arial" w:cs="Arial"/>
          <w:sz w:val="22"/>
          <w:szCs w:val="22"/>
          <w:u w:color="000000"/>
        </w:rPr>
        <w:t xml:space="preserve"> formas </w:t>
      </w:r>
      <w:r w:rsidR="00D67B4C">
        <w:rPr>
          <w:rFonts w:ascii="Arial" w:hAnsi="Arial" w:cs="Arial"/>
          <w:sz w:val="22"/>
          <w:szCs w:val="22"/>
          <w:u w:color="000000"/>
        </w:rPr>
        <w:t xml:space="preserve">de reparación </w:t>
      </w:r>
      <w:r w:rsidR="00C1125B">
        <w:rPr>
          <w:rFonts w:ascii="Arial" w:hAnsi="Arial" w:cs="Arial"/>
          <w:sz w:val="22"/>
          <w:szCs w:val="22"/>
          <w:u w:color="000000"/>
        </w:rPr>
        <w:t>aplicadas</w:t>
      </w:r>
      <w:r w:rsidR="00D67B4C">
        <w:rPr>
          <w:rFonts w:ascii="Arial" w:hAnsi="Arial" w:cs="Arial"/>
          <w:sz w:val="22"/>
          <w:szCs w:val="22"/>
          <w:u w:color="000000"/>
        </w:rPr>
        <w:t>,</w:t>
      </w:r>
      <w:r w:rsidR="00C1125B">
        <w:rPr>
          <w:rFonts w:ascii="Arial" w:hAnsi="Arial" w:cs="Arial"/>
          <w:sz w:val="22"/>
          <w:szCs w:val="22"/>
          <w:u w:color="000000"/>
        </w:rPr>
        <w:t xml:space="preserve"> </w:t>
      </w:r>
      <w:r w:rsidR="00D23789">
        <w:rPr>
          <w:rFonts w:ascii="Arial" w:hAnsi="Arial" w:cs="Arial"/>
          <w:sz w:val="22"/>
          <w:szCs w:val="22"/>
          <w:u w:color="000000"/>
        </w:rPr>
        <w:t xml:space="preserve">debido a la complejidad de las diversas situaciones podrían agotarse sin lograr su objetivo. </w:t>
      </w:r>
      <w:r>
        <w:rPr>
          <w:rFonts w:ascii="Arial" w:hAnsi="Arial" w:cs="Arial"/>
          <w:sz w:val="22"/>
          <w:szCs w:val="22"/>
          <w:u w:color="000000"/>
        </w:rPr>
        <w:t xml:space="preserve"> </w:t>
      </w:r>
    </w:p>
    <w:p w:rsidR="00AD346E" w:rsidRPr="00D630EF" w:rsidRDefault="00AD346E" w:rsidP="00D23789">
      <w:pPr>
        <w:pStyle w:val="Body1"/>
        <w:spacing w:before="20" w:line="360" w:lineRule="auto"/>
        <w:jc w:val="both"/>
        <w:outlineLvl w:val="0"/>
        <w:rPr>
          <w:rFonts w:ascii="Arial" w:hAnsi="Arial" w:cs="Arial"/>
          <w:sz w:val="22"/>
          <w:szCs w:val="22"/>
          <w:u w:color="000000"/>
        </w:rPr>
      </w:pPr>
    </w:p>
    <w:p w:rsidR="006020C1" w:rsidRDefault="00AD346E" w:rsidP="00705EB3">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E</w:t>
      </w:r>
      <w:r w:rsidR="002E312B">
        <w:rPr>
          <w:rFonts w:ascii="Arial" w:hAnsi="Arial" w:cs="Arial"/>
          <w:sz w:val="22"/>
          <w:szCs w:val="22"/>
          <w:u w:color="000000"/>
        </w:rPr>
        <w:t>n general la reparación es tratada desde los textos propuestos por la ONU, que establecen que el</w:t>
      </w:r>
      <w:r w:rsidRPr="00D630EF">
        <w:rPr>
          <w:rFonts w:ascii="Arial" w:hAnsi="Arial" w:cs="Arial"/>
          <w:sz w:val="22"/>
          <w:szCs w:val="22"/>
          <w:u w:color="000000"/>
        </w:rPr>
        <w:t xml:space="preserve"> derecho a la reparación comprende los tipos de medias siguientes</w:t>
      </w:r>
      <w:r w:rsidR="00D67B4C">
        <w:rPr>
          <w:rFonts w:ascii="Arial" w:hAnsi="Arial" w:cs="Arial"/>
          <w:sz w:val="22"/>
          <w:szCs w:val="22"/>
          <w:u w:color="000000"/>
        </w:rPr>
        <w:t>:</w:t>
      </w:r>
      <w:r w:rsidRPr="00D630EF">
        <w:rPr>
          <w:rFonts w:ascii="Arial" w:hAnsi="Arial" w:cs="Arial"/>
          <w:sz w:val="22"/>
          <w:szCs w:val="22"/>
          <w:u w:color="000000"/>
        </w:rPr>
        <w:t xml:space="preserve"> a) Medidas de restitución, b) Medidas de Indemnización y c) Medidas de rehabilitación</w:t>
      </w:r>
      <w:r w:rsidRPr="00D630EF">
        <w:rPr>
          <w:rFonts w:ascii="Arial" w:hAnsi="Arial" w:cs="Arial"/>
          <w:sz w:val="22"/>
          <w:szCs w:val="22"/>
          <w:u w:color="000000"/>
          <w:vertAlign w:val="superscript"/>
        </w:rPr>
        <w:footnoteReference w:id="81"/>
      </w:r>
      <w:r w:rsidR="00196926">
        <w:rPr>
          <w:rFonts w:ascii="Arial" w:hAnsi="Arial" w:cs="Arial"/>
          <w:sz w:val="22"/>
          <w:szCs w:val="22"/>
          <w:u w:color="000000"/>
        </w:rPr>
        <w:t>.</w:t>
      </w:r>
      <w:r w:rsidRPr="00D630EF">
        <w:rPr>
          <w:rFonts w:ascii="Arial" w:hAnsi="Arial" w:cs="Arial"/>
          <w:sz w:val="22"/>
          <w:szCs w:val="22"/>
          <w:u w:color="000000"/>
        </w:rPr>
        <w:t xml:space="preserve">  </w:t>
      </w:r>
    </w:p>
    <w:p w:rsidR="00AD346E" w:rsidRDefault="00AD346E" w:rsidP="006B2942">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     </w:t>
      </w:r>
    </w:p>
    <w:p w:rsidR="0070281B" w:rsidRDefault="002E312B"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El objeto de las medias de restitución</w:t>
      </w:r>
      <w:r w:rsidR="0070281B">
        <w:rPr>
          <w:rFonts w:ascii="Arial" w:hAnsi="Arial" w:cs="Arial"/>
          <w:sz w:val="22"/>
          <w:szCs w:val="22"/>
          <w:u w:color="000000"/>
        </w:rPr>
        <w:t xml:space="preserve"> es permitir a las victimas volver o recuperar la situación en que se encontraban antes de la violación. Las medidas de indemnización buscan cubrir</w:t>
      </w:r>
      <w:r w:rsidR="0070281B" w:rsidRPr="0070281B">
        <w:rPr>
          <w:rFonts w:ascii="Arial" w:hAnsi="Arial" w:cs="Arial"/>
          <w:sz w:val="22"/>
          <w:szCs w:val="22"/>
          <w:u w:color="000000"/>
        </w:rPr>
        <w:t xml:space="preserve"> los daños y perjuicios</w:t>
      </w:r>
      <w:r w:rsidR="0070281B">
        <w:rPr>
          <w:rFonts w:ascii="Arial" w:hAnsi="Arial" w:cs="Arial"/>
          <w:sz w:val="22"/>
          <w:szCs w:val="22"/>
          <w:u w:color="000000"/>
        </w:rPr>
        <w:t xml:space="preserve"> </w:t>
      </w:r>
      <w:r w:rsidR="0070281B" w:rsidRPr="0070281B">
        <w:rPr>
          <w:rFonts w:ascii="Arial" w:hAnsi="Arial" w:cs="Arial"/>
          <w:sz w:val="22"/>
          <w:szCs w:val="22"/>
          <w:u w:color="000000"/>
        </w:rPr>
        <w:t xml:space="preserve">psíquicos y morales, los daños materiales, y </w:t>
      </w:r>
      <w:r w:rsidR="0070281B">
        <w:rPr>
          <w:rFonts w:ascii="Arial" w:hAnsi="Arial" w:cs="Arial"/>
          <w:sz w:val="22"/>
          <w:szCs w:val="22"/>
          <w:u w:color="000000"/>
        </w:rPr>
        <w:t xml:space="preserve">además </w:t>
      </w:r>
      <w:r w:rsidR="0070281B" w:rsidRPr="0070281B">
        <w:rPr>
          <w:rFonts w:ascii="Arial" w:hAnsi="Arial" w:cs="Arial"/>
          <w:sz w:val="22"/>
          <w:szCs w:val="22"/>
          <w:u w:color="000000"/>
        </w:rPr>
        <w:t>los gastos de asistencia jurídica</w:t>
      </w:r>
      <w:r w:rsidR="0070281B">
        <w:rPr>
          <w:rFonts w:ascii="Arial" w:hAnsi="Arial" w:cs="Arial"/>
          <w:sz w:val="22"/>
          <w:szCs w:val="22"/>
          <w:u w:color="000000"/>
        </w:rPr>
        <w:t>. Las medidas de rehabilitación se refieren a la atención médica en las diferentes áreas que pueden requerir las víctimas y sus familiares.</w:t>
      </w:r>
    </w:p>
    <w:p w:rsidR="0070281B" w:rsidRDefault="0070281B" w:rsidP="006B2942">
      <w:pPr>
        <w:pStyle w:val="Body1"/>
        <w:spacing w:before="20" w:line="360" w:lineRule="auto"/>
        <w:jc w:val="both"/>
        <w:outlineLvl w:val="0"/>
        <w:rPr>
          <w:rFonts w:ascii="Arial" w:hAnsi="Arial" w:cs="Arial"/>
          <w:sz w:val="22"/>
          <w:szCs w:val="22"/>
          <w:u w:color="000000"/>
        </w:rPr>
      </w:pPr>
    </w:p>
    <w:p w:rsidR="0070281B" w:rsidRPr="00D630EF" w:rsidRDefault="0070281B" w:rsidP="00F533C8">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w:t>
      </w:r>
      <w:r w:rsidR="0097278B">
        <w:rPr>
          <w:rFonts w:ascii="Arial" w:hAnsi="Arial" w:cs="Arial"/>
          <w:sz w:val="22"/>
          <w:szCs w:val="22"/>
          <w:u w:color="000000"/>
        </w:rPr>
        <w:t>Si bien se puede argumentar que la r</w:t>
      </w:r>
      <w:r w:rsidRPr="00D630EF">
        <w:rPr>
          <w:rFonts w:ascii="Arial" w:hAnsi="Arial" w:cs="Arial"/>
          <w:sz w:val="22"/>
          <w:szCs w:val="22"/>
          <w:u w:color="000000"/>
        </w:rPr>
        <w:t xml:space="preserve">eparación al daño material, </w:t>
      </w:r>
      <w:r w:rsidR="0097278B">
        <w:rPr>
          <w:rFonts w:ascii="Arial" w:hAnsi="Arial" w:cs="Arial"/>
          <w:sz w:val="22"/>
          <w:szCs w:val="22"/>
          <w:u w:color="000000"/>
        </w:rPr>
        <w:t xml:space="preserve">es relativamente la más fácil de determinar, </w:t>
      </w:r>
      <w:r w:rsidR="00C1125B">
        <w:rPr>
          <w:rFonts w:ascii="Arial" w:hAnsi="Arial" w:cs="Arial"/>
          <w:sz w:val="22"/>
          <w:szCs w:val="22"/>
          <w:u w:color="000000"/>
        </w:rPr>
        <w:t xml:space="preserve">no hay que olvidar que </w:t>
      </w:r>
      <w:r w:rsidR="0097278B">
        <w:rPr>
          <w:rFonts w:ascii="Arial" w:hAnsi="Arial" w:cs="Arial"/>
          <w:sz w:val="22"/>
          <w:szCs w:val="22"/>
          <w:u w:color="000000"/>
        </w:rPr>
        <w:t>constituye una medida legítima y justa. Los bienes materiale</w:t>
      </w:r>
      <w:r w:rsidR="00C1125B">
        <w:rPr>
          <w:rFonts w:ascii="Arial" w:hAnsi="Arial" w:cs="Arial"/>
          <w:sz w:val="22"/>
          <w:szCs w:val="22"/>
          <w:u w:color="000000"/>
        </w:rPr>
        <w:t>s también forman parte</w:t>
      </w:r>
      <w:r w:rsidR="0097278B">
        <w:rPr>
          <w:rFonts w:ascii="Arial" w:hAnsi="Arial" w:cs="Arial"/>
          <w:sz w:val="22"/>
          <w:szCs w:val="22"/>
          <w:u w:color="000000"/>
        </w:rPr>
        <w:t xml:space="preserve"> </w:t>
      </w:r>
      <w:r w:rsidR="00C1125B">
        <w:rPr>
          <w:rFonts w:ascii="Arial" w:hAnsi="Arial" w:cs="Arial"/>
          <w:sz w:val="22"/>
          <w:szCs w:val="22"/>
          <w:u w:color="000000"/>
        </w:rPr>
        <w:t>d</w:t>
      </w:r>
      <w:r w:rsidR="0097278B">
        <w:rPr>
          <w:rFonts w:ascii="Arial" w:hAnsi="Arial" w:cs="Arial"/>
          <w:sz w:val="22"/>
          <w:szCs w:val="22"/>
          <w:u w:color="000000"/>
        </w:rPr>
        <w:t>el entorno adecuado en el que se desarrollan los personas, los bienes perdidos o que por ocasión de las violaciones dejaron de adquirirse, son esenciales para el desarrollo de las víctimas y sus familiares por ello deben ser restituidos.  Tales pérdidas deben ser</w:t>
      </w:r>
      <w:r w:rsidRPr="00D630EF">
        <w:rPr>
          <w:rFonts w:ascii="Arial" w:hAnsi="Arial" w:cs="Arial"/>
          <w:sz w:val="22"/>
          <w:szCs w:val="22"/>
          <w:u w:color="000000"/>
        </w:rPr>
        <w:t xml:space="preserve"> reconocidas en el proceso</w:t>
      </w:r>
      <w:r w:rsidR="0097278B">
        <w:rPr>
          <w:rFonts w:ascii="Arial" w:hAnsi="Arial" w:cs="Arial"/>
          <w:sz w:val="22"/>
          <w:szCs w:val="22"/>
          <w:u w:color="000000"/>
        </w:rPr>
        <w:t>, con la presentación de documentos o pruebas en general</w:t>
      </w:r>
      <w:r w:rsidRPr="00D630EF">
        <w:rPr>
          <w:rFonts w:ascii="Arial" w:hAnsi="Arial" w:cs="Arial"/>
          <w:sz w:val="22"/>
          <w:szCs w:val="22"/>
          <w:u w:color="000000"/>
        </w:rPr>
        <w:t xml:space="preserve">. </w:t>
      </w:r>
      <w:r w:rsidR="0097278B">
        <w:rPr>
          <w:rFonts w:ascii="Arial" w:hAnsi="Arial" w:cs="Arial"/>
          <w:sz w:val="22"/>
          <w:szCs w:val="22"/>
          <w:u w:color="000000"/>
        </w:rPr>
        <w:t xml:space="preserve">Los montos del daño patrimonial son </w:t>
      </w:r>
      <w:r w:rsidR="0097278B">
        <w:rPr>
          <w:rFonts w:ascii="Arial" w:hAnsi="Arial" w:cs="Arial"/>
          <w:sz w:val="22"/>
          <w:szCs w:val="22"/>
          <w:u w:color="000000"/>
        </w:rPr>
        <w:lastRenderedPageBreak/>
        <w:t>establecidos por medio de las pruebas válidas presentadas en el caso particular</w:t>
      </w:r>
      <w:r w:rsidRPr="00D630EF">
        <w:rPr>
          <w:rFonts w:ascii="Arial" w:hAnsi="Arial" w:cs="Arial"/>
          <w:sz w:val="22"/>
          <w:szCs w:val="22"/>
          <w:u w:color="000000"/>
        </w:rPr>
        <w:t xml:space="preserve">, </w:t>
      </w:r>
      <w:r w:rsidR="001C0011">
        <w:rPr>
          <w:rFonts w:ascii="Arial" w:hAnsi="Arial" w:cs="Arial"/>
          <w:sz w:val="22"/>
          <w:szCs w:val="22"/>
          <w:u w:color="000000"/>
        </w:rPr>
        <w:t xml:space="preserve">por medio de </w:t>
      </w:r>
      <w:r w:rsidRPr="00D630EF">
        <w:rPr>
          <w:rFonts w:ascii="Arial" w:hAnsi="Arial" w:cs="Arial"/>
          <w:sz w:val="22"/>
          <w:szCs w:val="22"/>
          <w:u w:color="000000"/>
        </w:rPr>
        <w:t xml:space="preserve">criterios anteriores </w:t>
      </w:r>
      <w:r w:rsidR="0097278B">
        <w:rPr>
          <w:rFonts w:ascii="Arial" w:hAnsi="Arial" w:cs="Arial"/>
          <w:sz w:val="22"/>
          <w:szCs w:val="22"/>
          <w:u w:color="000000"/>
        </w:rPr>
        <w:t xml:space="preserve">que constan en la </w:t>
      </w:r>
      <w:r w:rsidRPr="00D630EF">
        <w:rPr>
          <w:rFonts w:ascii="Arial" w:hAnsi="Arial" w:cs="Arial"/>
          <w:sz w:val="22"/>
          <w:szCs w:val="22"/>
          <w:u w:color="000000"/>
        </w:rPr>
        <w:t>jurisprud</w:t>
      </w:r>
      <w:r w:rsidR="0097278B">
        <w:rPr>
          <w:rFonts w:ascii="Arial" w:hAnsi="Arial" w:cs="Arial"/>
          <w:sz w:val="22"/>
          <w:szCs w:val="22"/>
          <w:u w:color="000000"/>
        </w:rPr>
        <w:t xml:space="preserve">encia, </w:t>
      </w:r>
      <w:r w:rsidR="001C0011">
        <w:rPr>
          <w:rFonts w:ascii="Arial" w:hAnsi="Arial" w:cs="Arial"/>
          <w:sz w:val="22"/>
          <w:szCs w:val="22"/>
          <w:u w:color="000000"/>
        </w:rPr>
        <w:t>y alegatos de las partes.</w:t>
      </w:r>
      <w:r w:rsidRPr="00D630EF">
        <w:rPr>
          <w:rFonts w:ascii="Arial" w:hAnsi="Arial" w:cs="Arial"/>
          <w:sz w:val="22"/>
          <w:szCs w:val="22"/>
          <w:u w:color="000000"/>
        </w:rPr>
        <w:t xml:space="preserve"> </w:t>
      </w:r>
      <w:r w:rsidR="001C0011">
        <w:rPr>
          <w:rFonts w:ascii="Arial" w:hAnsi="Arial" w:cs="Arial"/>
          <w:sz w:val="22"/>
          <w:szCs w:val="22"/>
          <w:u w:color="000000"/>
        </w:rPr>
        <w:t>Dentro</w:t>
      </w:r>
      <w:r w:rsidR="0097278B">
        <w:rPr>
          <w:rFonts w:ascii="Arial" w:hAnsi="Arial" w:cs="Arial"/>
          <w:sz w:val="22"/>
          <w:szCs w:val="22"/>
          <w:u w:color="000000"/>
        </w:rPr>
        <w:t xml:space="preserve"> de este rubro se incluye también el d</w:t>
      </w:r>
      <w:r w:rsidRPr="00D630EF">
        <w:rPr>
          <w:rFonts w:ascii="Arial" w:hAnsi="Arial" w:cs="Arial"/>
          <w:sz w:val="22"/>
          <w:szCs w:val="22"/>
          <w:u w:color="000000"/>
        </w:rPr>
        <w:t>año emergente y lucro cesante</w:t>
      </w:r>
      <w:r w:rsidR="0097278B">
        <w:rPr>
          <w:rFonts w:ascii="Arial" w:hAnsi="Arial" w:cs="Arial"/>
          <w:sz w:val="22"/>
          <w:szCs w:val="22"/>
          <w:u w:color="000000"/>
        </w:rPr>
        <w:t>.</w:t>
      </w:r>
      <w:r w:rsidRPr="00D630EF">
        <w:rPr>
          <w:rFonts w:ascii="Arial" w:hAnsi="Arial" w:cs="Arial"/>
          <w:sz w:val="22"/>
          <w:szCs w:val="22"/>
          <w:u w:color="000000"/>
        </w:rPr>
        <w:t xml:space="preserve"> </w:t>
      </w:r>
    </w:p>
    <w:p w:rsidR="0070281B" w:rsidRPr="00D630EF" w:rsidRDefault="0070281B" w:rsidP="0070281B">
      <w:pPr>
        <w:pStyle w:val="Body1"/>
        <w:spacing w:before="20" w:line="360" w:lineRule="auto"/>
        <w:outlineLvl w:val="0"/>
        <w:rPr>
          <w:rFonts w:ascii="Arial" w:hAnsi="Arial" w:cs="Arial"/>
          <w:sz w:val="22"/>
          <w:szCs w:val="22"/>
          <w:u w:color="000000"/>
        </w:rPr>
      </w:pPr>
    </w:p>
    <w:p w:rsidR="0070281B" w:rsidRPr="00D630EF" w:rsidRDefault="00B44E79"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Los daños</w:t>
      </w:r>
      <w:r w:rsidR="0070281B" w:rsidRPr="00D630EF">
        <w:rPr>
          <w:rFonts w:ascii="Arial" w:hAnsi="Arial" w:cs="Arial"/>
          <w:sz w:val="22"/>
          <w:szCs w:val="22"/>
          <w:u w:color="000000"/>
        </w:rPr>
        <w:t xml:space="preserve"> inmaterial</w:t>
      </w:r>
      <w:r>
        <w:rPr>
          <w:rFonts w:ascii="Arial" w:hAnsi="Arial" w:cs="Arial"/>
          <w:sz w:val="22"/>
          <w:szCs w:val="22"/>
          <w:u w:color="000000"/>
        </w:rPr>
        <w:t>es</w:t>
      </w:r>
      <w:r w:rsidR="0070281B" w:rsidRPr="00D630EF">
        <w:rPr>
          <w:rFonts w:ascii="Arial" w:hAnsi="Arial" w:cs="Arial"/>
          <w:sz w:val="22"/>
          <w:szCs w:val="22"/>
          <w:u w:color="000000"/>
        </w:rPr>
        <w:t xml:space="preserve"> o moral</w:t>
      </w:r>
      <w:r>
        <w:rPr>
          <w:rFonts w:ascii="Arial" w:hAnsi="Arial" w:cs="Arial"/>
          <w:sz w:val="22"/>
          <w:szCs w:val="22"/>
          <w:u w:color="000000"/>
        </w:rPr>
        <w:t>es</w:t>
      </w:r>
      <w:r w:rsidR="0070281B" w:rsidRPr="00D630EF">
        <w:rPr>
          <w:rFonts w:ascii="Arial" w:hAnsi="Arial" w:cs="Arial"/>
          <w:sz w:val="22"/>
          <w:szCs w:val="22"/>
          <w:u w:color="000000"/>
        </w:rPr>
        <w:t>,</w:t>
      </w:r>
      <w:r>
        <w:rPr>
          <w:rFonts w:ascii="Arial" w:hAnsi="Arial" w:cs="Arial"/>
          <w:sz w:val="22"/>
          <w:szCs w:val="22"/>
          <w:u w:color="000000"/>
        </w:rPr>
        <w:t xml:space="preserve"> según el caso pueden ser restablecidos por medio del</w:t>
      </w:r>
      <w:r w:rsidR="0070281B" w:rsidRPr="00D630EF">
        <w:rPr>
          <w:rFonts w:ascii="Arial" w:hAnsi="Arial" w:cs="Arial"/>
          <w:sz w:val="22"/>
          <w:szCs w:val="22"/>
          <w:u w:color="000000"/>
        </w:rPr>
        <w:t xml:space="preserve"> pago de una cantidad de dinero o entrega de bines o servicios apreciables en dinero; </w:t>
      </w:r>
      <w:r>
        <w:rPr>
          <w:rFonts w:ascii="Arial" w:hAnsi="Arial" w:cs="Arial"/>
          <w:sz w:val="22"/>
          <w:szCs w:val="22"/>
          <w:u w:color="000000"/>
        </w:rPr>
        <w:t>pero la Corte considera además medidas que incluyen la</w:t>
      </w:r>
      <w:r w:rsidR="0070281B" w:rsidRPr="00D630EF">
        <w:rPr>
          <w:rFonts w:ascii="Arial" w:hAnsi="Arial" w:cs="Arial"/>
          <w:sz w:val="22"/>
          <w:szCs w:val="22"/>
          <w:u w:color="000000"/>
        </w:rPr>
        <w:t xml:space="preserve"> realización de actos u obras de alcance o repercusión públicos</w:t>
      </w:r>
      <w:r w:rsidR="00C1125B">
        <w:rPr>
          <w:rFonts w:ascii="Arial" w:hAnsi="Arial" w:cs="Arial"/>
          <w:sz w:val="22"/>
          <w:szCs w:val="22"/>
          <w:u w:color="000000"/>
        </w:rPr>
        <w:t>.</w:t>
      </w:r>
    </w:p>
    <w:p w:rsidR="00025631" w:rsidRDefault="00025631" w:rsidP="0070281B">
      <w:pPr>
        <w:pStyle w:val="Body1"/>
        <w:spacing w:before="20" w:line="360" w:lineRule="auto"/>
        <w:jc w:val="both"/>
        <w:outlineLvl w:val="0"/>
        <w:rPr>
          <w:rFonts w:ascii="Arial" w:hAnsi="Arial" w:cs="Arial"/>
          <w:sz w:val="22"/>
          <w:szCs w:val="22"/>
          <w:u w:color="000000"/>
        </w:rPr>
      </w:pPr>
    </w:p>
    <w:p w:rsidR="0070281B" w:rsidRDefault="00B44E79"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Un</w:t>
      </w:r>
      <w:r w:rsidR="00025631">
        <w:rPr>
          <w:rFonts w:ascii="Arial" w:hAnsi="Arial" w:cs="Arial"/>
          <w:sz w:val="22"/>
          <w:szCs w:val="22"/>
          <w:u w:color="000000"/>
        </w:rPr>
        <w:t xml:space="preserve"> aspecto fundamental en la </w:t>
      </w:r>
      <w:r>
        <w:rPr>
          <w:rFonts w:ascii="Arial" w:hAnsi="Arial" w:cs="Arial"/>
          <w:sz w:val="22"/>
          <w:szCs w:val="22"/>
          <w:u w:color="000000"/>
        </w:rPr>
        <w:t>reparación es el psicológico, el cual debe ser tomado en cuenta por la</w:t>
      </w:r>
      <w:r w:rsidR="00025631">
        <w:rPr>
          <w:rFonts w:ascii="Arial" w:hAnsi="Arial" w:cs="Arial"/>
          <w:sz w:val="22"/>
          <w:szCs w:val="22"/>
          <w:u w:color="000000"/>
        </w:rPr>
        <w:t xml:space="preserve"> Corte</w:t>
      </w:r>
      <w:r w:rsidR="001C0011">
        <w:rPr>
          <w:rFonts w:ascii="Arial" w:hAnsi="Arial" w:cs="Arial"/>
          <w:sz w:val="22"/>
          <w:szCs w:val="22"/>
          <w:u w:color="000000"/>
        </w:rPr>
        <w:t xml:space="preserve"> IDH</w:t>
      </w:r>
      <w:r>
        <w:rPr>
          <w:rFonts w:ascii="Arial" w:hAnsi="Arial" w:cs="Arial"/>
          <w:sz w:val="22"/>
          <w:szCs w:val="22"/>
          <w:u w:color="000000"/>
        </w:rPr>
        <w:t>,</w:t>
      </w:r>
      <w:r w:rsidR="00025631">
        <w:rPr>
          <w:rFonts w:ascii="Arial" w:hAnsi="Arial" w:cs="Arial"/>
          <w:sz w:val="22"/>
          <w:szCs w:val="22"/>
          <w:u w:color="000000"/>
        </w:rPr>
        <w:t xml:space="preserve"> det</w:t>
      </w:r>
      <w:r>
        <w:rPr>
          <w:rFonts w:ascii="Arial" w:hAnsi="Arial" w:cs="Arial"/>
          <w:sz w:val="22"/>
          <w:szCs w:val="22"/>
          <w:u w:color="000000"/>
        </w:rPr>
        <w:t>erminando</w:t>
      </w:r>
      <w:r w:rsidR="00025631">
        <w:rPr>
          <w:rFonts w:ascii="Arial" w:hAnsi="Arial" w:cs="Arial"/>
          <w:sz w:val="22"/>
          <w:szCs w:val="22"/>
          <w:u w:color="000000"/>
        </w:rPr>
        <w:t xml:space="preserve"> los gastos en los que han incurrido las</w:t>
      </w:r>
      <w:r w:rsidR="00EE5C20">
        <w:rPr>
          <w:rFonts w:ascii="Arial" w:hAnsi="Arial" w:cs="Arial"/>
          <w:sz w:val="22"/>
          <w:szCs w:val="22"/>
          <w:u w:color="000000"/>
        </w:rPr>
        <w:t xml:space="preserve"> víctimas y sus familiares en</w:t>
      </w:r>
      <w:r w:rsidR="00025631">
        <w:rPr>
          <w:rFonts w:ascii="Arial" w:hAnsi="Arial" w:cs="Arial"/>
          <w:sz w:val="22"/>
          <w:szCs w:val="22"/>
          <w:u w:color="000000"/>
        </w:rPr>
        <w:t xml:space="preserve"> tratamientos</w:t>
      </w:r>
      <w:r w:rsidR="00EE5C20">
        <w:rPr>
          <w:rFonts w:ascii="Arial" w:hAnsi="Arial" w:cs="Arial"/>
          <w:sz w:val="22"/>
          <w:szCs w:val="22"/>
          <w:u w:color="000000"/>
        </w:rPr>
        <w:t xml:space="preserve">, </w:t>
      </w:r>
      <w:r w:rsidR="001C0011">
        <w:rPr>
          <w:rFonts w:ascii="Arial" w:hAnsi="Arial" w:cs="Arial"/>
          <w:sz w:val="22"/>
          <w:szCs w:val="22"/>
          <w:u w:color="000000"/>
        </w:rPr>
        <w:t xml:space="preserve">y medicinas, estos </w:t>
      </w:r>
      <w:r w:rsidR="00EE5C20">
        <w:rPr>
          <w:rFonts w:ascii="Arial" w:hAnsi="Arial" w:cs="Arial"/>
          <w:sz w:val="22"/>
          <w:szCs w:val="22"/>
          <w:u w:color="000000"/>
        </w:rPr>
        <w:t>gastos</w:t>
      </w:r>
      <w:r>
        <w:rPr>
          <w:rFonts w:ascii="Arial" w:hAnsi="Arial" w:cs="Arial"/>
          <w:sz w:val="22"/>
          <w:szCs w:val="22"/>
          <w:u w:color="000000"/>
        </w:rPr>
        <w:t xml:space="preserve"> deben ser </w:t>
      </w:r>
      <w:r w:rsidR="00025631">
        <w:rPr>
          <w:rFonts w:ascii="Arial" w:hAnsi="Arial" w:cs="Arial"/>
          <w:sz w:val="22"/>
          <w:szCs w:val="22"/>
          <w:u w:color="000000"/>
        </w:rPr>
        <w:t>asumidos por los responsables. En caso de no haber recibido apoyo ps</w:t>
      </w:r>
      <w:r w:rsidR="00EE5C20">
        <w:rPr>
          <w:rFonts w:ascii="Arial" w:hAnsi="Arial" w:cs="Arial"/>
          <w:sz w:val="22"/>
          <w:szCs w:val="22"/>
          <w:u w:color="000000"/>
        </w:rPr>
        <w:t xml:space="preserve">icológico, la Corte </w:t>
      </w:r>
      <w:r w:rsidR="001C0011">
        <w:rPr>
          <w:rFonts w:ascii="Arial" w:hAnsi="Arial" w:cs="Arial"/>
          <w:sz w:val="22"/>
          <w:szCs w:val="22"/>
          <w:u w:color="000000"/>
        </w:rPr>
        <w:t xml:space="preserve">IDH </w:t>
      </w:r>
      <w:r w:rsidR="00EE5C20">
        <w:rPr>
          <w:rFonts w:ascii="Arial" w:hAnsi="Arial" w:cs="Arial"/>
          <w:sz w:val="22"/>
          <w:szCs w:val="22"/>
          <w:u w:color="000000"/>
        </w:rPr>
        <w:t>debe realizar</w:t>
      </w:r>
      <w:r w:rsidR="00025631">
        <w:rPr>
          <w:rFonts w:ascii="Arial" w:hAnsi="Arial" w:cs="Arial"/>
          <w:sz w:val="22"/>
          <w:szCs w:val="22"/>
          <w:u w:color="000000"/>
        </w:rPr>
        <w:t xml:space="preserve"> las evaluaciones pertinentes y de ser necesario ordenar al Estado que ponga a disposición de las víctimas l</w:t>
      </w:r>
      <w:r>
        <w:rPr>
          <w:rFonts w:ascii="Arial" w:hAnsi="Arial" w:cs="Arial"/>
          <w:sz w:val="22"/>
          <w:szCs w:val="22"/>
          <w:u w:color="000000"/>
        </w:rPr>
        <w:t>os</w:t>
      </w:r>
      <w:r w:rsidR="00025631">
        <w:rPr>
          <w:rFonts w:ascii="Arial" w:hAnsi="Arial" w:cs="Arial"/>
          <w:sz w:val="22"/>
          <w:szCs w:val="22"/>
          <w:u w:color="000000"/>
        </w:rPr>
        <w:t xml:space="preserve"> tratamiento</w:t>
      </w:r>
      <w:r>
        <w:rPr>
          <w:rFonts w:ascii="Arial" w:hAnsi="Arial" w:cs="Arial"/>
          <w:sz w:val="22"/>
          <w:szCs w:val="22"/>
          <w:u w:color="000000"/>
        </w:rPr>
        <w:t>s</w:t>
      </w:r>
      <w:r w:rsidR="00025631">
        <w:rPr>
          <w:rFonts w:ascii="Arial" w:hAnsi="Arial" w:cs="Arial"/>
          <w:sz w:val="22"/>
          <w:szCs w:val="22"/>
          <w:u w:color="000000"/>
        </w:rPr>
        <w:t xml:space="preserve"> y cuidados correspondientes. De ser posible, es importante que el acompañamiento psicológico a las víctimas se realice desde la perpetración de las violaciones, así como durante el proceso judicial y en lo posterior mientras sea necesario. </w:t>
      </w:r>
    </w:p>
    <w:p w:rsidR="00B44E79" w:rsidRDefault="00B44E79" w:rsidP="00025631">
      <w:pPr>
        <w:pStyle w:val="Body1"/>
        <w:spacing w:before="20" w:line="360" w:lineRule="auto"/>
        <w:jc w:val="both"/>
        <w:outlineLvl w:val="0"/>
        <w:rPr>
          <w:rFonts w:ascii="Arial" w:hAnsi="Arial" w:cs="Arial"/>
          <w:sz w:val="22"/>
          <w:szCs w:val="22"/>
          <w:u w:color="000000"/>
        </w:rPr>
      </w:pPr>
    </w:p>
    <w:p w:rsidR="00114071" w:rsidRDefault="0070281B" w:rsidP="00705EB3">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En </w:t>
      </w:r>
      <w:r w:rsidR="00632D40">
        <w:rPr>
          <w:rFonts w:ascii="Arial" w:hAnsi="Arial" w:cs="Arial"/>
          <w:sz w:val="22"/>
          <w:szCs w:val="22"/>
          <w:u w:color="000000"/>
        </w:rPr>
        <w:t xml:space="preserve">la reparación psicológica el papel de las víctimas y sus familiares es fundamental ya que aun existiendo apoyo del Estado responsable si no se manifiesta una la voluntad de los agraviados </w:t>
      </w:r>
      <w:r w:rsidR="00EE5C20">
        <w:rPr>
          <w:rFonts w:ascii="Arial" w:hAnsi="Arial" w:cs="Arial"/>
          <w:sz w:val="22"/>
          <w:szCs w:val="22"/>
          <w:u w:color="000000"/>
        </w:rPr>
        <w:t xml:space="preserve">por recibir ayuda, </w:t>
      </w:r>
      <w:r w:rsidR="00632D40">
        <w:rPr>
          <w:rFonts w:ascii="Arial" w:hAnsi="Arial" w:cs="Arial"/>
          <w:sz w:val="22"/>
          <w:szCs w:val="22"/>
          <w:u w:color="000000"/>
        </w:rPr>
        <w:t xml:space="preserve">pocos serán los avances que se pudieran lograr al respecto, de todas formas </w:t>
      </w:r>
      <w:r w:rsidR="00A06069">
        <w:rPr>
          <w:rFonts w:ascii="Arial" w:hAnsi="Arial" w:cs="Arial"/>
          <w:sz w:val="22"/>
          <w:szCs w:val="22"/>
          <w:u w:color="000000"/>
        </w:rPr>
        <w:t xml:space="preserve">se debe procurar que </w:t>
      </w:r>
      <w:r w:rsidR="00632D40">
        <w:rPr>
          <w:rFonts w:ascii="Arial" w:hAnsi="Arial" w:cs="Arial"/>
          <w:sz w:val="22"/>
          <w:szCs w:val="22"/>
          <w:u w:color="000000"/>
        </w:rPr>
        <w:t>el acompañamiento terapéutico</w:t>
      </w:r>
      <w:r w:rsidR="00A06069">
        <w:rPr>
          <w:rFonts w:ascii="Arial" w:hAnsi="Arial" w:cs="Arial"/>
          <w:sz w:val="22"/>
          <w:szCs w:val="22"/>
          <w:u w:color="000000"/>
        </w:rPr>
        <w:t xml:space="preserve"> sea</w:t>
      </w:r>
      <w:r w:rsidR="00632D40">
        <w:rPr>
          <w:rFonts w:ascii="Arial" w:hAnsi="Arial" w:cs="Arial"/>
          <w:sz w:val="22"/>
          <w:szCs w:val="22"/>
          <w:u w:color="000000"/>
        </w:rPr>
        <w:t xml:space="preserve"> continuo</w:t>
      </w:r>
      <w:r w:rsidR="00A06069">
        <w:rPr>
          <w:rFonts w:ascii="Arial" w:hAnsi="Arial" w:cs="Arial"/>
          <w:sz w:val="22"/>
          <w:szCs w:val="22"/>
          <w:u w:color="000000"/>
        </w:rPr>
        <w:t>.</w:t>
      </w:r>
      <w:r w:rsidR="00632D40">
        <w:rPr>
          <w:rFonts w:ascii="Arial" w:hAnsi="Arial" w:cs="Arial"/>
          <w:sz w:val="22"/>
          <w:szCs w:val="22"/>
          <w:u w:color="000000"/>
        </w:rPr>
        <w:t xml:space="preserve">  </w:t>
      </w:r>
    </w:p>
    <w:p w:rsidR="00AB3AA0" w:rsidRDefault="00AB3AA0" w:rsidP="006B2942">
      <w:pPr>
        <w:pStyle w:val="Body1"/>
        <w:spacing w:before="20" w:line="360" w:lineRule="auto"/>
        <w:jc w:val="both"/>
        <w:outlineLvl w:val="0"/>
        <w:rPr>
          <w:rFonts w:ascii="Arial" w:hAnsi="Arial" w:cs="Arial"/>
          <w:sz w:val="22"/>
          <w:szCs w:val="22"/>
          <w:u w:color="000000"/>
        </w:rPr>
      </w:pPr>
    </w:p>
    <w:p w:rsidR="00C26FC8" w:rsidRDefault="00AB3AA0"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 Corte </w:t>
      </w:r>
      <w:r w:rsidR="002326E4">
        <w:rPr>
          <w:rFonts w:ascii="Arial" w:hAnsi="Arial" w:cs="Arial"/>
          <w:sz w:val="22"/>
          <w:szCs w:val="22"/>
          <w:u w:color="000000"/>
        </w:rPr>
        <w:t>h</w:t>
      </w:r>
      <w:r>
        <w:rPr>
          <w:rFonts w:ascii="Arial" w:hAnsi="Arial" w:cs="Arial"/>
          <w:sz w:val="22"/>
          <w:szCs w:val="22"/>
          <w:u w:color="000000"/>
        </w:rPr>
        <w:t xml:space="preserve">a </w:t>
      </w:r>
      <w:r w:rsidR="009A1DBF">
        <w:rPr>
          <w:rFonts w:ascii="Arial" w:hAnsi="Arial" w:cs="Arial"/>
          <w:sz w:val="22"/>
          <w:szCs w:val="22"/>
          <w:u w:color="000000"/>
        </w:rPr>
        <w:t xml:space="preserve">tomado en cuenta el </w:t>
      </w:r>
      <w:r w:rsidR="00196926">
        <w:rPr>
          <w:rFonts w:ascii="Arial" w:hAnsi="Arial" w:cs="Arial"/>
          <w:sz w:val="22"/>
          <w:szCs w:val="22"/>
          <w:u w:color="000000"/>
        </w:rPr>
        <w:t xml:space="preserve">principio de la </w:t>
      </w:r>
      <w:proofErr w:type="spellStart"/>
      <w:r w:rsidR="00196926" w:rsidRPr="00196926">
        <w:rPr>
          <w:rFonts w:ascii="Arial" w:hAnsi="Arial" w:cs="Arial"/>
          <w:i/>
          <w:sz w:val="22"/>
          <w:szCs w:val="22"/>
          <w:u w:color="000000"/>
        </w:rPr>
        <w:t>Restitutio</w:t>
      </w:r>
      <w:proofErr w:type="spellEnd"/>
      <w:r w:rsidR="00196926" w:rsidRPr="00196926">
        <w:rPr>
          <w:rFonts w:ascii="Arial" w:hAnsi="Arial" w:cs="Arial"/>
          <w:i/>
          <w:sz w:val="22"/>
          <w:szCs w:val="22"/>
          <w:u w:color="000000"/>
        </w:rPr>
        <w:t xml:space="preserve"> in </w:t>
      </w:r>
      <w:proofErr w:type="spellStart"/>
      <w:r w:rsidR="00196926" w:rsidRPr="00196926">
        <w:rPr>
          <w:rFonts w:ascii="Arial" w:hAnsi="Arial" w:cs="Arial"/>
          <w:i/>
          <w:sz w:val="22"/>
          <w:szCs w:val="22"/>
          <w:u w:color="000000"/>
        </w:rPr>
        <w:t>integrum</w:t>
      </w:r>
      <w:proofErr w:type="spellEnd"/>
      <w:r w:rsidR="00C26FC8">
        <w:rPr>
          <w:rFonts w:ascii="Arial" w:hAnsi="Arial" w:cs="Arial"/>
          <w:sz w:val="22"/>
          <w:szCs w:val="22"/>
          <w:u w:color="000000"/>
        </w:rPr>
        <w:t xml:space="preserve"> en</w:t>
      </w:r>
      <w:r w:rsidR="00196926">
        <w:rPr>
          <w:rFonts w:ascii="Arial" w:hAnsi="Arial" w:cs="Arial"/>
          <w:sz w:val="22"/>
          <w:szCs w:val="22"/>
          <w:u w:color="000000"/>
        </w:rPr>
        <w:t xml:space="preserve"> la resolución de sus casos para lograr una reparación integral, en el caso</w:t>
      </w:r>
      <w:r w:rsidR="00C26FC8">
        <w:rPr>
          <w:rFonts w:ascii="Arial" w:hAnsi="Arial" w:cs="Arial"/>
          <w:sz w:val="22"/>
          <w:szCs w:val="22"/>
          <w:u w:color="000000"/>
        </w:rPr>
        <w:t xml:space="preserve"> V</w:t>
      </w:r>
      <w:r w:rsidR="00196926">
        <w:rPr>
          <w:rFonts w:ascii="Arial" w:hAnsi="Arial" w:cs="Arial"/>
          <w:sz w:val="22"/>
          <w:szCs w:val="22"/>
          <w:u w:color="000000"/>
        </w:rPr>
        <w:t>illagrán Morales y otros, señaló</w:t>
      </w:r>
      <w:r w:rsidR="00C26FC8">
        <w:rPr>
          <w:rFonts w:ascii="Arial" w:hAnsi="Arial" w:cs="Arial"/>
          <w:sz w:val="22"/>
          <w:szCs w:val="22"/>
          <w:u w:color="000000"/>
        </w:rPr>
        <w:t xml:space="preserve"> que:</w:t>
      </w:r>
    </w:p>
    <w:p w:rsidR="00705EB3" w:rsidRDefault="00705EB3" w:rsidP="002B0DA7">
      <w:pPr>
        <w:pStyle w:val="Body1"/>
        <w:spacing w:before="20" w:line="276" w:lineRule="auto"/>
        <w:ind w:left="720"/>
        <w:jc w:val="both"/>
        <w:outlineLvl w:val="0"/>
        <w:rPr>
          <w:rFonts w:ascii="Arial" w:hAnsi="Arial" w:cs="Arial"/>
          <w:i/>
          <w:sz w:val="18"/>
          <w:szCs w:val="18"/>
          <w:u w:color="000000"/>
        </w:rPr>
      </w:pPr>
    </w:p>
    <w:p w:rsidR="00AD346E" w:rsidRPr="00225803" w:rsidRDefault="00C26FC8" w:rsidP="002B0DA7">
      <w:pPr>
        <w:pStyle w:val="Body1"/>
        <w:spacing w:before="20" w:line="276" w:lineRule="auto"/>
        <w:ind w:left="720"/>
        <w:jc w:val="both"/>
        <w:outlineLvl w:val="0"/>
        <w:rPr>
          <w:rFonts w:ascii="Arial" w:hAnsi="Arial" w:cs="Arial"/>
          <w:sz w:val="20"/>
          <w:u w:color="000000"/>
        </w:rPr>
      </w:pPr>
      <w:r w:rsidRPr="00225803">
        <w:rPr>
          <w:rFonts w:ascii="Arial" w:hAnsi="Arial" w:cs="Arial"/>
          <w:sz w:val="20"/>
          <w:u w:color="000000"/>
        </w:rPr>
        <w:t>La reparación del daño ocasionado por la infracción de una obligación  internacional requiere, siempre que sea posible, la plena restitución (</w:t>
      </w:r>
      <w:proofErr w:type="spellStart"/>
      <w:r w:rsidRPr="00225803">
        <w:rPr>
          <w:rFonts w:ascii="Arial" w:hAnsi="Arial" w:cs="Arial"/>
          <w:sz w:val="20"/>
          <w:u w:color="000000"/>
        </w:rPr>
        <w:t>restitutio</w:t>
      </w:r>
      <w:proofErr w:type="spellEnd"/>
      <w:r w:rsidRPr="00225803">
        <w:rPr>
          <w:rFonts w:ascii="Arial" w:hAnsi="Arial" w:cs="Arial"/>
          <w:sz w:val="20"/>
          <w:u w:color="000000"/>
        </w:rPr>
        <w:t xml:space="preserve"> in  </w:t>
      </w:r>
      <w:proofErr w:type="spellStart"/>
      <w:r w:rsidRPr="00225803">
        <w:rPr>
          <w:rFonts w:ascii="Arial" w:hAnsi="Arial" w:cs="Arial"/>
          <w:sz w:val="20"/>
          <w:u w:color="000000"/>
        </w:rPr>
        <w:t>integrum</w:t>
      </w:r>
      <w:proofErr w:type="spellEnd"/>
      <w:r w:rsidRPr="00225803">
        <w:rPr>
          <w:rFonts w:ascii="Arial" w:hAnsi="Arial" w:cs="Arial"/>
          <w:sz w:val="20"/>
          <w:u w:color="000000"/>
        </w:rPr>
        <w:t>), la cual consiste en el restablecimiento de la situación anterior. De no ser esto posible, como en el presente caso, cabe al tribunal internacional determinar una serie de medidas para, además de garantizar los derechos conculcados, reparar las  consecuencias que las infracciones produjeron, así como establecer el pago de una  indemnización como compensación por los daños ocasionados</w:t>
      </w:r>
      <w:r w:rsidR="00AD346E" w:rsidRPr="00225803">
        <w:rPr>
          <w:rFonts w:ascii="Arial" w:hAnsi="Arial" w:cs="Arial"/>
          <w:sz w:val="20"/>
          <w:u w:color="000000"/>
          <w:vertAlign w:val="superscript"/>
        </w:rPr>
        <w:footnoteReference w:id="82"/>
      </w:r>
      <w:r w:rsidR="00AD346E" w:rsidRPr="00225803">
        <w:rPr>
          <w:rFonts w:ascii="Arial" w:hAnsi="Arial" w:cs="Arial"/>
          <w:sz w:val="20"/>
          <w:u w:color="000000"/>
        </w:rPr>
        <w:t xml:space="preserve"> </w:t>
      </w:r>
    </w:p>
    <w:p w:rsidR="00705EB3" w:rsidRDefault="00705EB3" w:rsidP="00705EB3">
      <w:pPr>
        <w:pStyle w:val="Body1"/>
        <w:spacing w:before="20" w:line="360" w:lineRule="auto"/>
        <w:jc w:val="both"/>
        <w:outlineLvl w:val="0"/>
        <w:rPr>
          <w:rFonts w:ascii="Arial" w:hAnsi="Arial" w:cs="Arial"/>
          <w:sz w:val="22"/>
          <w:szCs w:val="22"/>
          <w:u w:color="000000"/>
        </w:rPr>
      </w:pPr>
    </w:p>
    <w:p w:rsidR="00861DCE" w:rsidRDefault="00861DCE"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Si bien existen caso</w:t>
      </w:r>
      <w:r w:rsidR="001C0011">
        <w:rPr>
          <w:rFonts w:ascii="Arial" w:hAnsi="Arial" w:cs="Arial"/>
          <w:sz w:val="22"/>
          <w:szCs w:val="22"/>
          <w:u w:color="000000"/>
        </w:rPr>
        <w:t>s</w:t>
      </w:r>
      <w:r>
        <w:rPr>
          <w:rFonts w:ascii="Arial" w:hAnsi="Arial" w:cs="Arial"/>
          <w:sz w:val="22"/>
          <w:szCs w:val="22"/>
          <w:u w:color="000000"/>
        </w:rPr>
        <w:t xml:space="preserve"> en los que el devolver a la víctima al estado anterior a la violación en imposible, la Corte </w:t>
      </w:r>
      <w:r w:rsidR="001C0011">
        <w:rPr>
          <w:rFonts w:ascii="Arial" w:hAnsi="Arial" w:cs="Arial"/>
          <w:sz w:val="22"/>
          <w:szCs w:val="22"/>
          <w:u w:color="000000"/>
        </w:rPr>
        <w:t xml:space="preserve">IDH </w:t>
      </w:r>
      <w:r>
        <w:rPr>
          <w:rFonts w:ascii="Arial" w:hAnsi="Arial" w:cs="Arial"/>
          <w:sz w:val="22"/>
          <w:szCs w:val="22"/>
          <w:u w:color="000000"/>
        </w:rPr>
        <w:t xml:space="preserve">acepta que se deben tomar otras medidas de restitución para </w:t>
      </w:r>
      <w:r w:rsidR="00225803">
        <w:rPr>
          <w:rFonts w:ascii="Arial" w:hAnsi="Arial" w:cs="Arial"/>
          <w:sz w:val="22"/>
          <w:szCs w:val="22"/>
          <w:u w:color="000000"/>
        </w:rPr>
        <w:t xml:space="preserve">cumplir con el principio de la </w:t>
      </w:r>
      <w:proofErr w:type="spellStart"/>
      <w:r w:rsidR="00225803" w:rsidRPr="00225803">
        <w:rPr>
          <w:rFonts w:ascii="Arial" w:hAnsi="Arial" w:cs="Arial"/>
          <w:i/>
          <w:sz w:val="22"/>
          <w:szCs w:val="22"/>
          <w:u w:color="000000"/>
        </w:rPr>
        <w:t>Restitutio</w:t>
      </w:r>
      <w:proofErr w:type="spellEnd"/>
      <w:r w:rsidR="00225803" w:rsidRPr="00225803">
        <w:rPr>
          <w:rFonts w:ascii="Arial" w:hAnsi="Arial" w:cs="Arial"/>
          <w:i/>
          <w:sz w:val="22"/>
          <w:szCs w:val="22"/>
          <w:u w:color="000000"/>
        </w:rPr>
        <w:t xml:space="preserve"> in </w:t>
      </w:r>
      <w:proofErr w:type="spellStart"/>
      <w:r w:rsidR="00225803" w:rsidRPr="00225803">
        <w:rPr>
          <w:rFonts w:ascii="Arial" w:hAnsi="Arial" w:cs="Arial"/>
          <w:i/>
          <w:sz w:val="22"/>
          <w:szCs w:val="22"/>
          <w:u w:color="000000"/>
        </w:rPr>
        <w:t>integrum</w:t>
      </w:r>
      <w:proofErr w:type="spellEnd"/>
      <w:r>
        <w:rPr>
          <w:rFonts w:ascii="Arial" w:hAnsi="Arial" w:cs="Arial"/>
          <w:sz w:val="22"/>
          <w:szCs w:val="22"/>
          <w:u w:color="000000"/>
        </w:rPr>
        <w:t>.</w:t>
      </w:r>
      <w:r w:rsidR="00F533C8">
        <w:rPr>
          <w:rFonts w:ascii="Arial" w:hAnsi="Arial" w:cs="Arial"/>
          <w:sz w:val="22"/>
          <w:szCs w:val="22"/>
          <w:u w:color="000000"/>
        </w:rPr>
        <w:t xml:space="preserve"> La Corte deja claro además que la obligación de reparar regulada por el derecho internacional no puede ser modificada o incumplida por el Estado obligado invocando para ello disposiciones de su derecho interno.</w:t>
      </w:r>
    </w:p>
    <w:p w:rsidR="00AD346E" w:rsidRPr="00D630EF" w:rsidRDefault="00861DCE" w:rsidP="00D630EF">
      <w:pPr>
        <w:pStyle w:val="Body1"/>
        <w:spacing w:before="20" w:line="360" w:lineRule="auto"/>
        <w:outlineLvl w:val="0"/>
        <w:rPr>
          <w:rFonts w:ascii="Arial" w:hAnsi="Arial" w:cs="Arial"/>
          <w:sz w:val="22"/>
          <w:szCs w:val="22"/>
          <w:u w:color="000000"/>
        </w:rPr>
      </w:pPr>
      <w:r>
        <w:rPr>
          <w:rFonts w:ascii="Arial" w:hAnsi="Arial" w:cs="Arial"/>
          <w:sz w:val="22"/>
          <w:szCs w:val="22"/>
          <w:u w:color="000000"/>
        </w:rPr>
        <w:t xml:space="preserve"> </w:t>
      </w:r>
    </w:p>
    <w:p w:rsidR="00ED736D" w:rsidRDefault="00ED736D"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En el caso </w:t>
      </w:r>
      <w:proofErr w:type="spellStart"/>
      <w:r>
        <w:rPr>
          <w:rFonts w:ascii="Arial" w:hAnsi="Arial" w:cs="Arial"/>
          <w:sz w:val="22"/>
          <w:szCs w:val="22"/>
          <w:u w:color="000000"/>
        </w:rPr>
        <w:t>Aloeboetoe</w:t>
      </w:r>
      <w:proofErr w:type="spellEnd"/>
      <w:r>
        <w:rPr>
          <w:rFonts w:ascii="Arial" w:hAnsi="Arial" w:cs="Arial"/>
          <w:sz w:val="22"/>
          <w:szCs w:val="22"/>
          <w:u w:color="000000"/>
        </w:rPr>
        <w:t xml:space="preserve"> y otros, a pe</w:t>
      </w:r>
      <w:r w:rsidR="00346296">
        <w:rPr>
          <w:rFonts w:ascii="Arial" w:hAnsi="Arial" w:cs="Arial"/>
          <w:sz w:val="22"/>
          <w:szCs w:val="22"/>
          <w:u w:color="000000"/>
        </w:rPr>
        <w:t>sar de que el Estado de Surinam</w:t>
      </w:r>
      <w:r>
        <w:rPr>
          <w:rFonts w:ascii="Arial" w:hAnsi="Arial" w:cs="Arial"/>
          <w:sz w:val="22"/>
          <w:szCs w:val="22"/>
          <w:u w:color="000000"/>
        </w:rPr>
        <w:t xml:space="preserve"> reconoci</w:t>
      </w:r>
      <w:r w:rsidRPr="00ED736D">
        <w:rPr>
          <w:rFonts w:ascii="Arial" w:hAnsi="Arial" w:cs="Arial"/>
          <w:sz w:val="22"/>
          <w:szCs w:val="22"/>
          <w:u w:color="000000"/>
        </w:rPr>
        <w:t>ó su responsabilidad por los hechos articulados en la memoria de la Comisión</w:t>
      </w:r>
      <w:r>
        <w:rPr>
          <w:rFonts w:ascii="Arial" w:hAnsi="Arial" w:cs="Arial"/>
          <w:sz w:val="22"/>
          <w:szCs w:val="22"/>
          <w:u w:color="000000"/>
        </w:rPr>
        <w:t xml:space="preserve">, se presentaron </w:t>
      </w:r>
      <w:r w:rsidRPr="00ED736D">
        <w:rPr>
          <w:rFonts w:ascii="Arial" w:hAnsi="Arial" w:cs="Arial"/>
          <w:sz w:val="22"/>
          <w:szCs w:val="22"/>
          <w:u w:color="000000"/>
        </w:rPr>
        <w:t>diferencias entre las part</w:t>
      </w:r>
      <w:r>
        <w:rPr>
          <w:rFonts w:ascii="Arial" w:hAnsi="Arial" w:cs="Arial"/>
          <w:sz w:val="22"/>
          <w:szCs w:val="22"/>
          <w:u w:color="000000"/>
        </w:rPr>
        <w:t>es acerca de otros hechos relacionados</w:t>
      </w:r>
      <w:r w:rsidRPr="00ED736D">
        <w:rPr>
          <w:rFonts w:ascii="Arial" w:hAnsi="Arial" w:cs="Arial"/>
          <w:sz w:val="22"/>
          <w:szCs w:val="22"/>
          <w:u w:color="000000"/>
        </w:rPr>
        <w:t xml:space="preserve"> con las </w:t>
      </w:r>
      <w:r>
        <w:rPr>
          <w:rFonts w:ascii="Arial" w:hAnsi="Arial" w:cs="Arial"/>
          <w:sz w:val="22"/>
          <w:szCs w:val="22"/>
          <w:u w:color="000000"/>
        </w:rPr>
        <w:t>reparaciones y el</w:t>
      </w:r>
      <w:r w:rsidRPr="00ED736D">
        <w:rPr>
          <w:rFonts w:ascii="Arial" w:hAnsi="Arial" w:cs="Arial"/>
          <w:sz w:val="22"/>
          <w:szCs w:val="22"/>
          <w:u w:color="000000"/>
        </w:rPr>
        <w:t xml:space="preserve"> alcance de las mismas</w:t>
      </w:r>
      <w:r w:rsidR="00684B19">
        <w:rPr>
          <w:rFonts w:ascii="Arial" w:hAnsi="Arial" w:cs="Arial"/>
          <w:sz w:val="22"/>
          <w:szCs w:val="22"/>
          <w:u w:color="000000"/>
        </w:rPr>
        <w:t xml:space="preserve">. Este caso </w:t>
      </w:r>
      <w:r w:rsidR="00346296">
        <w:rPr>
          <w:rFonts w:ascii="Arial" w:hAnsi="Arial" w:cs="Arial"/>
          <w:sz w:val="22"/>
          <w:szCs w:val="22"/>
          <w:u w:color="000000"/>
        </w:rPr>
        <w:t>posee</w:t>
      </w:r>
      <w:r w:rsidR="00684B19">
        <w:rPr>
          <w:rFonts w:ascii="Arial" w:hAnsi="Arial" w:cs="Arial"/>
          <w:sz w:val="22"/>
          <w:szCs w:val="22"/>
          <w:u w:color="000000"/>
        </w:rPr>
        <w:t xml:space="preserve"> una particularidad ya que en cuento al derecho a la indemnización de los herederos de las víctimas asesinadas, la Comisión </w:t>
      </w:r>
      <w:r w:rsidR="00587109">
        <w:rPr>
          <w:rFonts w:ascii="Arial" w:hAnsi="Arial" w:cs="Arial"/>
          <w:sz w:val="22"/>
          <w:szCs w:val="22"/>
          <w:u w:color="000000"/>
        </w:rPr>
        <w:t>reclamó</w:t>
      </w:r>
      <w:r w:rsidR="00684B19" w:rsidRPr="00684B19">
        <w:rPr>
          <w:rFonts w:ascii="Arial" w:hAnsi="Arial" w:cs="Arial"/>
          <w:sz w:val="22"/>
          <w:szCs w:val="22"/>
          <w:u w:color="000000"/>
        </w:rPr>
        <w:t xml:space="preserve"> la aplicación de las costumbres de la tribu</w:t>
      </w:r>
      <w:r w:rsidR="00346296">
        <w:rPr>
          <w:rFonts w:ascii="Arial" w:hAnsi="Arial" w:cs="Arial"/>
          <w:sz w:val="22"/>
          <w:szCs w:val="22"/>
          <w:u w:color="000000"/>
        </w:rPr>
        <w:t xml:space="preserve"> </w:t>
      </w:r>
      <w:proofErr w:type="spellStart"/>
      <w:r w:rsidR="00346296">
        <w:rPr>
          <w:rFonts w:ascii="Arial" w:hAnsi="Arial" w:cs="Arial"/>
          <w:sz w:val="22"/>
          <w:szCs w:val="22"/>
          <w:u w:color="000000"/>
        </w:rPr>
        <w:t>Saramaca</w:t>
      </w:r>
      <w:proofErr w:type="spellEnd"/>
      <w:r w:rsidR="00346296">
        <w:rPr>
          <w:rFonts w:ascii="Arial" w:hAnsi="Arial" w:cs="Arial"/>
          <w:sz w:val="22"/>
          <w:szCs w:val="22"/>
          <w:u w:color="000000"/>
        </w:rPr>
        <w:t>, en tanto que Surinam</w:t>
      </w:r>
      <w:r w:rsidR="001C0011">
        <w:rPr>
          <w:rFonts w:ascii="Arial" w:hAnsi="Arial" w:cs="Arial"/>
          <w:sz w:val="22"/>
          <w:szCs w:val="22"/>
          <w:u w:color="000000"/>
        </w:rPr>
        <w:t xml:space="preserve"> solicitó</w:t>
      </w:r>
      <w:r w:rsidR="00684B19" w:rsidRPr="00684B19">
        <w:rPr>
          <w:rFonts w:ascii="Arial" w:hAnsi="Arial" w:cs="Arial"/>
          <w:sz w:val="22"/>
          <w:szCs w:val="22"/>
          <w:u w:color="000000"/>
        </w:rPr>
        <w:t xml:space="preserve"> la aplicación de su derecho civil</w:t>
      </w:r>
      <w:r w:rsidR="00BA440B">
        <w:rPr>
          <w:rFonts w:ascii="Arial" w:hAnsi="Arial" w:cs="Arial"/>
          <w:sz w:val="22"/>
          <w:szCs w:val="22"/>
          <w:u w:color="000000"/>
        </w:rPr>
        <w:t xml:space="preserve">. La Corte </w:t>
      </w:r>
      <w:r w:rsidR="001C0011">
        <w:rPr>
          <w:rFonts w:ascii="Arial" w:hAnsi="Arial" w:cs="Arial"/>
          <w:sz w:val="22"/>
          <w:szCs w:val="22"/>
          <w:u w:color="000000"/>
        </w:rPr>
        <w:t xml:space="preserve">IDH </w:t>
      </w:r>
      <w:r w:rsidR="00BA440B">
        <w:rPr>
          <w:rFonts w:ascii="Arial" w:hAnsi="Arial" w:cs="Arial"/>
          <w:sz w:val="22"/>
          <w:szCs w:val="22"/>
          <w:u w:color="000000"/>
        </w:rPr>
        <w:t>en base a las pruebas presentadas determinó que l</w:t>
      </w:r>
      <w:r w:rsidR="00BA440B" w:rsidRPr="00BA440B">
        <w:rPr>
          <w:rFonts w:ascii="Arial" w:hAnsi="Arial" w:cs="Arial"/>
          <w:sz w:val="22"/>
          <w:szCs w:val="22"/>
          <w:u w:color="000000"/>
        </w:rPr>
        <w:t>as leyes d</w:t>
      </w:r>
      <w:r w:rsidR="00346296">
        <w:rPr>
          <w:rFonts w:ascii="Arial" w:hAnsi="Arial" w:cs="Arial"/>
          <w:sz w:val="22"/>
          <w:szCs w:val="22"/>
          <w:u w:color="000000"/>
        </w:rPr>
        <w:t>e Surinam</w:t>
      </w:r>
      <w:r w:rsidR="00BA440B" w:rsidRPr="00BA440B">
        <w:rPr>
          <w:rFonts w:ascii="Arial" w:hAnsi="Arial" w:cs="Arial"/>
          <w:sz w:val="22"/>
          <w:szCs w:val="22"/>
          <w:u w:color="000000"/>
        </w:rPr>
        <w:t xml:space="preserve"> relativas a derecho de familia</w:t>
      </w:r>
      <w:r w:rsidR="00BA440B">
        <w:rPr>
          <w:rFonts w:ascii="Arial" w:hAnsi="Arial" w:cs="Arial"/>
          <w:sz w:val="22"/>
          <w:szCs w:val="22"/>
          <w:u w:color="000000"/>
        </w:rPr>
        <w:t xml:space="preserve"> no ten</w:t>
      </w:r>
      <w:r w:rsidR="00CD69B2">
        <w:rPr>
          <w:rFonts w:ascii="Arial" w:hAnsi="Arial" w:cs="Arial"/>
          <w:sz w:val="22"/>
          <w:szCs w:val="22"/>
          <w:u w:color="000000"/>
        </w:rPr>
        <w:t>ía</w:t>
      </w:r>
      <w:r w:rsidR="00BA440B">
        <w:rPr>
          <w:rFonts w:ascii="Arial" w:hAnsi="Arial" w:cs="Arial"/>
          <w:sz w:val="22"/>
          <w:szCs w:val="22"/>
          <w:u w:color="000000"/>
        </w:rPr>
        <w:t>n eficacia respecto a la</w:t>
      </w:r>
      <w:r w:rsidR="00BA440B" w:rsidRPr="00BA440B">
        <w:rPr>
          <w:rFonts w:ascii="Arial" w:hAnsi="Arial" w:cs="Arial"/>
          <w:sz w:val="22"/>
          <w:szCs w:val="22"/>
          <w:u w:color="000000"/>
        </w:rPr>
        <w:t xml:space="preserve"> tribu </w:t>
      </w:r>
      <w:proofErr w:type="spellStart"/>
      <w:r w:rsidR="00BA440B" w:rsidRPr="00BA440B">
        <w:rPr>
          <w:rFonts w:ascii="Arial" w:hAnsi="Arial" w:cs="Arial"/>
          <w:sz w:val="22"/>
          <w:szCs w:val="22"/>
          <w:u w:color="000000"/>
        </w:rPr>
        <w:t>Saramaca</w:t>
      </w:r>
      <w:proofErr w:type="spellEnd"/>
      <w:r w:rsidR="00661DF3">
        <w:rPr>
          <w:rStyle w:val="Refdenotaalpie"/>
          <w:rFonts w:ascii="Arial" w:hAnsi="Arial" w:cs="Arial"/>
          <w:sz w:val="22"/>
          <w:szCs w:val="22"/>
          <w:u w:color="000000"/>
        </w:rPr>
        <w:footnoteReference w:id="83"/>
      </w:r>
      <w:r w:rsidR="00723D41">
        <w:rPr>
          <w:rFonts w:ascii="Arial" w:hAnsi="Arial" w:cs="Arial"/>
          <w:sz w:val="22"/>
          <w:szCs w:val="22"/>
          <w:u w:color="000000"/>
        </w:rPr>
        <w:t>.</w:t>
      </w:r>
      <w:r>
        <w:rPr>
          <w:rFonts w:ascii="Arial" w:hAnsi="Arial" w:cs="Arial"/>
          <w:sz w:val="22"/>
          <w:szCs w:val="22"/>
          <w:u w:color="000000"/>
        </w:rPr>
        <w:t xml:space="preserve"> </w:t>
      </w:r>
      <w:r w:rsidR="00346296">
        <w:rPr>
          <w:rFonts w:ascii="Arial" w:hAnsi="Arial" w:cs="Arial"/>
          <w:sz w:val="22"/>
          <w:szCs w:val="22"/>
          <w:u w:color="000000"/>
        </w:rPr>
        <w:t xml:space="preserve">Por otro lado dada las circunstancias especiales de la tribu </w:t>
      </w:r>
      <w:proofErr w:type="spellStart"/>
      <w:r w:rsidR="00346296">
        <w:rPr>
          <w:rFonts w:ascii="Arial" w:hAnsi="Arial" w:cs="Arial"/>
          <w:sz w:val="22"/>
          <w:szCs w:val="22"/>
          <w:u w:color="000000"/>
        </w:rPr>
        <w:t>Saramaca</w:t>
      </w:r>
      <w:proofErr w:type="spellEnd"/>
      <w:r w:rsidR="00346296">
        <w:rPr>
          <w:rFonts w:ascii="Arial" w:hAnsi="Arial" w:cs="Arial"/>
          <w:sz w:val="22"/>
          <w:szCs w:val="22"/>
          <w:u w:color="000000"/>
        </w:rPr>
        <w:t>, u</w:t>
      </w:r>
      <w:r w:rsidR="00723D41">
        <w:rPr>
          <w:rFonts w:ascii="Arial" w:hAnsi="Arial" w:cs="Arial"/>
          <w:sz w:val="22"/>
          <w:szCs w:val="22"/>
          <w:u w:color="000000"/>
        </w:rPr>
        <w:t xml:space="preserve">na de las medidas </w:t>
      </w:r>
      <w:proofErr w:type="spellStart"/>
      <w:r w:rsidR="00723D41">
        <w:rPr>
          <w:rFonts w:ascii="Arial" w:hAnsi="Arial" w:cs="Arial"/>
          <w:sz w:val="22"/>
          <w:szCs w:val="22"/>
          <w:u w:color="000000"/>
        </w:rPr>
        <w:t>reparatorias</w:t>
      </w:r>
      <w:proofErr w:type="spellEnd"/>
      <w:r w:rsidR="00723D41">
        <w:rPr>
          <w:rFonts w:ascii="Arial" w:hAnsi="Arial" w:cs="Arial"/>
          <w:sz w:val="22"/>
          <w:szCs w:val="22"/>
          <w:u w:color="000000"/>
        </w:rPr>
        <w:t xml:space="preserve"> que la Corte </w:t>
      </w:r>
      <w:r w:rsidR="001C0011">
        <w:rPr>
          <w:rFonts w:ascii="Arial" w:hAnsi="Arial" w:cs="Arial"/>
          <w:sz w:val="22"/>
          <w:szCs w:val="22"/>
          <w:u w:color="000000"/>
        </w:rPr>
        <w:t xml:space="preserve">IDH </w:t>
      </w:r>
      <w:r w:rsidR="00723D41">
        <w:rPr>
          <w:rFonts w:ascii="Arial" w:hAnsi="Arial" w:cs="Arial"/>
          <w:sz w:val="22"/>
          <w:szCs w:val="22"/>
          <w:u w:color="000000"/>
        </w:rPr>
        <w:t xml:space="preserve">ordenó fue la obligación del Estado de </w:t>
      </w:r>
      <w:r w:rsidR="00346296">
        <w:rPr>
          <w:rFonts w:ascii="Arial" w:hAnsi="Arial" w:cs="Arial"/>
          <w:sz w:val="22"/>
          <w:szCs w:val="22"/>
          <w:u w:color="000000"/>
        </w:rPr>
        <w:t>Surinam</w:t>
      </w:r>
      <w:r w:rsidR="00723D41" w:rsidRPr="00723D41">
        <w:rPr>
          <w:rFonts w:ascii="Arial" w:hAnsi="Arial" w:cs="Arial"/>
          <w:sz w:val="22"/>
          <w:szCs w:val="22"/>
          <w:u w:color="000000"/>
        </w:rPr>
        <w:t xml:space="preserve"> </w:t>
      </w:r>
      <w:r w:rsidR="00723D41">
        <w:rPr>
          <w:rFonts w:ascii="Arial" w:hAnsi="Arial" w:cs="Arial"/>
          <w:sz w:val="22"/>
          <w:szCs w:val="22"/>
          <w:u w:color="000000"/>
        </w:rPr>
        <w:t>de</w:t>
      </w:r>
      <w:r w:rsidR="00723D41" w:rsidRPr="00723D41">
        <w:rPr>
          <w:rFonts w:ascii="Arial" w:hAnsi="Arial" w:cs="Arial"/>
          <w:sz w:val="22"/>
          <w:szCs w:val="22"/>
          <w:u w:color="000000"/>
        </w:rPr>
        <w:t xml:space="preserve"> reabrir la escuela de </w:t>
      </w:r>
      <w:proofErr w:type="spellStart"/>
      <w:r w:rsidR="00723D41" w:rsidRPr="00723D41">
        <w:rPr>
          <w:rFonts w:ascii="Arial" w:hAnsi="Arial" w:cs="Arial"/>
          <w:sz w:val="22"/>
          <w:szCs w:val="22"/>
          <w:u w:color="000000"/>
        </w:rPr>
        <w:t>Gujaba</w:t>
      </w:r>
      <w:proofErr w:type="spellEnd"/>
      <w:r w:rsidR="00723D41" w:rsidRPr="00723D41">
        <w:rPr>
          <w:rFonts w:ascii="Arial" w:hAnsi="Arial" w:cs="Arial"/>
          <w:sz w:val="22"/>
          <w:szCs w:val="22"/>
          <w:u w:color="000000"/>
        </w:rPr>
        <w:t xml:space="preserve"> y a dotarla de personal docente y administrativo para que funcione permanentemente a partir de </w:t>
      </w:r>
      <w:r w:rsidR="00723D41">
        <w:rPr>
          <w:rFonts w:ascii="Arial" w:hAnsi="Arial" w:cs="Arial"/>
          <w:sz w:val="22"/>
          <w:szCs w:val="22"/>
          <w:u w:color="000000"/>
        </w:rPr>
        <w:t>1994.</w:t>
      </w:r>
      <w:r w:rsidR="00723D41" w:rsidRPr="00723D41">
        <w:rPr>
          <w:rFonts w:ascii="Arial" w:hAnsi="Arial" w:cs="Arial"/>
          <w:sz w:val="22"/>
          <w:szCs w:val="22"/>
          <w:u w:color="000000"/>
        </w:rPr>
        <w:t xml:space="preserve"> Se</w:t>
      </w:r>
      <w:r w:rsidR="00723D41">
        <w:rPr>
          <w:rFonts w:ascii="Arial" w:hAnsi="Arial" w:cs="Arial"/>
          <w:sz w:val="22"/>
          <w:szCs w:val="22"/>
          <w:u w:color="000000"/>
        </w:rPr>
        <w:t xml:space="preserve"> ordenó también</w:t>
      </w:r>
      <w:r w:rsidR="00723D41" w:rsidRPr="00723D41">
        <w:rPr>
          <w:rFonts w:ascii="Arial" w:hAnsi="Arial" w:cs="Arial"/>
          <w:sz w:val="22"/>
          <w:szCs w:val="22"/>
          <w:u w:color="000000"/>
        </w:rPr>
        <w:t xml:space="preserve"> que el </w:t>
      </w:r>
      <w:r w:rsidR="00723D41">
        <w:rPr>
          <w:rFonts w:ascii="Arial" w:hAnsi="Arial" w:cs="Arial"/>
          <w:sz w:val="22"/>
          <w:szCs w:val="22"/>
          <w:u w:color="000000"/>
        </w:rPr>
        <w:t xml:space="preserve">dispensario </w:t>
      </w:r>
      <w:r w:rsidR="00723D41" w:rsidRPr="00723D41">
        <w:rPr>
          <w:rFonts w:ascii="Arial" w:hAnsi="Arial" w:cs="Arial"/>
          <w:sz w:val="22"/>
          <w:szCs w:val="22"/>
          <w:u w:color="000000"/>
        </w:rPr>
        <w:t>allí existente sea puesto en condiciones operativas y reabierto en el curso de ese año</w:t>
      </w:r>
      <w:r w:rsidR="00346296">
        <w:rPr>
          <w:rStyle w:val="Refdenotaalpie"/>
          <w:rFonts w:ascii="Arial" w:hAnsi="Arial" w:cs="Arial"/>
          <w:sz w:val="22"/>
          <w:szCs w:val="22"/>
          <w:u w:color="000000"/>
        </w:rPr>
        <w:footnoteReference w:id="84"/>
      </w:r>
      <w:r w:rsidR="00723D41">
        <w:rPr>
          <w:rFonts w:ascii="Arial" w:hAnsi="Arial" w:cs="Arial"/>
          <w:sz w:val="22"/>
          <w:szCs w:val="22"/>
          <w:u w:color="000000"/>
        </w:rPr>
        <w:t>.</w:t>
      </w:r>
    </w:p>
    <w:p w:rsidR="00346296" w:rsidRDefault="00346296" w:rsidP="00723D41">
      <w:pPr>
        <w:pStyle w:val="Body1"/>
        <w:spacing w:before="20" w:line="360" w:lineRule="auto"/>
        <w:jc w:val="both"/>
        <w:outlineLvl w:val="0"/>
        <w:rPr>
          <w:rFonts w:ascii="Arial" w:hAnsi="Arial" w:cs="Arial"/>
          <w:sz w:val="22"/>
          <w:szCs w:val="22"/>
          <w:u w:color="000000"/>
        </w:rPr>
      </w:pPr>
    </w:p>
    <w:p w:rsidR="00AD346E" w:rsidRPr="00D630EF" w:rsidRDefault="00346296"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En el caso anteriormente mencionado, la Corte tomando en cuenta las normas internacionales de protección a los derechos humanos y reparación de daños provocados por la violación de estos, recurrió a medidas </w:t>
      </w:r>
      <w:r w:rsidR="00AD346E" w:rsidRPr="00D630EF">
        <w:rPr>
          <w:rFonts w:ascii="Arial" w:hAnsi="Arial" w:cs="Arial"/>
          <w:sz w:val="22"/>
          <w:szCs w:val="22"/>
          <w:u w:color="000000"/>
        </w:rPr>
        <w:t>novedosa</w:t>
      </w:r>
      <w:r>
        <w:rPr>
          <w:rFonts w:ascii="Arial" w:hAnsi="Arial" w:cs="Arial"/>
          <w:sz w:val="22"/>
          <w:szCs w:val="22"/>
          <w:u w:color="000000"/>
        </w:rPr>
        <w:t>s</w:t>
      </w:r>
      <w:r w:rsidR="00AD346E" w:rsidRPr="00D630EF">
        <w:rPr>
          <w:rFonts w:ascii="Arial" w:hAnsi="Arial" w:cs="Arial"/>
          <w:sz w:val="22"/>
          <w:szCs w:val="22"/>
          <w:u w:color="000000"/>
        </w:rPr>
        <w:t xml:space="preserve">, </w:t>
      </w:r>
      <w:r>
        <w:rPr>
          <w:rFonts w:ascii="Arial" w:hAnsi="Arial" w:cs="Arial"/>
          <w:sz w:val="22"/>
          <w:szCs w:val="22"/>
          <w:u w:color="000000"/>
        </w:rPr>
        <w:t xml:space="preserve">fue importante que se considerase </w:t>
      </w:r>
      <w:r w:rsidR="00AD346E" w:rsidRPr="00D630EF">
        <w:rPr>
          <w:rFonts w:ascii="Arial" w:hAnsi="Arial" w:cs="Arial"/>
          <w:sz w:val="22"/>
          <w:szCs w:val="22"/>
          <w:u w:color="000000"/>
        </w:rPr>
        <w:t xml:space="preserve">la cultura de la tribu </w:t>
      </w:r>
      <w:proofErr w:type="spellStart"/>
      <w:r w:rsidR="00AD346E" w:rsidRPr="00D630EF">
        <w:rPr>
          <w:rFonts w:ascii="Arial" w:hAnsi="Arial" w:cs="Arial"/>
          <w:sz w:val="22"/>
          <w:szCs w:val="22"/>
          <w:u w:color="000000"/>
        </w:rPr>
        <w:t>Saramaca</w:t>
      </w:r>
      <w:proofErr w:type="spellEnd"/>
      <w:r w:rsidR="00AD346E" w:rsidRPr="00D630EF">
        <w:rPr>
          <w:rFonts w:ascii="Arial" w:hAnsi="Arial" w:cs="Arial"/>
          <w:sz w:val="22"/>
          <w:szCs w:val="22"/>
          <w:u w:color="000000"/>
        </w:rPr>
        <w:t xml:space="preserve">, </w:t>
      </w:r>
      <w:r>
        <w:rPr>
          <w:rFonts w:ascii="Arial" w:hAnsi="Arial" w:cs="Arial"/>
          <w:sz w:val="22"/>
          <w:szCs w:val="22"/>
          <w:u w:color="000000"/>
        </w:rPr>
        <w:t xml:space="preserve">y se atendiera a las condiciones de la tribu en cuento a </w:t>
      </w:r>
      <w:r w:rsidR="00AD346E" w:rsidRPr="00D630EF">
        <w:rPr>
          <w:rFonts w:ascii="Arial" w:hAnsi="Arial" w:cs="Arial"/>
          <w:sz w:val="22"/>
          <w:szCs w:val="22"/>
          <w:u w:color="000000"/>
        </w:rPr>
        <w:t xml:space="preserve">educación, </w:t>
      </w:r>
      <w:r>
        <w:rPr>
          <w:rFonts w:ascii="Arial" w:hAnsi="Arial" w:cs="Arial"/>
          <w:sz w:val="22"/>
          <w:szCs w:val="22"/>
          <w:u w:color="000000"/>
        </w:rPr>
        <w:t>salud y condiciones materiales</w:t>
      </w:r>
      <w:r w:rsidR="00AD346E" w:rsidRPr="00D630EF">
        <w:rPr>
          <w:rFonts w:ascii="Arial" w:hAnsi="Arial" w:cs="Arial"/>
          <w:sz w:val="22"/>
          <w:szCs w:val="22"/>
          <w:u w:color="000000"/>
        </w:rPr>
        <w:t xml:space="preserve"> de vida, </w:t>
      </w:r>
      <w:r>
        <w:rPr>
          <w:rFonts w:ascii="Arial" w:hAnsi="Arial" w:cs="Arial"/>
          <w:sz w:val="22"/>
          <w:szCs w:val="22"/>
          <w:u w:color="000000"/>
        </w:rPr>
        <w:t xml:space="preserve">además de la forma de organización social. </w:t>
      </w:r>
      <w:r w:rsidR="00BD75A6">
        <w:rPr>
          <w:rFonts w:ascii="Arial" w:hAnsi="Arial" w:cs="Arial"/>
          <w:sz w:val="22"/>
          <w:szCs w:val="22"/>
          <w:u w:color="000000"/>
        </w:rPr>
        <w:t>En base a este caso, e</w:t>
      </w:r>
      <w:r>
        <w:rPr>
          <w:rFonts w:ascii="Arial" w:hAnsi="Arial" w:cs="Arial"/>
          <w:sz w:val="22"/>
          <w:szCs w:val="22"/>
          <w:u w:color="000000"/>
        </w:rPr>
        <w:t>s necesario que se reflexione sobre qué es lo reparable en cada</w:t>
      </w:r>
      <w:r w:rsidR="00AD346E" w:rsidRPr="00D630EF">
        <w:rPr>
          <w:rFonts w:ascii="Arial" w:hAnsi="Arial" w:cs="Arial"/>
          <w:sz w:val="22"/>
          <w:szCs w:val="22"/>
          <w:u w:color="000000"/>
        </w:rPr>
        <w:t xml:space="preserve"> caso específico</w:t>
      </w:r>
      <w:r w:rsidR="00BD75A6">
        <w:rPr>
          <w:rFonts w:ascii="Arial" w:hAnsi="Arial" w:cs="Arial"/>
          <w:sz w:val="22"/>
          <w:szCs w:val="22"/>
          <w:u w:color="000000"/>
        </w:rPr>
        <w:t xml:space="preserve"> conocido por la Comisión y la Corte</w:t>
      </w:r>
      <w:r w:rsidR="001C0011">
        <w:rPr>
          <w:rFonts w:ascii="Arial" w:hAnsi="Arial" w:cs="Arial"/>
          <w:sz w:val="22"/>
          <w:szCs w:val="22"/>
          <w:u w:color="000000"/>
        </w:rPr>
        <w:t xml:space="preserve"> IDH</w:t>
      </w:r>
      <w:r w:rsidR="00AD346E" w:rsidRPr="00D630EF">
        <w:rPr>
          <w:rFonts w:ascii="Arial" w:hAnsi="Arial" w:cs="Arial"/>
          <w:sz w:val="22"/>
          <w:szCs w:val="22"/>
          <w:u w:color="000000"/>
        </w:rPr>
        <w:t xml:space="preserve">, </w:t>
      </w:r>
      <w:r>
        <w:rPr>
          <w:rFonts w:ascii="Arial" w:hAnsi="Arial" w:cs="Arial"/>
          <w:sz w:val="22"/>
          <w:szCs w:val="22"/>
          <w:u w:color="000000"/>
        </w:rPr>
        <w:t xml:space="preserve">y que </w:t>
      </w:r>
      <w:r w:rsidR="00AD346E" w:rsidRPr="00D630EF">
        <w:rPr>
          <w:rFonts w:ascii="Arial" w:hAnsi="Arial" w:cs="Arial"/>
          <w:sz w:val="22"/>
          <w:szCs w:val="22"/>
          <w:u w:color="000000"/>
        </w:rPr>
        <w:t xml:space="preserve">lo que es </w:t>
      </w:r>
      <w:proofErr w:type="spellStart"/>
      <w:r w:rsidR="00AD346E" w:rsidRPr="00D630EF">
        <w:rPr>
          <w:rFonts w:ascii="Arial" w:hAnsi="Arial" w:cs="Arial"/>
          <w:sz w:val="22"/>
          <w:szCs w:val="22"/>
          <w:u w:color="000000"/>
        </w:rPr>
        <w:t>reparatorio</w:t>
      </w:r>
      <w:proofErr w:type="spellEnd"/>
      <w:r w:rsidR="00AD346E" w:rsidRPr="00D630EF">
        <w:rPr>
          <w:rFonts w:ascii="Arial" w:hAnsi="Arial" w:cs="Arial"/>
          <w:sz w:val="22"/>
          <w:szCs w:val="22"/>
          <w:u w:color="000000"/>
        </w:rPr>
        <w:t xml:space="preserve"> para un caso, no lo es para otros.</w:t>
      </w:r>
      <w:r w:rsidR="00EE3D4C">
        <w:rPr>
          <w:rFonts w:ascii="Arial" w:hAnsi="Arial" w:cs="Arial"/>
          <w:sz w:val="22"/>
          <w:szCs w:val="22"/>
          <w:u w:color="000000"/>
        </w:rPr>
        <w:t xml:space="preserve"> Cabe recalcar que la medida de reparación en el caso </w:t>
      </w:r>
      <w:proofErr w:type="spellStart"/>
      <w:r w:rsidR="00EE3D4C">
        <w:rPr>
          <w:rFonts w:ascii="Arial" w:hAnsi="Arial" w:cs="Arial"/>
          <w:sz w:val="22"/>
          <w:szCs w:val="22"/>
          <w:u w:color="000000"/>
        </w:rPr>
        <w:t>Aloeboetoe</w:t>
      </w:r>
      <w:proofErr w:type="spellEnd"/>
      <w:r w:rsidR="00EE3D4C">
        <w:rPr>
          <w:rFonts w:ascii="Arial" w:hAnsi="Arial" w:cs="Arial"/>
          <w:sz w:val="22"/>
          <w:szCs w:val="22"/>
          <w:u w:color="000000"/>
        </w:rPr>
        <w:t xml:space="preserve"> sobre la reapertura de la escuela y del dispensario </w:t>
      </w:r>
      <w:r w:rsidR="00EE3D4C">
        <w:rPr>
          <w:rFonts w:ascii="Arial" w:hAnsi="Arial" w:cs="Arial"/>
          <w:sz w:val="22"/>
          <w:szCs w:val="22"/>
          <w:u w:color="000000"/>
        </w:rPr>
        <w:lastRenderedPageBreak/>
        <w:t>médico se extiende a la comunidad, lo que garantiza en cierto modo la protección de los derechos a la educación y la salud.</w:t>
      </w:r>
    </w:p>
    <w:p w:rsidR="00AD346E" w:rsidRDefault="00AD346E" w:rsidP="00D630EF">
      <w:pPr>
        <w:pStyle w:val="Body1"/>
        <w:spacing w:before="20" w:line="360" w:lineRule="auto"/>
        <w:outlineLvl w:val="0"/>
        <w:rPr>
          <w:rFonts w:ascii="Arial" w:hAnsi="Arial" w:cs="Arial"/>
          <w:sz w:val="22"/>
          <w:szCs w:val="22"/>
          <w:u w:color="000000"/>
        </w:rPr>
      </w:pPr>
      <w:r w:rsidRPr="00D630EF">
        <w:rPr>
          <w:rFonts w:ascii="Arial" w:hAnsi="Arial" w:cs="Arial"/>
          <w:sz w:val="22"/>
          <w:szCs w:val="22"/>
          <w:u w:color="000000"/>
        </w:rPr>
        <w:t xml:space="preserve">            </w:t>
      </w:r>
    </w:p>
    <w:p w:rsidR="00EE3D4C" w:rsidRDefault="00F45EB1"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 Corte IDH ha adoptado también el texto sobre reparaciones aprobado por la Asamblea General de las Naciones Unidas, denominado </w:t>
      </w:r>
      <w:r w:rsidRPr="00F45EB1">
        <w:rPr>
          <w:rFonts w:ascii="Arial" w:hAnsi="Arial" w:cs="Arial"/>
          <w:sz w:val="22"/>
          <w:szCs w:val="22"/>
          <w:u w:color="000000"/>
        </w:rPr>
        <w:t>Principios y directrices básicos sobre el derecho de las víctimas de violaciones manifiestas de las normas internacionales de derechos humanos y de violaciones graves del derecho internacional humanitario a interponer recursos y obtener reparaciones</w:t>
      </w:r>
      <w:r>
        <w:rPr>
          <w:rFonts w:ascii="Arial" w:hAnsi="Arial" w:cs="Arial"/>
          <w:sz w:val="22"/>
          <w:szCs w:val="22"/>
          <w:u w:color="000000"/>
        </w:rPr>
        <w:t>. En este documento, en los principios del 19 al 23, se establece que una reparación plena y efectiva debe incluir las siguientes formas de reparación: r</w:t>
      </w:r>
      <w:r w:rsidRPr="00F45EB1">
        <w:rPr>
          <w:rFonts w:ascii="Arial" w:hAnsi="Arial" w:cs="Arial"/>
          <w:sz w:val="22"/>
          <w:szCs w:val="22"/>
          <w:u w:color="000000"/>
        </w:rPr>
        <w:t>estitución, indemnización, rehabilitación, satisfacción y garantías de no repetición</w:t>
      </w:r>
      <w:r>
        <w:rPr>
          <w:rStyle w:val="Refdenotaalpie"/>
          <w:rFonts w:ascii="Arial" w:hAnsi="Arial" w:cs="Arial"/>
          <w:sz w:val="22"/>
          <w:szCs w:val="22"/>
          <w:u w:color="000000"/>
        </w:rPr>
        <w:footnoteReference w:id="85"/>
      </w:r>
      <w:r w:rsidR="00A01934">
        <w:rPr>
          <w:rFonts w:ascii="Arial" w:hAnsi="Arial" w:cs="Arial"/>
          <w:sz w:val="22"/>
          <w:szCs w:val="22"/>
          <w:u w:color="000000"/>
        </w:rPr>
        <w:t>.</w:t>
      </w:r>
    </w:p>
    <w:p w:rsidR="00FF3725" w:rsidRPr="00D630EF" w:rsidRDefault="00FF3725" w:rsidP="00D630EF">
      <w:pPr>
        <w:pStyle w:val="Body1"/>
        <w:spacing w:before="20" w:line="360" w:lineRule="auto"/>
        <w:outlineLvl w:val="0"/>
        <w:rPr>
          <w:rFonts w:ascii="Arial" w:hAnsi="Arial" w:cs="Arial"/>
          <w:sz w:val="22"/>
          <w:szCs w:val="22"/>
          <w:u w:color="000000"/>
        </w:rPr>
      </w:pPr>
    </w:p>
    <w:p w:rsidR="00AD346E" w:rsidRPr="00705EB3" w:rsidRDefault="00256EF9" w:rsidP="00B656C2">
      <w:pPr>
        <w:pStyle w:val="Body1"/>
        <w:numPr>
          <w:ilvl w:val="2"/>
          <w:numId w:val="7"/>
        </w:numPr>
        <w:spacing w:before="20" w:line="360" w:lineRule="auto"/>
        <w:outlineLvl w:val="2"/>
        <w:rPr>
          <w:rFonts w:ascii="Arial" w:hAnsi="Arial" w:cs="Arial"/>
          <w:b/>
          <w:sz w:val="22"/>
          <w:szCs w:val="22"/>
          <w:u w:color="000000"/>
        </w:rPr>
      </w:pPr>
      <w:bookmarkStart w:id="14" w:name="_Toc356432251"/>
      <w:r>
        <w:rPr>
          <w:rFonts w:ascii="Arial" w:hAnsi="Arial" w:cs="Arial"/>
          <w:b/>
          <w:sz w:val="22"/>
          <w:szCs w:val="22"/>
          <w:u w:color="000000"/>
        </w:rPr>
        <w:t>R</w:t>
      </w:r>
      <w:r w:rsidRPr="00705EB3">
        <w:rPr>
          <w:rFonts w:ascii="Arial" w:hAnsi="Arial" w:cs="Arial"/>
          <w:b/>
          <w:sz w:val="22"/>
          <w:szCs w:val="22"/>
          <w:u w:color="000000"/>
        </w:rPr>
        <w:t>estitución e indemnización</w:t>
      </w:r>
      <w:bookmarkEnd w:id="14"/>
      <w:r w:rsidRPr="00705EB3">
        <w:rPr>
          <w:rFonts w:ascii="Arial" w:hAnsi="Arial" w:cs="Arial"/>
          <w:b/>
          <w:sz w:val="22"/>
          <w:szCs w:val="22"/>
          <w:u w:color="000000"/>
        </w:rPr>
        <w:t xml:space="preserve"> </w:t>
      </w:r>
    </w:p>
    <w:p w:rsidR="00FA4C53" w:rsidRDefault="00FA4C53" w:rsidP="00FA4C53">
      <w:pPr>
        <w:pStyle w:val="Body1"/>
        <w:spacing w:before="20" w:line="360" w:lineRule="auto"/>
        <w:jc w:val="both"/>
        <w:outlineLvl w:val="0"/>
        <w:rPr>
          <w:rFonts w:ascii="Arial" w:hAnsi="Arial" w:cs="Arial"/>
          <w:sz w:val="22"/>
          <w:szCs w:val="22"/>
          <w:u w:color="000000"/>
        </w:rPr>
      </w:pPr>
    </w:p>
    <w:p w:rsidR="00FA4C53" w:rsidRPr="00256EF9" w:rsidRDefault="00F45EB1" w:rsidP="00B656C2">
      <w:pPr>
        <w:pStyle w:val="Body1"/>
        <w:numPr>
          <w:ilvl w:val="3"/>
          <w:numId w:val="7"/>
        </w:numPr>
        <w:spacing w:before="20" w:line="360" w:lineRule="auto"/>
        <w:jc w:val="both"/>
        <w:outlineLvl w:val="3"/>
        <w:rPr>
          <w:rFonts w:ascii="Arial" w:hAnsi="Arial" w:cs="Arial"/>
          <w:i/>
          <w:sz w:val="22"/>
          <w:szCs w:val="22"/>
          <w:u w:color="000000"/>
        </w:rPr>
      </w:pPr>
      <w:r w:rsidRPr="00256EF9">
        <w:rPr>
          <w:rFonts w:ascii="Arial" w:hAnsi="Arial" w:cs="Arial"/>
          <w:i/>
          <w:sz w:val="22"/>
          <w:szCs w:val="22"/>
          <w:u w:color="000000"/>
        </w:rPr>
        <w:t>Restitución</w:t>
      </w:r>
    </w:p>
    <w:p w:rsidR="00FA4C53" w:rsidRDefault="00FA4C53" w:rsidP="00FA4C53">
      <w:pPr>
        <w:pStyle w:val="Body1"/>
        <w:spacing w:before="20" w:line="360" w:lineRule="auto"/>
        <w:jc w:val="both"/>
        <w:outlineLvl w:val="0"/>
        <w:rPr>
          <w:rFonts w:ascii="Arial" w:hAnsi="Arial" w:cs="Arial"/>
          <w:sz w:val="22"/>
          <w:szCs w:val="22"/>
          <w:u w:color="000000"/>
        </w:rPr>
      </w:pPr>
    </w:p>
    <w:p w:rsidR="00F45EB1" w:rsidRDefault="00F45EB1" w:rsidP="00705EB3">
      <w:pPr>
        <w:pStyle w:val="Body1"/>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La restitución </w:t>
      </w:r>
      <w:r w:rsidR="00547DEC">
        <w:rPr>
          <w:rFonts w:ascii="Arial" w:hAnsi="Arial" w:cs="Arial"/>
          <w:sz w:val="22"/>
          <w:szCs w:val="22"/>
          <w:u w:color="000000"/>
        </w:rPr>
        <w:t xml:space="preserve">es una medida que </w:t>
      </w:r>
      <w:r w:rsidRPr="00D630EF">
        <w:rPr>
          <w:rFonts w:ascii="Arial" w:hAnsi="Arial" w:cs="Arial"/>
          <w:sz w:val="22"/>
          <w:szCs w:val="22"/>
          <w:u w:color="000000"/>
        </w:rPr>
        <w:t xml:space="preserve">pretende dejar a la víctima en la misma situación en la que se encontraba antes de la comisión del delito. Los </w:t>
      </w:r>
      <w:r w:rsidR="00A01934">
        <w:rPr>
          <w:rFonts w:ascii="Arial" w:hAnsi="Arial" w:cs="Arial"/>
          <w:sz w:val="22"/>
          <w:szCs w:val="22"/>
          <w:u w:color="000000"/>
        </w:rPr>
        <w:t>principios y d</w:t>
      </w:r>
      <w:r w:rsidRPr="00FA4C53">
        <w:rPr>
          <w:rFonts w:ascii="Arial" w:hAnsi="Arial" w:cs="Arial"/>
          <w:sz w:val="22"/>
          <w:szCs w:val="22"/>
          <w:u w:color="000000"/>
        </w:rPr>
        <w:t>irectrices básicos sobre el derecho de las víctimas de violaciones a las normas intern</w:t>
      </w:r>
      <w:r w:rsidR="00A01934">
        <w:rPr>
          <w:rFonts w:ascii="Arial" w:hAnsi="Arial" w:cs="Arial"/>
          <w:sz w:val="22"/>
          <w:szCs w:val="22"/>
          <w:u w:color="000000"/>
        </w:rPr>
        <w:t>acionales de derechos humanos y de violaciones graves del derecho internacional humanitario a interponer recursos y obtener reparaciones</w:t>
      </w:r>
      <w:r w:rsidR="00FA4C53" w:rsidRPr="00FA4C53">
        <w:rPr>
          <w:rFonts w:ascii="Arial" w:hAnsi="Arial" w:cs="Arial"/>
          <w:sz w:val="22"/>
          <w:szCs w:val="22"/>
          <w:u w:color="000000"/>
        </w:rPr>
        <w:t xml:space="preserve">, </w:t>
      </w:r>
      <w:r w:rsidRPr="00FA4C53">
        <w:rPr>
          <w:rFonts w:ascii="Arial" w:hAnsi="Arial" w:cs="Arial"/>
          <w:sz w:val="22"/>
          <w:szCs w:val="22"/>
          <w:u w:color="000000"/>
        </w:rPr>
        <w:t>e</w:t>
      </w:r>
      <w:r w:rsidRPr="00D630EF">
        <w:rPr>
          <w:rFonts w:ascii="Arial" w:hAnsi="Arial" w:cs="Arial"/>
          <w:sz w:val="22"/>
          <w:szCs w:val="22"/>
          <w:u w:color="000000"/>
        </w:rPr>
        <w:t>stablecen que la restitución</w:t>
      </w:r>
      <w:r w:rsidR="00FA4C53">
        <w:rPr>
          <w:rFonts w:ascii="Arial" w:hAnsi="Arial" w:cs="Arial"/>
          <w:sz w:val="22"/>
          <w:szCs w:val="22"/>
          <w:u w:color="000000"/>
        </w:rPr>
        <w:t>,</w:t>
      </w:r>
      <w:r w:rsidRPr="00D630EF">
        <w:rPr>
          <w:rFonts w:ascii="Arial" w:hAnsi="Arial" w:cs="Arial"/>
          <w:sz w:val="22"/>
          <w:szCs w:val="22"/>
          <w:u w:color="000000"/>
        </w:rPr>
        <w:t xml:space="preserve"> en la medida de lo posible</w:t>
      </w:r>
      <w:r w:rsidR="00FA4C53">
        <w:rPr>
          <w:rFonts w:ascii="Arial" w:hAnsi="Arial" w:cs="Arial"/>
          <w:sz w:val="22"/>
          <w:szCs w:val="22"/>
          <w:u w:color="000000"/>
        </w:rPr>
        <w:t>,</w:t>
      </w:r>
      <w:r w:rsidRPr="00D630EF">
        <w:rPr>
          <w:rFonts w:ascii="Arial" w:hAnsi="Arial" w:cs="Arial"/>
          <w:sz w:val="22"/>
          <w:szCs w:val="22"/>
          <w:u w:color="000000"/>
        </w:rPr>
        <w:t xml:space="preserve"> debería devolver a la víctima a la situación anterior a la violación de las normas internaciones de derechos humanos. Comprende el restablecimiento de la libertad, los derechos, la situación social, la vida familiar y la ciudadanía de la víctima, el retorno a su lugar de residencia, la reintegración en su empleo y l</w:t>
      </w:r>
      <w:r w:rsidR="00A01934">
        <w:rPr>
          <w:rFonts w:ascii="Arial" w:hAnsi="Arial" w:cs="Arial"/>
          <w:sz w:val="22"/>
          <w:szCs w:val="22"/>
          <w:u w:color="000000"/>
        </w:rPr>
        <w:t>a devolución de sus propiedades</w:t>
      </w:r>
      <w:r w:rsidRPr="00D630EF">
        <w:rPr>
          <w:rFonts w:ascii="Arial" w:hAnsi="Arial" w:cs="Arial"/>
          <w:sz w:val="22"/>
          <w:szCs w:val="22"/>
          <w:u w:color="000000"/>
          <w:vertAlign w:val="superscript"/>
        </w:rPr>
        <w:footnoteReference w:id="86"/>
      </w:r>
      <w:r w:rsidR="00A01934">
        <w:rPr>
          <w:rFonts w:ascii="Arial" w:hAnsi="Arial" w:cs="Arial"/>
          <w:sz w:val="22"/>
          <w:szCs w:val="22"/>
          <w:u w:color="000000"/>
        </w:rPr>
        <w:t>.</w:t>
      </w:r>
    </w:p>
    <w:p w:rsidR="00FA4C53" w:rsidRDefault="00FA4C53" w:rsidP="00FA4C53">
      <w:pPr>
        <w:pStyle w:val="Body1"/>
        <w:spacing w:before="20" w:line="360" w:lineRule="auto"/>
        <w:jc w:val="both"/>
        <w:outlineLvl w:val="0"/>
        <w:rPr>
          <w:rFonts w:ascii="Arial" w:hAnsi="Arial" w:cs="Arial"/>
          <w:sz w:val="22"/>
          <w:szCs w:val="22"/>
          <w:u w:color="000000"/>
        </w:rPr>
      </w:pPr>
    </w:p>
    <w:p w:rsidR="002C3C1A" w:rsidRDefault="00FA4C53"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Si bien la restitución no se puede aplicar de forma directa en los casos donde las víctimas han sido asesinadas o desaparecidas, </w:t>
      </w:r>
      <w:r w:rsidR="00D815C2">
        <w:rPr>
          <w:rFonts w:ascii="Arial" w:hAnsi="Arial" w:cs="Arial"/>
          <w:sz w:val="22"/>
          <w:szCs w:val="22"/>
          <w:u w:color="000000"/>
        </w:rPr>
        <w:t>es importante para dete</w:t>
      </w:r>
      <w:r w:rsidR="00E272A6">
        <w:rPr>
          <w:rFonts w:ascii="Arial" w:hAnsi="Arial" w:cs="Arial"/>
          <w:sz w:val="22"/>
          <w:szCs w:val="22"/>
          <w:u w:color="000000"/>
        </w:rPr>
        <w:t>rminar las carencias que sufre</w:t>
      </w:r>
      <w:r w:rsidR="00D815C2">
        <w:rPr>
          <w:rFonts w:ascii="Arial" w:hAnsi="Arial" w:cs="Arial"/>
          <w:sz w:val="22"/>
          <w:szCs w:val="22"/>
          <w:u w:color="000000"/>
        </w:rPr>
        <w:t>n sus familiares con su pérdida</w:t>
      </w:r>
      <w:r w:rsidR="00CD69B2">
        <w:rPr>
          <w:rFonts w:ascii="Arial" w:hAnsi="Arial" w:cs="Arial"/>
          <w:sz w:val="22"/>
          <w:szCs w:val="22"/>
          <w:u w:color="000000"/>
        </w:rPr>
        <w:t>, y</w:t>
      </w:r>
      <w:r w:rsidR="00C01B48">
        <w:rPr>
          <w:rFonts w:ascii="Arial" w:hAnsi="Arial" w:cs="Arial"/>
          <w:sz w:val="22"/>
          <w:szCs w:val="22"/>
          <w:u w:color="000000"/>
        </w:rPr>
        <w:t xml:space="preserve"> </w:t>
      </w:r>
      <w:r w:rsidR="00CD69B2">
        <w:rPr>
          <w:rFonts w:ascii="Arial" w:hAnsi="Arial" w:cs="Arial"/>
          <w:sz w:val="22"/>
          <w:szCs w:val="22"/>
          <w:u w:color="000000"/>
        </w:rPr>
        <w:t xml:space="preserve">a </w:t>
      </w:r>
      <w:r w:rsidR="00C01B48">
        <w:rPr>
          <w:rFonts w:ascii="Arial" w:hAnsi="Arial" w:cs="Arial"/>
          <w:sz w:val="22"/>
          <w:szCs w:val="22"/>
          <w:u w:color="000000"/>
        </w:rPr>
        <w:t xml:space="preserve">partir de ello se puede establecer las medidas de reparación correspondientes. </w:t>
      </w:r>
      <w:r w:rsidR="00D815C2">
        <w:rPr>
          <w:rFonts w:ascii="Arial" w:hAnsi="Arial" w:cs="Arial"/>
          <w:sz w:val="22"/>
          <w:szCs w:val="22"/>
          <w:u w:color="000000"/>
        </w:rPr>
        <w:t xml:space="preserve"> </w:t>
      </w:r>
    </w:p>
    <w:p w:rsidR="002C3C1A" w:rsidRDefault="002C3C1A" w:rsidP="002C3C1A">
      <w:pPr>
        <w:pStyle w:val="Body1"/>
        <w:spacing w:before="20" w:line="360" w:lineRule="auto"/>
        <w:jc w:val="both"/>
        <w:outlineLvl w:val="0"/>
        <w:rPr>
          <w:rFonts w:ascii="Arial" w:hAnsi="Arial" w:cs="Arial"/>
          <w:sz w:val="22"/>
          <w:szCs w:val="22"/>
          <w:u w:color="000000"/>
        </w:rPr>
      </w:pPr>
    </w:p>
    <w:p w:rsidR="002C3C1A" w:rsidRDefault="002C3C1A"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lastRenderedPageBreak/>
        <w:t xml:space="preserve">La Corte IDH se ha expresado respecto a la restitución en los siguientes términos, en el caso </w:t>
      </w:r>
      <w:proofErr w:type="spellStart"/>
      <w:r>
        <w:rPr>
          <w:rFonts w:ascii="Arial" w:hAnsi="Arial" w:cs="Arial"/>
          <w:sz w:val="22"/>
          <w:szCs w:val="22"/>
          <w:u w:color="000000"/>
        </w:rPr>
        <w:t>Fornerón</w:t>
      </w:r>
      <w:proofErr w:type="spellEnd"/>
      <w:r>
        <w:rPr>
          <w:rFonts w:ascii="Arial" w:hAnsi="Arial" w:cs="Arial"/>
          <w:sz w:val="22"/>
          <w:szCs w:val="22"/>
          <w:u w:color="000000"/>
        </w:rPr>
        <w:t xml:space="preserve"> e hija v</w:t>
      </w:r>
      <w:r w:rsidRPr="002C3C1A">
        <w:rPr>
          <w:rFonts w:ascii="Arial" w:hAnsi="Arial" w:cs="Arial"/>
          <w:sz w:val="22"/>
          <w:szCs w:val="22"/>
          <w:u w:color="000000"/>
        </w:rPr>
        <w:t>s. Argentina</w:t>
      </w:r>
      <w:r>
        <w:rPr>
          <w:rFonts w:ascii="Arial" w:hAnsi="Arial" w:cs="Arial"/>
          <w:sz w:val="22"/>
          <w:szCs w:val="22"/>
          <w:u w:color="000000"/>
        </w:rPr>
        <w:t xml:space="preserve"> señala:</w:t>
      </w:r>
      <w:r w:rsidRPr="002C3C1A">
        <w:rPr>
          <w:rFonts w:ascii="Arial" w:hAnsi="Arial" w:cs="Arial"/>
          <w:sz w:val="22"/>
          <w:szCs w:val="22"/>
          <w:u w:color="000000"/>
        </w:rPr>
        <w:t xml:space="preserve"> </w:t>
      </w:r>
    </w:p>
    <w:p w:rsidR="00CB1790" w:rsidRDefault="00CB1790" w:rsidP="002C3C1A">
      <w:pPr>
        <w:pStyle w:val="Body1"/>
        <w:spacing w:before="20" w:line="360" w:lineRule="auto"/>
        <w:jc w:val="both"/>
        <w:outlineLvl w:val="0"/>
        <w:rPr>
          <w:rFonts w:ascii="Arial" w:hAnsi="Arial" w:cs="Arial"/>
          <w:sz w:val="22"/>
          <w:szCs w:val="22"/>
          <w:u w:color="000000"/>
        </w:rPr>
      </w:pPr>
    </w:p>
    <w:p w:rsidR="00FA4C53" w:rsidRPr="00225803" w:rsidRDefault="00225803" w:rsidP="002B0DA7">
      <w:pPr>
        <w:pStyle w:val="Body1"/>
        <w:spacing w:before="20" w:line="276" w:lineRule="auto"/>
        <w:ind w:left="720"/>
        <w:jc w:val="both"/>
        <w:outlineLvl w:val="0"/>
        <w:rPr>
          <w:rFonts w:ascii="Arial" w:hAnsi="Arial" w:cs="Arial"/>
          <w:sz w:val="20"/>
          <w:u w:color="000000"/>
        </w:rPr>
      </w:pPr>
      <w:r w:rsidRPr="00225803">
        <w:rPr>
          <w:rFonts w:ascii="Arial" w:hAnsi="Arial" w:cs="Arial"/>
          <w:sz w:val="20"/>
          <w:u w:color="000000"/>
        </w:rPr>
        <w:t>(</w:t>
      </w:r>
      <w:r w:rsidR="002C3C1A" w:rsidRPr="00225803">
        <w:rPr>
          <w:rFonts w:ascii="Arial" w:hAnsi="Arial" w:cs="Arial"/>
          <w:sz w:val="20"/>
          <w:u w:color="000000"/>
        </w:rPr>
        <w:t>…</w:t>
      </w:r>
      <w:r w:rsidRPr="00225803">
        <w:rPr>
          <w:rFonts w:ascii="Arial" w:hAnsi="Arial" w:cs="Arial"/>
          <w:sz w:val="20"/>
          <w:u w:color="000000"/>
        </w:rPr>
        <w:t>)</w:t>
      </w:r>
      <w:r w:rsidR="00CD69B2">
        <w:rPr>
          <w:rFonts w:ascii="Arial" w:hAnsi="Arial" w:cs="Arial"/>
          <w:sz w:val="20"/>
          <w:u w:color="000000"/>
        </w:rPr>
        <w:t xml:space="preserve"> </w:t>
      </w:r>
      <w:r w:rsidR="002C3C1A" w:rsidRPr="00225803">
        <w:rPr>
          <w:rFonts w:ascii="Arial" w:hAnsi="Arial" w:cs="Arial"/>
          <w:sz w:val="20"/>
          <w:u w:color="000000"/>
        </w:rPr>
        <w:t>la reparación del daño ocasionado por la infracción de la obligación internacional requiere, siempre que sea posible, la plena restitución (</w:t>
      </w:r>
      <w:proofErr w:type="spellStart"/>
      <w:r w:rsidR="002C3C1A" w:rsidRPr="00225803">
        <w:rPr>
          <w:rFonts w:ascii="Arial" w:hAnsi="Arial" w:cs="Arial"/>
          <w:sz w:val="20"/>
          <w:u w:color="000000"/>
        </w:rPr>
        <w:t>restitutio</w:t>
      </w:r>
      <w:proofErr w:type="spellEnd"/>
      <w:r w:rsidR="002C3C1A" w:rsidRPr="00225803">
        <w:rPr>
          <w:rFonts w:ascii="Arial" w:hAnsi="Arial" w:cs="Arial"/>
          <w:sz w:val="20"/>
          <w:u w:color="000000"/>
        </w:rPr>
        <w:t xml:space="preserve"> in </w:t>
      </w:r>
      <w:proofErr w:type="spellStart"/>
      <w:r w:rsidR="002C3C1A" w:rsidRPr="00225803">
        <w:rPr>
          <w:rFonts w:ascii="Arial" w:hAnsi="Arial" w:cs="Arial"/>
          <w:sz w:val="20"/>
          <w:u w:color="000000"/>
        </w:rPr>
        <w:t>integrum</w:t>
      </w:r>
      <w:proofErr w:type="spellEnd"/>
      <w:r w:rsidR="002C3C1A" w:rsidRPr="00225803">
        <w:rPr>
          <w:rFonts w:ascii="Arial" w:hAnsi="Arial" w:cs="Arial"/>
          <w:sz w:val="20"/>
          <w:u w:color="000000"/>
        </w:rPr>
        <w:t>), que consiste en el restablecimiento de la situación anterior. De no ser esto factible, como ocurre en numerosos casos de violaciones a derechos humanos, el Tribunal determinará medidas para garantizar los derechos conculcados y reparar las consecuencias que las infracciones produjeron</w:t>
      </w:r>
      <w:r w:rsidR="00CD69B2">
        <w:rPr>
          <w:rFonts w:ascii="Arial" w:hAnsi="Arial" w:cs="Arial"/>
          <w:sz w:val="20"/>
          <w:u w:color="000000"/>
        </w:rPr>
        <w:t xml:space="preserve"> </w:t>
      </w:r>
      <w:r w:rsidRPr="00225803">
        <w:rPr>
          <w:rFonts w:ascii="Arial" w:hAnsi="Arial" w:cs="Arial"/>
          <w:sz w:val="20"/>
          <w:u w:color="000000"/>
        </w:rPr>
        <w:t>(</w:t>
      </w:r>
      <w:r w:rsidR="002C3C1A" w:rsidRPr="00225803">
        <w:rPr>
          <w:rFonts w:ascii="Arial" w:hAnsi="Arial" w:cs="Arial"/>
          <w:sz w:val="20"/>
          <w:u w:color="000000"/>
        </w:rPr>
        <w:t>…</w:t>
      </w:r>
      <w:r w:rsidRPr="00225803">
        <w:rPr>
          <w:rFonts w:ascii="Arial" w:hAnsi="Arial" w:cs="Arial"/>
          <w:sz w:val="20"/>
          <w:u w:color="000000"/>
        </w:rPr>
        <w:t>)</w:t>
      </w:r>
      <w:r w:rsidRPr="00225803">
        <w:rPr>
          <w:rStyle w:val="Refdenotaalpie"/>
          <w:rFonts w:ascii="Arial" w:hAnsi="Arial" w:cs="Arial"/>
          <w:sz w:val="20"/>
          <w:u w:color="000000"/>
        </w:rPr>
        <w:footnoteReference w:id="87"/>
      </w:r>
      <w:r w:rsidR="00A01934">
        <w:rPr>
          <w:rFonts w:ascii="Arial" w:hAnsi="Arial" w:cs="Arial"/>
          <w:sz w:val="20"/>
          <w:u w:color="000000"/>
        </w:rPr>
        <w:t>.</w:t>
      </w:r>
      <w:r w:rsidR="00FA4C53" w:rsidRPr="00225803">
        <w:rPr>
          <w:rFonts w:ascii="Arial" w:hAnsi="Arial" w:cs="Arial"/>
          <w:sz w:val="20"/>
          <w:u w:color="000000"/>
        </w:rPr>
        <w:t xml:space="preserve"> </w:t>
      </w:r>
    </w:p>
    <w:p w:rsidR="00D225AF" w:rsidRDefault="00D225AF" w:rsidP="00D225AF">
      <w:pPr>
        <w:pStyle w:val="Body1"/>
        <w:spacing w:before="20" w:line="360" w:lineRule="auto"/>
        <w:outlineLvl w:val="0"/>
        <w:rPr>
          <w:rFonts w:ascii="Arial" w:hAnsi="Arial" w:cs="Arial"/>
          <w:sz w:val="22"/>
          <w:szCs w:val="22"/>
          <w:u w:color="000000"/>
        </w:rPr>
      </w:pPr>
    </w:p>
    <w:p w:rsidR="00E25C89" w:rsidRDefault="00E25C89"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Similares observaciones se han hecho en los casos, González Medina y</w:t>
      </w:r>
      <w:r w:rsidRPr="00E25C89">
        <w:rPr>
          <w:rFonts w:ascii="Arial" w:hAnsi="Arial" w:cs="Arial"/>
          <w:sz w:val="22"/>
          <w:szCs w:val="22"/>
          <w:u w:color="000000"/>
        </w:rPr>
        <w:t xml:space="preserve"> Familiares </w:t>
      </w:r>
      <w:r>
        <w:rPr>
          <w:rFonts w:ascii="Arial" w:hAnsi="Arial" w:cs="Arial"/>
          <w:sz w:val="22"/>
          <w:szCs w:val="22"/>
          <w:u w:color="000000"/>
        </w:rPr>
        <w:t>v</w:t>
      </w:r>
      <w:r w:rsidRPr="00E25C89">
        <w:rPr>
          <w:rFonts w:ascii="Arial" w:hAnsi="Arial" w:cs="Arial"/>
          <w:sz w:val="22"/>
          <w:szCs w:val="22"/>
          <w:u w:color="000000"/>
        </w:rPr>
        <w:t>s. República Dominicana</w:t>
      </w:r>
      <w:r>
        <w:rPr>
          <w:rFonts w:ascii="Arial" w:hAnsi="Arial" w:cs="Arial"/>
          <w:sz w:val="22"/>
          <w:szCs w:val="22"/>
          <w:u w:color="000000"/>
        </w:rPr>
        <w:t xml:space="preserve">, </w:t>
      </w:r>
      <w:proofErr w:type="spellStart"/>
      <w:r>
        <w:rPr>
          <w:rFonts w:ascii="Arial" w:hAnsi="Arial" w:cs="Arial"/>
          <w:sz w:val="22"/>
          <w:szCs w:val="22"/>
          <w:u w:color="000000"/>
        </w:rPr>
        <w:t>Fontevecchia</w:t>
      </w:r>
      <w:proofErr w:type="spellEnd"/>
      <w:r>
        <w:rPr>
          <w:rFonts w:ascii="Arial" w:hAnsi="Arial" w:cs="Arial"/>
          <w:sz w:val="22"/>
          <w:szCs w:val="22"/>
          <w:u w:color="000000"/>
        </w:rPr>
        <w:t xml:space="preserve"> y </w:t>
      </w:r>
      <w:proofErr w:type="spellStart"/>
      <w:r>
        <w:rPr>
          <w:rFonts w:ascii="Arial" w:hAnsi="Arial" w:cs="Arial"/>
          <w:sz w:val="22"/>
          <w:szCs w:val="22"/>
          <w:u w:color="000000"/>
        </w:rPr>
        <w:t>D’Amico</w:t>
      </w:r>
      <w:proofErr w:type="spellEnd"/>
      <w:r>
        <w:rPr>
          <w:rFonts w:ascii="Arial" w:hAnsi="Arial" w:cs="Arial"/>
          <w:sz w:val="22"/>
          <w:szCs w:val="22"/>
          <w:u w:color="000000"/>
        </w:rPr>
        <w:t xml:space="preserve"> v</w:t>
      </w:r>
      <w:r w:rsidRPr="00E25C89">
        <w:rPr>
          <w:rFonts w:ascii="Arial" w:hAnsi="Arial" w:cs="Arial"/>
          <w:sz w:val="22"/>
          <w:szCs w:val="22"/>
          <w:u w:color="000000"/>
        </w:rPr>
        <w:t>s. Argentina</w:t>
      </w:r>
      <w:r>
        <w:rPr>
          <w:rFonts w:ascii="Arial" w:hAnsi="Arial" w:cs="Arial"/>
          <w:sz w:val="22"/>
          <w:szCs w:val="22"/>
          <w:u w:color="000000"/>
        </w:rPr>
        <w:t>, y Velásquez Rodríguez vs. Honduras.</w:t>
      </w:r>
    </w:p>
    <w:p w:rsidR="00E25C89" w:rsidRDefault="00E25C89" w:rsidP="00E25C89">
      <w:pPr>
        <w:pStyle w:val="Body1"/>
        <w:spacing w:before="20" w:line="360" w:lineRule="auto"/>
        <w:jc w:val="both"/>
        <w:outlineLvl w:val="0"/>
        <w:rPr>
          <w:rFonts w:ascii="Arial" w:hAnsi="Arial" w:cs="Arial"/>
          <w:sz w:val="22"/>
          <w:szCs w:val="22"/>
          <w:u w:color="000000"/>
        </w:rPr>
      </w:pPr>
    </w:p>
    <w:p w:rsidR="00C14220" w:rsidRDefault="00ED7B66"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 </w:t>
      </w:r>
      <w:r w:rsidR="001C0011">
        <w:rPr>
          <w:rFonts w:ascii="Arial" w:hAnsi="Arial" w:cs="Arial"/>
          <w:sz w:val="22"/>
          <w:szCs w:val="22"/>
          <w:u w:color="000000"/>
        </w:rPr>
        <w:t>forma como sea atienda</w:t>
      </w:r>
      <w:r w:rsidR="009B7E30">
        <w:rPr>
          <w:rFonts w:ascii="Arial" w:hAnsi="Arial" w:cs="Arial"/>
          <w:sz w:val="22"/>
          <w:szCs w:val="22"/>
          <w:u w:color="000000"/>
        </w:rPr>
        <w:t xml:space="preserve"> la restitución </w:t>
      </w:r>
      <w:r w:rsidR="001C0011">
        <w:rPr>
          <w:rFonts w:ascii="Arial" w:hAnsi="Arial" w:cs="Arial"/>
          <w:sz w:val="22"/>
          <w:szCs w:val="22"/>
          <w:u w:color="000000"/>
        </w:rPr>
        <w:t xml:space="preserve">por parte de </w:t>
      </w:r>
      <w:r w:rsidR="00035942">
        <w:rPr>
          <w:rFonts w:ascii="Arial" w:hAnsi="Arial" w:cs="Arial"/>
          <w:sz w:val="22"/>
          <w:szCs w:val="22"/>
          <w:u w:color="000000"/>
        </w:rPr>
        <w:t xml:space="preserve">los jueces </w:t>
      </w:r>
      <w:r w:rsidR="009B7E30">
        <w:rPr>
          <w:rFonts w:ascii="Arial" w:hAnsi="Arial" w:cs="Arial"/>
          <w:sz w:val="22"/>
          <w:szCs w:val="22"/>
          <w:u w:color="000000"/>
        </w:rPr>
        <w:t xml:space="preserve">depende de la naturaleza de cada caso, así por ejemplo en el caso </w:t>
      </w:r>
      <w:r>
        <w:rPr>
          <w:rFonts w:ascii="Arial" w:hAnsi="Arial" w:cs="Arial"/>
          <w:sz w:val="22"/>
          <w:szCs w:val="22"/>
          <w:u w:color="000000"/>
        </w:rPr>
        <w:t xml:space="preserve"> </w:t>
      </w:r>
      <w:proofErr w:type="spellStart"/>
      <w:r w:rsidR="009B7E30">
        <w:rPr>
          <w:rFonts w:ascii="Arial" w:hAnsi="Arial" w:cs="Arial"/>
          <w:sz w:val="22"/>
          <w:szCs w:val="22"/>
          <w:u w:color="000000"/>
        </w:rPr>
        <w:t>Fornerón</w:t>
      </w:r>
      <w:proofErr w:type="spellEnd"/>
      <w:r w:rsidR="009B7E30">
        <w:rPr>
          <w:rFonts w:ascii="Arial" w:hAnsi="Arial" w:cs="Arial"/>
          <w:sz w:val="22"/>
          <w:szCs w:val="22"/>
          <w:u w:color="000000"/>
        </w:rPr>
        <w:t xml:space="preserve"> e hija v</w:t>
      </w:r>
      <w:r w:rsidR="009B7E30" w:rsidRPr="002C3C1A">
        <w:rPr>
          <w:rFonts w:ascii="Arial" w:hAnsi="Arial" w:cs="Arial"/>
          <w:sz w:val="22"/>
          <w:szCs w:val="22"/>
          <w:u w:color="000000"/>
        </w:rPr>
        <w:t>s. Argentina</w:t>
      </w:r>
      <w:r w:rsidR="009B7E30">
        <w:rPr>
          <w:rFonts w:ascii="Arial" w:hAnsi="Arial" w:cs="Arial"/>
          <w:sz w:val="22"/>
          <w:szCs w:val="22"/>
          <w:u w:color="000000"/>
        </w:rPr>
        <w:t xml:space="preserve">, la Corte IDH dispuso que la niña sea devuelta a su padre biológico, el señor </w:t>
      </w:r>
      <w:proofErr w:type="spellStart"/>
      <w:r w:rsidR="009B7E30">
        <w:rPr>
          <w:rFonts w:ascii="Arial" w:hAnsi="Arial" w:cs="Arial"/>
          <w:sz w:val="22"/>
          <w:szCs w:val="22"/>
          <w:u w:color="000000"/>
        </w:rPr>
        <w:t>Fornerón</w:t>
      </w:r>
      <w:proofErr w:type="spellEnd"/>
      <w:r w:rsidR="009B7E30">
        <w:rPr>
          <w:rFonts w:ascii="Arial" w:hAnsi="Arial" w:cs="Arial"/>
          <w:sz w:val="22"/>
          <w:szCs w:val="22"/>
          <w:u w:color="000000"/>
        </w:rPr>
        <w:t xml:space="preserve">, ello aunque la niña se encontraba en un hogar adoptivo por más de 12 años, tal restitución debía realizarse de forma progresiva y con la asistencia de trabajadores sociales y terapeutas. En el caso </w:t>
      </w:r>
      <w:r w:rsidR="009B7E30" w:rsidRPr="009B7E30">
        <w:rPr>
          <w:rFonts w:ascii="Arial" w:hAnsi="Arial" w:cs="Arial"/>
          <w:sz w:val="22"/>
          <w:szCs w:val="22"/>
          <w:u w:color="000000"/>
        </w:rPr>
        <w:t>Chaparro Álvarez y Lapo Íñiguez vs. Ecuador</w:t>
      </w:r>
      <w:r w:rsidR="009B7E30">
        <w:rPr>
          <w:rFonts w:ascii="Arial" w:hAnsi="Arial" w:cs="Arial"/>
          <w:sz w:val="22"/>
          <w:szCs w:val="22"/>
          <w:u w:color="000000"/>
        </w:rPr>
        <w:t xml:space="preserve">, la Corte IDH en el marco de las reparaciones, en cuanto a restitución se centró en la </w:t>
      </w:r>
      <w:r w:rsidR="00035942">
        <w:rPr>
          <w:rFonts w:ascii="Arial" w:hAnsi="Arial" w:cs="Arial"/>
          <w:sz w:val="22"/>
          <w:szCs w:val="22"/>
          <w:u w:color="000000"/>
        </w:rPr>
        <w:t>entrega</w:t>
      </w:r>
      <w:r w:rsidR="009B7E30">
        <w:rPr>
          <w:rFonts w:ascii="Arial" w:hAnsi="Arial" w:cs="Arial"/>
          <w:sz w:val="22"/>
          <w:szCs w:val="22"/>
          <w:u w:color="000000"/>
        </w:rPr>
        <w:t xml:space="preserve"> de los bienes de los señores Chaparro y Lap</w:t>
      </w:r>
      <w:r w:rsidR="00035942">
        <w:rPr>
          <w:rFonts w:ascii="Arial" w:hAnsi="Arial" w:cs="Arial"/>
          <w:sz w:val="22"/>
          <w:szCs w:val="22"/>
          <w:u w:color="000000"/>
        </w:rPr>
        <w:t>o que habían sido incautados</w:t>
      </w:r>
      <w:r w:rsidR="009B7E30">
        <w:rPr>
          <w:rFonts w:ascii="Arial" w:hAnsi="Arial" w:cs="Arial"/>
          <w:sz w:val="22"/>
          <w:szCs w:val="22"/>
          <w:u w:color="000000"/>
        </w:rPr>
        <w:t xml:space="preserve"> mientras se realizaba un proceso </w:t>
      </w:r>
      <w:r w:rsidR="001C0011">
        <w:rPr>
          <w:rFonts w:ascii="Arial" w:hAnsi="Arial" w:cs="Arial"/>
          <w:sz w:val="22"/>
          <w:szCs w:val="22"/>
          <w:u w:color="000000"/>
        </w:rPr>
        <w:t xml:space="preserve">judicial </w:t>
      </w:r>
      <w:r w:rsidR="009B7E30">
        <w:rPr>
          <w:rFonts w:ascii="Arial" w:hAnsi="Arial" w:cs="Arial"/>
          <w:sz w:val="22"/>
          <w:szCs w:val="22"/>
          <w:u w:color="000000"/>
        </w:rPr>
        <w:t>por tráfico de sustancias estupefacientes</w:t>
      </w:r>
      <w:r w:rsidR="00035942">
        <w:rPr>
          <w:rFonts w:ascii="Arial" w:hAnsi="Arial" w:cs="Arial"/>
          <w:sz w:val="22"/>
          <w:szCs w:val="22"/>
          <w:u w:color="000000"/>
        </w:rPr>
        <w:t xml:space="preserve"> en su contra</w:t>
      </w:r>
      <w:r w:rsidR="009B7E30">
        <w:rPr>
          <w:rFonts w:ascii="Arial" w:hAnsi="Arial" w:cs="Arial"/>
          <w:sz w:val="22"/>
          <w:szCs w:val="22"/>
          <w:u w:color="000000"/>
        </w:rPr>
        <w:t xml:space="preserve">, proceso en el que </w:t>
      </w:r>
      <w:r w:rsidR="00035942">
        <w:rPr>
          <w:rFonts w:ascii="Arial" w:hAnsi="Arial" w:cs="Arial"/>
          <w:sz w:val="22"/>
          <w:szCs w:val="22"/>
          <w:u w:color="000000"/>
        </w:rPr>
        <w:t xml:space="preserve">posteriormente </w:t>
      </w:r>
      <w:r w:rsidR="009B7E30">
        <w:rPr>
          <w:rFonts w:ascii="Arial" w:hAnsi="Arial" w:cs="Arial"/>
          <w:sz w:val="22"/>
          <w:szCs w:val="22"/>
          <w:u w:color="000000"/>
        </w:rPr>
        <w:t xml:space="preserve">fueron sobreseídos de forma </w:t>
      </w:r>
      <w:r w:rsidR="00C14220">
        <w:rPr>
          <w:rFonts w:ascii="Arial" w:hAnsi="Arial" w:cs="Arial"/>
          <w:sz w:val="22"/>
          <w:szCs w:val="22"/>
          <w:u w:color="000000"/>
        </w:rPr>
        <w:t>definitiva, hubo irregularidades en la entrega de los bienes por su deterioro y falta de devolución de otros.</w:t>
      </w:r>
    </w:p>
    <w:p w:rsidR="0027664C" w:rsidRDefault="0027664C" w:rsidP="00E25C89">
      <w:pPr>
        <w:pStyle w:val="Body1"/>
        <w:spacing w:before="20" w:line="360" w:lineRule="auto"/>
        <w:jc w:val="both"/>
        <w:outlineLvl w:val="0"/>
        <w:rPr>
          <w:rFonts w:ascii="Arial" w:hAnsi="Arial" w:cs="Arial"/>
          <w:sz w:val="22"/>
          <w:szCs w:val="22"/>
          <w:u w:color="000000"/>
        </w:rPr>
      </w:pPr>
    </w:p>
    <w:p w:rsidR="0027664C" w:rsidRDefault="00BA4891"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En el Caso </w:t>
      </w:r>
      <w:proofErr w:type="spellStart"/>
      <w:r>
        <w:rPr>
          <w:rFonts w:ascii="Arial" w:hAnsi="Arial" w:cs="Arial"/>
          <w:sz w:val="22"/>
          <w:szCs w:val="22"/>
          <w:u w:color="000000"/>
        </w:rPr>
        <w:t>Bámaca</w:t>
      </w:r>
      <w:proofErr w:type="spellEnd"/>
      <w:r>
        <w:rPr>
          <w:rFonts w:ascii="Arial" w:hAnsi="Arial" w:cs="Arial"/>
          <w:sz w:val="22"/>
          <w:szCs w:val="22"/>
          <w:u w:color="000000"/>
        </w:rPr>
        <w:t xml:space="preserve"> Velásquez v</w:t>
      </w:r>
      <w:r w:rsidRPr="00BA4891">
        <w:rPr>
          <w:rFonts w:ascii="Arial" w:hAnsi="Arial" w:cs="Arial"/>
          <w:sz w:val="22"/>
          <w:szCs w:val="22"/>
          <w:u w:color="000000"/>
        </w:rPr>
        <w:t>s. Guatemala</w:t>
      </w:r>
      <w:r>
        <w:rPr>
          <w:rFonts w:ascii="Arial" w:hAnsi="Arial" w:cs="Arial"/>
          <w:sz w:val="22"/>
          <w:szCs w:val="22"/>
          <w:u w:color="000000"/>
        </w:rPr>
        <w:t xml:space="preserve"> </w:t>
      </w:r>
      <w:r w:rsidRPr="00BA4891">
        <w:rPr>
          <w:rFonts w:ascii="Arial" w:hAnsi="Arial" w:cs="Arial"/>
          <w:sz w:val="22"/>
          <w:szCs w:val="22"/>
          <w:u w:color="000000"/>
        </w:rPr>
        <w:t>de 22 de febrero de 2002</w:t>
      </w:r>
      <w:r>
        <w:rPr>
          <w:rFonts w:ascii="Arial" w:hAnsi="Arial" w:cs="Arial"/>
          <w:sz w:val="22"/>
          <w:szCs w:val="22"/>
          <w:u w:color="000000"/>
        </w:rPr>
        <w:t>, Reparaciones y Costas,</w:t>
      </w:r>
      <w:r w:rsidR="00F30038">
        <w:rPr>
          <w:rFonts w:ascii="Arial" w:hAnsi="Arial" w:cs="Arial"/>
          <w:sz w:val="22"/>
          <w:szCs w:val="22"/>
          <w:u w:color="000000"/>
        </w:rPr>
        <w:t xml:space="preserve"> la Corte señaló</w:t>
      </w:r>
      <w:r w:rsidR="0027664C">
        <w:rPr>
          <w:rFonts w:ascii="Arial" w:hAnsi="Arial" w:cs="Arial"/>
          <w:sz w:val="22"/>
          <w:szCs w:val="22"/>
          <w:u w:color="000000"/>
        </w:rPr>
        <w:t xml:space="preserve"> que l</w:t>
      </w:r>
      <w:r w:rsidR="0027664C" w:rsidRPr="0027664C">
        <w:rPr>
          <w:rFonts w:ascii="Arial" w:hAnsi="Arial" w:cs="Arial"/>
          <w:sz w:val="22"/>
          <w:szCs w:val="22"/>
          <w:u w:color="000000"/>
        </w:rPr>
        <w:t>a reparación del daño ocasionado por la infracción de una obligación internacional requiere, siempre que sea posible, la plena restitución</w:t>
      </w:r>
      <w:r w:rsidR="0027664C">
        <w:rPr>
          <w:rFonts w:ascii="Arial" w:hAnsi="Arial" w:cs="Arial"/>
          <w:sz w:val="22"/>
          <w:szCs w:val="22"/>
          <w:u w:color="000000"/>
        </w:rPr>
        <w:t>. Como no es posible el restablecimiento a la situación anterior a la violación en este caso, cabe al Tribunal I</w:t>
      </w:r>
      <w:r w:rsidR="0027664C" w:rsidRPr="0027664C">
        <w:rPr>
          <w:rFonts w:ascii="Arial" w:hAnsi="Arial" w:cs="Arial"/>
          <w:sz w:val="22"/>
          <w:szCs w:val="22"/>
          <w:u w:color="000000"/>
        </w:rPr>
        <w:t>nternacional determinar una serie de medidas para, además de garantizar los derechos conculcados, reparar las consecuencias que las infracciones produjeron</w:t>
      </w:r>
      <w:r w:rsidR="0027664C">
        <w:rPr>
          <w:rFonts w:ascii="Arial" w:hAnsi="Arial" w:cs="Arial"/>
          <w:sz w:val="22"/>
          <w:szCs w:val="22"/>
          <w:u w:color="000000"/>
        </w:rPr>
        <w:t>. La Corte manifiesta en este caso que en los derechos vida,</w:t>
      </w:r>
      <w:r w:rsidR="0027664C" w:rsidRPr="0027664C">
        <w:rPr>
          <w:rFonts w:ascii="Arial" w:hAnsi="Arial" w:cs="Arial"/>
          <w:sz w:val="22"/>
          <w:szCs w:val="22"/>
          <w:u w:color="000000"/>
        </w:rPr>
        <w:t xml:space="preserve"> </w:t>
      </w:r>
      <w:r w:rsidR="0027664C">
        <w:rPr>
          <w:rFonts w:ascii="Arial" w:hAnsi="Arial" w:cs="Arial"/>
          <w:sz w:val="22"/>
          <w:szCs w:val="22"/>
          <w:u w:color="000000"/>
        </w:rPr>
        <w:t>libertad, integridad personal</w:t>
      </w:r>
      <w:r w:rsidR="0027664C" w:rsidRPr="0027664C">
        <w:rPr>
          <w:rFonts w:ascii="Arial" w:hAnsi="Arial" w:cs="Arial"/>
          <w:sz w:val="22"/>
          <w:szCs w:val="22"/>
          <w:u w:color="000000"/>
        </w:rPr>
        <w:t>, garantías judiciales y protección judicia</w:t>
      </w:r>
      <w:r w:rsidR="0027664C">
        <w:rPr>
          <w:rFonts w:ascii="Arial" w:hAnsi="Arial" w:cs="Arial"/>
          <w:sz w:val="22"/>
          <w:szCs w:val="22"/>
          <w:u w:color="000000"/>
        </w:rPr>
        <w:t>l</w:t>
      </w:r>
      <w:r w:rsidR="00A44519">
        <w:rPr>
          <w:rFonts w:ascii="Arial" w:hAnsi="Arial" w:cs="Arial"/>
          <w:sz w:val="22"/>
          <w:szCs w:val="22"/>
          <w:u w:color="000000"/>
        </w:rPr>
        <w:t xml:space="preserve"> no es posible la </w:t>
      </w:r>
      <w:proofErr w:type="spellStart"/>
      <w:r w:rsidR="00225803">
        <w:rPr>
          <w:rFonts w:ascii="Arial" w:hAnsi="Arial" w:cs="Arial"/>
          <w:i/>
          <w:sz w:val="22"/>
          <w:szCs w:val="22"/>
          <w:u w:color="000000"/>
        </w:rPr>
        <w:t>Restitutio</w:t>
      </w:r>
      <w:proofErr w:type="spellEnd"/>
      <w:r w:rsidR="00225803">
        <w:rPr>
          <w:rFonts w:ascii="Arial" w:hAnsi="Arial" w:cs="Arial"/>
          <w:i/>
          <w:sz w:val="22"/>
          <w:szCs w:val="22"/>
          <w:u w:color="000000"/>
        </w:rPr>
        <w:t xml:space="preserve"> in </w:t>
      </w:r>
      <w:proofErr w:type="spellStart"/>
      <w:r w:rsidR="00225803">
        <w:rPr>
          <w:rFonts w:ascii="Arial" w:hAnsi="Arial" w:cs="Arial"/>
          <w:i/>
          <w:sz w:val="22"/>
          <w:szCs w:val="22"/>
          <w:u w:color="000000"/>
        </w:rPr>
        <w:t>I</w:t>
      </w:r>
      <w:r w:rsidR="00A44519" w:rsidRPr="00A44519">
        <w:rPr>
          <w:rFonts w:ascii="Arial" w:hAnsi="Arial" w:cs="Arial"/>
          <w:i/>
          <w:sz w:val="22"/>
          <w:szCs w:val="22"/>
          <w:u w:color="000000"/>
        </w:rPr>
        <w:t>ntegrum</w:t>
      </w:r>
      <w:proofErr w:type="spellEnd"/>
      <w:r w:rsidR="00A44519">
        <w:rPr>
          <w:rFonts w:ascii="Arial" w:hAnsi="Arial" w:cs="Arial"/>
          <w:i/>
          <w:sz w:val="22"/>
          <w:szCs w:val="22"/>
          <w:u w:color="000000"/>
        </w:rPr>
        <w:t xml:space="preserve">, </w:t>
      </w:r>
      <w:r w:rsidR="00A44519">
        <w:rPr>
          <w:rFonts w:ascii="Arial" w:hAnsi="Arial" w:cs="Arial"/>
          <w:sz w:val="22"/>
          <w:szCs w:val="22"/>
          <w:u w:color="000000"/>
        </w:rPr>
        <w:t xml:space="preserve">entonces según la práctica jurisprudencial internacional la reparación se realiza </w:t>
      </w:r>
      <w:r w:rsidR="00A44519" w:rsidRPr="00A44519">
        <w:rPr>
          <w:rFonts w:ascii="Arial" w:hAnsi="Arial" w:cs="Arial"/>
          <w:sz w:val="22"/>
          <w:szCs w:val="22"/>
          <w:u w:color="000000"/>
        </w:rPr>
        <w:t xml:space="preserve">mediante una justa </w:t>
      </w:r>
      <w:r w:rsidR="00A44519" w:rsidRPr="00A44519">
        <w:rPr>
          <w:rFonts w:ascii="Arial" w:hAnsi="Arial" w:cs="Arial"/>
          <w:sz w:val="22"/>
          <w:szCs w:val="22"/>
          <w:u w:color="000000"/>
        </w:rPr>
        <w:lastRenderedPageBreak/>
        <w:t>indemnización o compensación pecuniaria</w:t>
      </w:r>
      <w:r w:rsidR="00A44519">
        <w:rPr>
          <w:rFonts w:ascii="Arial" w:hAnsi="Arial" w:cs="Arial"/>
          <w:sz w:val="22"/>
          <w:szCs w:val="22"/>
          <w:u w:color="000000"/>
        </w:rPr>
        <w:t>, entre otras medidas a cargo del Estado para evitar que los hechos lesivos se repitan</w:t>
      </w:r>
      <w:r w:rsidR="00A90081">
        <w:rPr>
          <w:rStyle w:val="Refdenotaalpie"/>
          <w:rFonts w:ascii="Arial" w:hAnsi="Arial" w:cs="Arial"/>
          <w:sz w:val="22"/>
          <w:szCs w:val="22"/>
          <w:u w:color="000000"/>
        </w:rPr>
        <w:footnoteReference w:id="88"/>
      </w:r>
      <w:r w:rsidR="00A01934">
        <w:rPr>
          <w:rFonts w:ascii="Arial" w:hAnsi="Arial" w:cs="Arial"/>
          <w:sz w:val="22"/>
          <w:szCs w:val="22"/>
          <w:u w:color="000000"/>
        </w:rPr>
        <w:t>.</w:t>
      </w:r>
      <w:r w:rsidR="00A44519">
        <w:rPr>
          <w:rFonts w:ascii="Arial" w:hAnsi="Arial" w:cs="Arial"/>
          <w:sz w:val="22"/>
          <w:szCs w:val="22"/>
          <w:u w:color="000000"/>
        </w:rPr>
        <w:t xml:space="preserve"> </w:t>
      </w:r>
      <w:r w:rsidR="0027664C">
        <w:rPr>
          <w:rFonts w:ascii="Arial" w:hAnsi="Arial" w:cs="Arial"/>
          <w:sz w:val="22"/>
          <w:szCs w:val="22"/>
          <w:u w:color="000000"/>
        </w:rPr>
        <w:t xml:space="preserve">   </w:t>
      </w:r>
    </w:p>
    <w:p w:rsidR="00E25C89" w:rsidRDefault="009C52D2" w:rsidP="00E25C89">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w:t>
      </w:r>
    </w:p>
    <w:p w:rsidR="009C52D2" w:rsidRDefault="009C52D2"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el voto Concurrente Razonado de</w:t>
      </w:r>
      <w:r w:rsidRPr="009C52D2">
        <w:rPr>
          <w:rFonts w:ascii="Arial" w:hAnsi="Arial" w:cs="Arial"/>
          <w:sz w:val="22"/>
          <w:szCs w:val="22"/>
          <w:u w:color="000000"/>
        </w:rPr>
        <w:t>l Juez Sergio García Ramírez</w:t>
      </w:r>
      <w:r>
        <w:rPr>
          <w:rFonts w:ascii="Arial" w:hAnsi="Arial" w:cs="Arial"/>
          <w:sz w:val="22"/>
          <w:szCs w:val="22"/>
          <w:u w:color="000000"/>
        </w:rPr>
        <w:t xml:space="preserve">, de la sentencia de reparaciones y costas del caso </w:t>
      </w:r>
      <w:proofErr w:type="spellStart"/>
      <w:r>
        <w:rPr>
          <w:rFonts w:ascii="Arial" w:hAnsi="Arial" w:cs="Arial"/>
          <w:sz w:val="22"/>
          <w:szCs w:val="22"/>
          <w:u w:color="000000"/>
        </w:rPr>
        <w:t>Bámaca</w:t>
      </w:r>
      <w:proofErr w:type="spellEnd"/>
      <w:r>
        <w:rPr>
          <w:rFonts w:ascii="Arial" w:hAnsi="Arial" w:cs="Arial"/>
          <w:sz w:val="22"/>
          <w:szCs w:val="22"/>
          <w:u w:color="000000"/>
        </w:rPr>
        <w:t xml:space="preserve"> Velásquez, se refiere a la restitución en los siguientes términos:</w:t>
      </w:r>
    </w:p>
    <w:p w:rsidR="009C52D2" w:rsidRDefault="009C52D2" w:rsidP="00E25C89">
      <w:pPr>
        <w:pStyle w:val="Body1"/>
        <w:spacing w:before="20" w:line="360" w:lineRule="auto"/>
        <w:jc w:val="both"/>
        <w:outlineLvl w:val="0"/>
        <w:rPr>
          <w:rFonts w:ascii="Arial" w:hAnsi="Arial" w:cs="Arial"/>
          <w:sz w:val="22"/>
          <w:szCs w:val="22"/>
          <w:u w:color="000000"/>
        </w:rPr>
      </w:pPr>
    </w:p>
    <w:p w:rsidR="009C52D2" w:rsidRPr="00225803" w:rsidRDefault="009C52D2" w:rsidP="002B0DA7">
      <w:pPr>
        <w:pStyle w:val="Body1"/>
        <w:spacing w:before="20" w:line="276" w:lineRule="auto"/>
        <w:ind w:left="720"/>
        <w:jc w:val="both"/>
        <w:outlineLvl w:val="0"/>
        <w:rPr>
          <w:rFonts w:ascii="Arial" w:hAnsi="Arial" w:cs="Arial"/>
          <w:sz w:val="20"/>
          <w:u w:color="000000"/>
        </w:rPr>
      </w:pPr>
      <w:r w:rsidRPr="00225803">
        <w:rPr>
          <w:rFonts w:ascii="Arial" w:hAnsi="Arial" w:cs="Arial"/>
          <w:sz w:val="20"/>
          <w:u w:color="000000"/>
        </w:rPr>
        <w:t xml:space="preserve">A este respecto, es pertinente recordar que la jurisprudencia y la doctrina internacionales entienden, de tiempo atrás, que la </w:t>
      </w:r>
      <w:proofErr w:type="spellStart"/>
      <w:r w:rsidRPr="00225803">
        <w:rPr>
          <w:rFonts w:ascii="Arial" w:hAnsi="Arial" w:cs="Arial"/>
          <w:sz w:val="20"/>
          <w:u w:color="000000"/>
        </w:rPr>
        <w:t>restitutio</w:t>
      </w:r>
      <w:proofErr w:type="spellEnd"/>
      <w:r w:rsidRPr="00225803">
        <w:rPr>
          <w:rFonts w:ascii="Arial" w:hAnsi="Arial" w:cs="Arial"/>
          <w:sz w:val="20"/>
          <w:u w:color="000000"/>
        </w:rPr>
        <w:t xml:space="preserve"> in </w:t>
      </w:r>
      <w:proofErr w:type="spellStart"/>
      <w:r w:rsidRPr="00225803">
        <w:rPr>
          <w:rFonts w:ascii="Arial" w:hAnsi="Arial" w:cs="Arial"/>
          <w:sz w:val="20"/>
          <w:u w:color="000000"/>
        </w:rPr>
        <w:t>integrum</w:t>
      </w:r>
      <w:proofErr w:type="spellEnd"/>
      <w:r w:rsidRPr="00225803">
        <w:rPr>
          <w:rFonts w:ascii="Arial" w:hAnsi="Arial" w:cs="Arial"/>
          <w:sz w:val="20"/>
          <w:u w:color="000000"/>
        </w:rPr>
        <w:t xml:space="preserve"> es la forma perfecta de reparación, y que sólo en la medida en que dicha </w:t>
      </w:r>
      <w:proofErr w:type="spellStart"/>
      <w:r w:rsidRPr="00225803">
        <w:rPr>
          <w:rFonts w:ascii="Arial" w:hAnsi="Arial" w:cs="Arial"/>
          <w:sz w:val="20"/>
          <w:u w:color="000000"/>
        </w:rPr>
        <w:t>restitutio</w:t>
      </w:r>
      <w:proofErr w:type="spellEnd"/>
      <w:r w:rsidRPr="00225803">
        <w:rPr>
          <w:rFonts w:ascii="Arial" w:hAnsi="Arial" w:cs="Arial"/>
          <w:sz w:val="20"/>
          <w:u w:color="000000"/>
        </w:rPr>
        <w:t xml:space="preserve"> no resulte accesible procede acordar otras medidas </w:t>
      </w:r>
      <w:proofErr w:type="spellStart"/>
      <w:r w:rsidRPr="00225803">
        <w:rPr>
          <w:rFonts w:ascii="Arial" w:hAnsi="Arial" w:cs="Arial"/>
          <w:sz w:val="20"/>
          <w:u w:color="000000"/>
        </w:rPr>
        <w:t>reparatorias</w:t>
      </w:r>
      <w:proofErr w:type="spellEnd"/>
      <w:r w:rsidRPr="00225803">
        <w:rPr>
          <w:rFonts w:ascii="Arial" w:hAnsi="Arial" w:cs="Arial"/>
          <w:sz w:val="20"/>
          <w:u w:color="000000"/>
        </w:rPr>
        <w:t>. Esta ha sido la línea seguida, reiteradamente, por la Corte Interamericana en un buen número de resoluciones</w:t>
      </w:r>
      <w:r w:rsidRPr="00225803">
        <w:rPr>
          <w:rStyle w:val="Refdenotaalpie"/>
          <w:rFonts w:ascii="Arial" w:hAnsi="Arial" w:cs="Arial"/>
          <w:sz w:val="20"/>
          <w:u w:color="000000"/>
        </w:rPr>
        <w:footnoteReference w:id="89"/>
      </w:r>
      <w:r w:rsidR="00A01934">
        <w:rPr>
          <w:rFonts w:ascii="Arial" w:hAnsi="Arial" w:cs="Arial"/>
          <w:sz w:val="20"/>
          <w:u w:color="000000"/>
        </w:rPr>
        <w:t>.</w:t>
      </w:r>
      <w:r w:rsidRPr="00225803">
        <w:rPr>
          <w:rFonts w:ascii="Arial" w:hAnsi="Arial" w:cs="Arial"/>
          <w:sz w:val="20"/>
          <w:u w:color="000000"/>
        </w:rPr>
        <w:t xml:space="preserve"> </w:t>
      </w:r>
    </w:p>
    <w:p w:rsidR="009C52D2" w:rsidRDefault="009C52D2" w:rsidP="009C52D2">
      <w:pPr>
        <w:pStyle w:val="Body1"/>
        <w:spacing w:before="20" w:line="276" w:lineRule="auto"/>
        <w:jc w:val="both"/>
        <w:outlineLvl w:val="0"/>
        <w:rPr>
          <w:rFonts w:ascii="Arial" w:hAnsi="Arial" w:cs="Arial"/>
          <w:i/>
          <w:sz w:val="18"/>
          <w:szCs w:val="18"/>
          <w:u w:color="000000"/>
        </w:rPr>
      </w:pPr>
    </w:p>
    <w:p w:rsidR="009C52D2" w:rsidRDefault="009C52D2"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Sin embargo de lo dicho el Juez García Ramírez expresa:</w:t>
      </w:r>
    </w:p>
    <w:p w:rsidR="002B0DA7" w:rsidRDefault="002B0DA7" w:rsidP="002B0DA7">
      <w:pPr>
        <w:pStyle w:val="Body1"/>
        <w:spacing w:before="20" w:line="276" w:lineRule="auto"/>
        <w:ind w:left="720"/>
        <w:jc w:val="both"/>
        <w:outlineLvl w:val="0"/>
        <w:rPr>
          <w:rFonts w:ascii="Arial" w:hAnsi="Arial" w:cs="Arial"/>
          <w:i/>
          <w:sz w:val="18"/>
          <w:szCs w:val="18"/>
          <w:u w:color="000000"/>
        </w:rPr>
      </w:pPr>
    </w:p>
    <w:p w:rsidR="009C52D2" w:rsidRPr="00225803" w:rsidRDefault="009C52D2" w:rsidP="002B0DA7">
      <w:pPr>
        <w:pStyle w:val="Body1"/>
        <w:spacing w:before="20" w:line="276" w:lineRule="auto"/>
        <w:ind w:left="720"/>
        <w:jc w:val="both"/>
        <w:outlineLvl w:val="0"/>
        <w:rPr>
          <w:rFonts w:ascii="Arial" w:hAnsi="Arial" w:cs="Arial"/>
          <w:sz w:val="20"/>
          <w:u w:color="000000"/>
        </w:rPr>
      </w:pPr>
      <w:r w:rsidRPr="00225803">
        <w:rPr>
          <w:rFonts w:ascii="Arial" w:hAnsi="Arial" w:cs="Arial"/>
          <w:sz w:val="20"/>
          <w:u w:color="000000"/>
        </w:rPr>
        <w:t xml:space="preserve">Estimo conveniente abandonar de una vez las referencias a la </w:t>
      </w:r>
      <w:proofErr w:type="spellStart"/>
      <w:r w:rsidRPr="00225803">
        <w:rPr>
          <w:rFonts w:ascii="Arial" w:hAnsi="Arial" w:cs="Arial"/>
          <w:sz w:val="20"/>
          <w:u w:color="000000"/>
        </w:rPr>
        <w:t>restitutio</w:t>
      </w:r>
      <w:proofErr w:type="spellEnd"/>
      <w:r w:rsidRPr="00225803">
        <w:rPr>
          <w:rFonts w:ascii="Arial" w:hAnsi="Arial" w:cs="Arial"/>
          <w:sz w:val="20"/>
          <w:u w:color="000000"/>
        </w:rPr>
        <w:t>, que puede servir como horizonte ideal de las reparaciones, pero no corresponde a un objetivo verdaderamente alcanzable. Por ende, carece de sentido, en mi concepto, insistir en que “la reparación requiere, siempre que sea posible, la plena restitución”</w:t>
      </w:r>
      <w:r w:rsidRPr="00225803">
        <w:rPr>
          <w:rStyle w:val="Refdenotaalpie"/>
          <w:rFonts w:ascii="Arial" w:hAnsi="Arial" w:cs="Arial"/>
          <w:sz w:val="20"/>
          <w:u w:color="000000"/>
        </w:rPr>
        <w:footnoteReference w:id="90"/>
      </w:r>
      <w:r w:rsidR="00A01934">
        <w:rPr>
          <w:rFonts w:ascii="Arial" w:hAnsi="Arial" w:cs="Arial"/>
          <w:sz w:val="20"/>
          <w:u w:color="000000"/>
        </w:rPr>
        <w:t>.</w:t>
      </w:r>
    </w:p>
    <w:p w:rsidR="009C52D2" w:rsidRPr="009C52D2" w:rsidRDefault="009C52D2" w:rsidP="009C52D2">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w:t>
      </w:r>
    </w:p>
    <w:p w:rsidR="009C52D2" w:rsidRDefault="009C52D2"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w:t>
      </w:r>
      <w:r w:rsidR="009F4398">
        <w:rPr>
          <w:rFonts w:ascii="Arial" w:hAnsi="Arial" w:cs="Arial"/>
          <w:sz w:val="22"/>
          <w:szCs w:val="22"/>
          <w:u w:color="000000"/>
        </w:rPr>
        <w:t>Sobre la restitución, termina el Juez indicando que lo que se busca es:</w:t>
      </w:r>
    </w:p>
    <w:p w:rsidR="00BA4891" w:rsidRDefault="00BA4891" w:rsidP="00BA4891">
      <w:pPr>
        <w:pStyle w:val="Body1"/>
        <w:spacing w:before="20" w:line="276" w:lineRule="auto"/>
        <w:jc w:val="both"/>
        <w:outlineLvl w:val="0"/>
        <w:rPr>
          <w:rFonts w:ascii="Arial" w:hAnsi="Arial" w:cs="Arial"/>
          <w:i/>
          <w:sz w:val="18"/>
          <w:szCs w:val="18"/>
          <w:u w:color="000000"/>
        </w:rPr>
      </w:pPr>
    </w:p>
    <w:p w:rsidR="009F4398" w:rsidRPr="00225803" w:rsidRDefault="00225803" w:rsidP="002B0DA7">
      <w:pPr>
        <w:pStyle w:val="Body1"/>
        <w:spacing w:before="20" w:line="276" w:lineRule="auto"/>
        <w:ind w:left="720"/>
        <w:jc w:val="both"/>
        <w:outlineLvl w:val="0"/>
        <w:rPr>
          <w:rFonts w:ascii="Arial" w:hAnsi="Arial" w:cs="Arial"/>
          <w:sz w:val="20"/>
          <w:u w:color="000000"/>
        </w:rPr>
      </w:pPr>
      <w:r w:rsidRPr="00225803">
        <w:rPr>
          <w:rFonts w:ascii="Arial" w:hAnsi="Arial" w:cs="Arial"/>
          <w:sz w:val="20"/>
          <w:u w:color="000000"/>
        </w:rPr>
        <w:t>(</w:t>
      </w:r>
      <w:r w:rsidR="009F4398" w:rsidRPr="00225803">
        <w:rPr>
          <w:rFonts w:ascii="Arial" w:hAnsi="Arial" w:cs="Arial"/>
          <w:sz w:val="20"/>
          <w:u w:color="000000"/>
        </w:rPr>
        <w:t>…</w:t>
      </w:r>
      <w:r w:rsidRPr="00225803">
        <w:rPr>
          <w:rFonts w:ascii="Arial" w:hAnsi="Arial" w:cs="Arial"/>
          <w:sz w:val="20"/>
          <w:u w:color="000000"/>
        </w:rPr>
        <w:t>)</w:t>
      </w:r>
      <w:r w:rsidR="00531182">
        <w:rPr>
          <w:rFonts w:ascii="Arial" w:hAnsi="Arial" w:cs="Arial"/>
          <w:sz w:val="20"/>
          <w:u w:color="000000"/>
        </w:rPr>
        <w:t xml:space="preserve"> </w:t>
      </w:r>
      <w:r w:rsidR="009F4398" w:rsidRPr="00225803">
        <w:rPr>
          <w:rFonts w:ascii="Arial" w:hAnsi="Arial" w:cs="Arial"/>
          <w:sz w:val="20"/>
          <w:u w:color="000000"/>
        </w:rPr>
        <w:t>construir una nueva situación que se asemeje, tan fielmente como sea posible, a la que antes se tuvo. Con este propósito es que se aportan al sujeto elementos de reparación, compensación, satisfacción, retribución, liberación, complemento, sustitución, etcétera</w:t>
      </w:r>
      <w:r w:rsidR="00BA4891" w:rsidRPr="00225803">
        <w:rPr>
          <w:rStyle w:val="Refdenotaalpie"/>
          <w:rFonts w:ascii="Arial" w:hAnsi="Arial" w:cs="Arial"/>
          <w:sz w:val="20"/>
          <w:u w:color="000000"/>
        </w:rPr>
        <w:footnoteReference w:id="91"/>
      </w:r>
      <w:r w:rsidR="00A01934">
        <w:rPr>
          <w:rFonts w:ascii="Arial" w:hAnsi="Arial" w:cs="Arial"/>
          <w:sz w:val="20"/>
          <w:u w:color="000000"/>
        </w:rPr>
        <w:t>.</w:t>
      </w:r>
    </w:p>
    <w:p w:rsidR="00BA4891" w:rsidRDefault="00BA4891" w:rsidP="006B2942">
      <w:pPr>
        <w:pStyle w:val="Body1"/>
        <w:spacing w:before="20" w:line="360" w:lineRule="auto"/>
        <w:jc w:val="both"/>
        <w:outlineLvl w:val="0"/>
        <w:rPr>
          <w:rFonts w:ascii="Arial" w:hAnsi="Arial" w:cs="Arial"/>
          <w:sz w:val="22"/>
          <w:szCs w:val="22"/>
          <w:u w:val="single"/>
        </w:rPr>
      </w:pPr>
    </w:p>
    <w:p w:rsidR="00725FA8" w:rsidRDefault="00A90081" w:rsidP="00705EB3">
      <w:pPr>
        <w:pStyle w:val="Body1"/>
        <w:spacing w:before="20" w:line="360" w:lineRule="auto"/>
        <w:jc w:val="both"/>
        <w:outlineLvl w:val="0"/>
        <w:rPr>
          <w:rFonts w:ascii="Arial" w:hAnsi="Arial" w:cs="Arial"/>
          <w:sz w:val="22"/>
          <w:szCs w:val="22"/>
        </w:rPr>
      </w:pPr>
      <w:r>
        <w:rPr>
          <w:rFonts w:ascii="Arial" w:hAnsi="Arial" w:cs="Arial"/>
          <w:sz w:val="22"/>
          <w:szCs w:val="22"/>
        </w:rPr>
        <w:t xml:space="preserve">Al momento de determinar las reparaciones cuando el Estado ha sido encontrado responsable, en la mayoría de los casos la Corte señala el principio de la </w:t>
      </w:r>
      <w:proofErr w:type="spellStart"/>
      <w:r w:rsidR="00225803">
        <w:rPr>
          <w:rFonts w:ascii="Arial" w:hAnsi="Arial" w:cs="Arial"/>
          <w:i/>
          <w:sz w:val="22"/>
          <w:szCs w:val="22"/>
        </w:rPr>
        <w:t>Restitutio</w:t>
      </w:r>
      <w:proofErr w:type="spellEnd"/>
      <w:r w:rsidR="00225803">
        <w:rPr>
          <w:rFonts w:ascii="Arial" w:hAnsi="Arial" w:cs="Arial"/>
          <w:i/>
          <w:sz w:val="22"/>
          <w:szCs w:val="22"/>
        </w:rPr>
        <w:t xml:space="preserve"> in </w:t>
      </w:r>
      <w:proofErr w:type="spellStart"/>
      <w:r w:rsidR="00225803">
        <w:rPr>
          <w:rFonts w:ascii="Arial" w:hAnsi="Arial" w:cs="Arial"/>
          <w:i/>
          <w:sz w:val="22"/>
          <w:szCs w:val="22"/>
        </w:rPr>
        <w:t>I</w:t>
      </w:r>
      <w:r>
        <w:rPr>
          <w:rFonts w:ascii="Arial" w:hAnsi="Arial" w:cs="Arial"/>
          <w:i/>
          <w:sz w:val="22"/>
          <w:szCs w:val="22"/>
        </w:rPr>
        <w:t>ntegrum</w:t>
      </w:r>
      <w:proofErr w:type="spellEnd"/>
      <w:r>
        <w:rPr>
          <w:rFonts w:ascii="Arial" w:hAnsi="Arial" w:cs="Arial"/>
          <w:i/>
          <w:sz w:val="22"/>
          <w:szCs w:val="22"/>
        </w:rPr>
        <w:t xml:space="preserve">, </w:t>
      </w:r>
      <w:r>
        <w:rPr>
          <w:rFonts w:ascii="Arial" w:hAnsi="Arial" w:cs="Arial"/>
          <w:sz w:val="22"/>
          <w:szCs w:val="22"/>
        </w:rPr>
        <w:t xml:space="preserve">como punto de partida, sin embargo dicha enunciación viene acompañada de la imposibilidad de realizarla, sobre este punto el Juez García Ramírez expresa la necesidad de que se deje de considerar este principio pues conlleva una restitución plena que es conceptual y materialmente imposible. En este punto se puede evidenciar la naturaleza simbólica de la reparación que acogiendo las palabras del Juez García Ramírez </w:t>
      </w:r>
      <w:r w:rsidR="00725FA8">
        <w:rPr>
          <w:rFonts w:ascii="Arial" w:hAnsi="Arial" w:cs="Arial"/>
          <w:sz w:val="22"/>
          <w:szCs w:val="22"/>
        </w:rPr>
        <w:t xml:space="preserve">el que la víctima </w:t>
      </w:r>
      <w:r w:rsidR="00725FA8" w:rsidRPr="00725FA8">
        <w:rPr>
          <w:rFonts w:ascii="Arial" w:hAnsi="Arial" w:cs="Arial"/>
          <w:sz w:val="22"/>
          <w:szCs w:val="22"/>
        </w:rPr>
        <w:t>retorne a un momento anterio</w:t>
      </w:r>
      <w:r w:rsidR="00725FA8">
        <w:rPr>
          <w:rFonts w:ascii="Arial" w:hAnsi="Arial" w:cs="Arial"/>
          <w:sz w:val="22"/>
          <w:szCs w:val="22"/>
        </w:rPr>
        <w:t>r al instante en que ocurrió la</w:t>
      </w:r>
      <w:r w:rsidR="00725FA8" w:rsidRPr="00725FA8">
        <w:rPr>
          <w:rFonts w:ascii="Arial" w:hAnsi="Arial" w:cs="Arial"/>
          <w:sz w:val="22"/>
          <w:szCs w:val="22"/>
        </w:rPr>
        <w:t xml:space="preserve"> pérdida</w:t>
      </w:r>
      <w:r w:rsidR="00725FA8">
        <w:rPr>
          <w:rFonts w:ascii="Arial" w:hAnsi="Arial" w:cs="Arial"/>
          <w:sz w:val="22"/>
          <w:szCs w:val="22"/>
        </w:rPr>
        <w:t xml:space="preserve"> constituiría un verdadero milagro, sin embargo se deben tomar todas las </w:t>
      </w:r>
      <w:r w:rsidR="00725FA8">
        <w:rPr>
          <w:rFonts w:ascii="Arial" w:hAnsi="Arial" w:cs="Arial"/>
          <w:sz w:val="22"/>
          <w:szCs w:val="22"/>
        </w:rPr>
        <w:lastRenderedPageBreak/>
        <w:t>previsiones para situar a la víctima en una nueva situación que reproduzca tan fielmente como sea posible la que tenía antes de las violaciones.</w:t>
      </w:r>
    </w:p>
    <w:p w:rsidR="00A90081" w:rsidRPr="00A90081" w:rsidRDefault="00725FA8" w:rsidP="006B2942">
      <w:pPr>
        <w:pStyle w:val="Body1"/>
        <w:spacing w:before="20" w:line="360" w:lineRule="auto"/>
        <w:jc w:val="both"/>
        <w:outlineLvl w:val="0"/>
        <w:rPr>
          <w:rFonts w:ascii="Arial" w:hAnsi="Arial" w:cs="Arial"/>
          <w:sz w:val="22"/>
          <w:szCs w:val="22"/>
        </w:rPr>
      </w:pPr>
      <w:r>
        <w:rPr>
          <w:rFonts w:ascii="Arial" w:hAnsi="Arial" w:cs="Arial"/>
          <w:sz w:val="22"/>
          <w:szCs w:val="22"/>
        </w:rPr>
        <w:t xml:space="preserve">   </w:t>
      </w:r>
      <w:r w:rsidRPr="00A90081">
        <w:rPr>
          <w:rFonts w:ascii="Arial" w:hAnsi="Arial" w:cs="Arial"/>
          <w:sz w:val="22"/>
          <w:szCs w:val="22"/>
        </w:rPr>
        <w:t xml:space="preserve"> </w:t>
      </w:r>
    </w:p>
    <w:p w:rsidR="00AA66EB" w:rsidRPr="00256EF9" w:rsidRDefault="00256EF9" w:rsidP="00B656C2">
      <w:pPr>
        <w:pStyle w:val="Body1"/>
        <w:numPr>
          <w:ilvl w:val="3"/>
          <w:numId w:val="7"/>
        </w:numPr>
        <w:spacing w:before="20" w:line="360" w:lineRule="auto"/>
        <w:jc w:val="both"/>
        <w:outlineLvl w:val="3"/>
        <w:rPr>
          <w:rFonts w:ascii="Arial" w:hAnsi="Arial" w:cs="Arial"/>
          <w:i/>
          <w:sz w:val="22"/>
          <w:szCs w:val="22"/>
        </w:rPr>
      </w:pPr>
      <w:r>
        <w:rPr>
          <w:rFonts w:ascii="Arial" w:hAnsi="Arial" w:cs="Arial"/>
          <w:i/>
          <w:sz w:val="22"/>
          <w:szCs w:val="22"/>
        </w:rPr>
        <w:t>Indemnización</w:t>
      </w:r>
    </w:p>
    <w:p w:rsidR="00AA66EB" w:rsidRDefault="00AA66EB" w:rsidP="006B2942">
      <w:pPr>
        <w:pStyle w:val="Body1"/>
        <w:spacing w:before="20" w:line="360" w:lineRule="auto"/>
        <w:jc w:val="both"/>
        <w:outlineLvl w:val="0"/>
        <w:rPr>
          <w:rFonts w:ascii="Arial" w:hAnsi="Arial" w:cs="Arial"/>
          <w:sz w:val="22"/>
          <w:szCs w:val="22"/>
        </w:rPr>
      </w:pPr>
    </w:p>
    <w:p w:rsidR="00AA66EB" w:rsidRDefault="00AA66EB" w:rsidP="00705EB3">
      <w:pPr>
        <w:pStyle w:val="Body1"/>
        <w:spacing w:before="20" w:line="360" w:lineRule="auto"/>
        <w:jc w:val="both"/>
        <w:outlineLvl w:val="0"/>
        <w:rPr>
          <w:rFonts w:ascii="Arial" w:hAnsi="Arial" w:cs="Arial"/>
          <w:sz w:val="22"/>
          <w:szCs w:val="22"/>
        </w:rPr>
      </w:pPr>
      <w:r>
        <w:rPr>
          <w:rFonts w:ascii="Arial" w:hAnsi="Arial" w:cs="Arial"/>
          <w:sz w:val="22"/>
          <w:szCs w:val="22"/>
        </w:rPr>
        <w:t>En el principio 20 de los Principios y directrices básicos sobre</w:t>
      </w:r>
      <w:r w:rsidRPr="00AA66EB">
        <w:rPr>
          <w:rFonts w:ascii="Arial" w:hAnsi="Arial" w:cs="Arial"/>
          <w:sz w:val="22"/>
          <w:szCs w:val="22"/>
        </w:rPr>
        <w:t xml:space="preserve"> el derecho de las víctimas de violaciones manifiestas de las normas internacionales de derechos humanos y de violaciones graves del derecho internacional humanitario a interponer recursos y obtener reparaciones</w:t>
      </w:r>
      <w:r>
        <w:rPr>
          <w:rFonts w:ascii="Arial" w:hAnsi="Arial" w:cs="Arial"/>
          <w:sz w:val="22"/>
          <w:szCs w:val="22"/>
        </w:rPr>
        <w:t>, se determina que l</w:t>
      </w:r>
      <w:r w:rsidRPr="00AA66EB">
        <w:rPr>
          <w:rFonts w:ascii="Arial" w:hAnsi="Arial" w:cs="Arial"/>
          <w:sz w:val="22"/>
          <w:szCs w:val="22"/>
        </w:rPr>
        <w:t>a</w:t>
      </w:r>
      <w:r w:rsidR="009449B9">
        <w:rPr>
          <w:rFonts w:ascii="Arial" w:hAnsi="Arial" w:cs="Arial"/>
          <w:sz w:val="22"/>
          <w:szCs w:val="22"/>
        </w:rPr>
        <w:t xml:space="preserve"> indemnización ha de concederse</w:t>
      </w:r>
      <w:r w:rsidRPr="00AA66EB">
        <w:rPr>
          <w:rFonts w:ascii="Arial" w:hAnsi="Arial" w:cs="Arial"/>
          <w:sz w:val="22"/>
          <w:szCs w:val="22"/>
        </w:rPr>
        <w:t xml:space="preserve"> de forma apropiada y proporcional a la gravedad de la violación y a </w:t>
      </w:r>
      <w:r w:rsidR="009449B9">
        <w:rPr>
          <w:rFonts w:ascii="Arial" w:hAnsi="Arial" w:cs="Arial"/>
          <w:sz w:val="22"/>
          <w:szCs w:val="22"/>
        </w:rPr>
        <w:t>las circunstancias de cada caso.</w:t>
      </w:r>
    </w:p>
    <w:p w:rsidR="009449B9" w:rsidRDefault="009449B9" w:rsidP="00705EB3">
      <w:pPr>
        <w:pStyle w:val="Body1"/>
        <w:spacing w:before="20" w:line="360" w:lineRule="auto"/>
        <w:jc w:val="both"/>
        <w:outlineLvl w:val="0"/>
        <w:rPr>
          <w:rFonts w:ascii="Arial" w:hAnsi="Arial" w:cs="Arial"/>
          <w:sz w:val="22"/>
          <w:szCs w:val="22"/>
        </w:rPr>
      </w:pPr>
    </w:p>
    <w:p w:rsidR="00FA4C53" w:rsidRPr="00AA66EB" w:rsidRDefault="00AA66EB" w:rsidP="00705EB3">
      <w:pPr>
        <w:pStyle w:val="Body1"/>
        <w:spacing w:before="20" w:line="360" w:lineRule="auto"/>
        <w:jc w:val="both"/>
        <w:outlineLvl w:val="0"/>
        <w:rPr>
          <w:rFonts w:ascii="Arial" w:hAnsi="Arial" w:cs="Arial"/>
          <w:sz w:val="22"/>
          <w:szCs w:val="22"/>
        </w:rPr>
      </w:pPr>
      <w:r>
        <w:rPr>
          <w:rFonts w:ascii="Arial" w:hAnsi="Arial" w:cs="Arial"/>
          <w:sz w:val="22"/>
          <w:szCs w:val="22"/>
        </w:rPr>
        <w:t>La indemnización no opera únicamente por las pérdidas patrimoniales de las víctimas y sus familiares sino por todos los daños evaluab</w:t>
      </w:r>
      <w:r w:rsidR="009449B9">
        <w:rPr>
          <w:rFonts w:ascii="Arial" w:hAnsi="Arial" w:cs="Arial"/>
          <w:sz w:val="22"/>
          <w:szCs w:val="22"/>
        </w:rPr>
        <w:t>les económicamente.</w:t>
      </w:r>
      <w:r>
        <w:rPr>
          <w:rFonts w:ascii="Arial" w:hAnsi="Arial" w:cs="Arial"/>
          <w:sz w:val="22"/>
          <w:szCs w:val="22"/>
        </w:rPr>
        <w:t xml:space="preserve"> </w:t>
      </w:r>
      <w:r w:rsidR="009449B9">
        <w:rPr>
          <w:rFonts w:ascii="Arial" w:hAnsi="Arial" w:cs="Arial"/>
          <w:sz w:val="22"/>
          <w:szCs w:val="22"/>
        </w:rPr>
        <w:t>Según los Principios y D</w:t>
      </w:r>
      <w:r>
        <w:rPr>
          <w:rFonts w:ascii="Arial" w:hAnsi="Arial" w:cs="Arial"/>
          <w:sz w:val="22"/>
          <w:szCs w:val="22"/>
        </w:rPr>
        <w:t xml:space="preserve">irectrices, entre las violaciones que </w:t>
      </w:r>
      <w:r w:rsidR="009449B9">
        <w:rPr>
          <w:rFonts w:ascii="Arial" w:hAnsi="Arial" w:cs="Arial"/>
          <w:sz w:val="22"/>
          <w:szCs w:val="22"/>
        </w:rPr>
        <w:t xml:space="preserve">deben ser indemnizadas están </w:t>
      </w:r>
      <w:r>
        <w:rPr>
          <w:rFonts w:ascii="Arial" w:hAnsi="Arial" w:cs="Arial"/>
          <w:sz w:val="22"/>
          <w:szCs w:val="22"/>
        </w:rPr>
        <w:t>el daño físico o mental; l</w:t>
      </w:r>
      <w:r w:rsidRPr="00AA66EB">
        <w:rPr>
          <w:rFonts w:ascii="Arial" w:hAnsi="Arial" w:cs="Arial"/>
          <w:sz w:val="22"/>
          <w:szCs w:val="22"/>
        </w:rPr>
        <w:t>a pérdida de oportunidades, en particular las de empleo, educación y prestaciones sociales;</w:t>
      </w:r>
      <w:r>
        <w:rPr>
          <w:rFonts w:ascii="Arial" w:hAnsi="Arial" w:cs="Arial"/>
          <w:sz w:val="22"/>
          <w:szCs w:val="22"/>
        </w:rPr>
        <w:t xml:space="preserve"> l</w:t>
      </w:r>
      <w:r w:rsidRPr="00AA66EB">
        <w:rPr>
          <w:rFonts w:ascii="Arial" w:hAnsi="Arial" w:cs="Arial"/>
          <w:sz w:val="22"/>
          <w:szCs w:val="22"/>
        </w:rPr>
        <w:t>os daños materiales y la pérdida de ingresos, incluido el lucro cesante;</w:t>
      </w:r>
      <w:r>
        <w:rPr>
          <w:rFonts w:ascii="Arial" w:hAnsi="Arial" w:cs="Arial"/>
          <w:sz w:val="22"/>
          <w:szCs w:val="22"/>
        </w:rPr>
        <w:t xml:space="preserve"> l</w:t>
      </w:r>
      <w:r w:rsidRPr="00AA66EB">
        <w:rPr>
          <w:rFonts w:ascii="Arial" w:hAnsi="Arial" w:cs="Arial"/>
          <w:sz w:val="22"/>
          <w:szCs w:val="22"/>
        </w:rPr>
        <w:t>os perjuicios morales;</w:t>
      </w:r>
      <w:r>
        <w:rPr>
          <w:rFonts w:ascii="Arial" w:hAnsi="Arial" w:cs="Arial"/>
          <w:sz w:val="22"/>
          <w:szCs w:val="22"/>
        </w:rPr>
        <w:t xml:space="preserve"> l</w:t>
      </w:r>
      <w:r w:rsidRPr="00AA66EB">
        <w:rPr>
          <w:rFonts w:ascii="Arial" w:hAnsi="Arial" w:cs="Arial"/>
          <w:sz w:val="22"/>
          <w:szCs w:val="22"/>
        </w:rPr>
        <w:t>os gastos de asistencia jurídica o de expertos, medicamentos y servicios médicos y servicios psicológicos y sociales.</w:t>
      </w:r>
      <w:r w:rsidR="00FA4C53" w:rsidRPr="00AA66EB">
        <w:rPr>
          <w:rFonts w:ascii="Arial" w:hAnsi="Arial" w:cs="Arial"/>
          <w:sz w:val="22"/>
          <w:szCs w:val="22"/>
        </w:rPr>
        <w:t xml:space="preserve"> </w:t>
      </w:r>
    </w:p>
    <w:p w:rsidR="00427BDC" w:rsidRDefault="00427BDC" w:rsidP="00427BDC">
      <w:pPr>
        <w:pStyle w:val="Body1"/>
        <w:spacing w:before="20" w:line="360" w:lineRule="auto"/>
        <w:jc w:val="both"/>
        <w:outlineLvl w:val="0"/>
        <w:rPr>
          <w:rFonts w:ascii="Arial" w:hAnsi="Arial" w:cs="Arial"/>
          <w:sz w:val="22"/>
          <w:szCs w:val="22"/>
          <w:u w:color="000000"/>
        </w:rPr>
      </w:pPr>
    </w:p>
    <w:p w:rsidR="00EE37E7" w:rsidRDefault="00427BDC" w:rsidP="006B2942">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Al calcular la indemnización,  la Corte tiene claro el principio de que la suma no </w:t>
      </w:r>
      <w:r w:rsidRPr="00D630EF">
        <w:rPr>
          <w:rFonts w:ascii="Arial" w:hAnsi="Arial" w:cs="Arial"/>
          <w:sz w:val="22"/>
          <w:szCs w:val="22"/>
          <w:u w:color="000000"/>
        </w:rPr>
        <w:t>debe significar ni enriquecimi</w:t>
      </w:r>
      <w:r>
        <w:rPr>
          <w:rFonts w:ascii="Arial" w:hAnsi="Arial" w:cs="Arial"/>
          <w:sz w:val="22"/>
          <w:szCs w:val="22"/>
          <w:u w:color="000000"/>
        </w:rPr>
        <w:t xml:space="preserve">ento ni empobrecimiento para la </w:t>
      </w:r>
      <w:r w:rsidRPr="00D630EF">
        <w:rPr>
          <w:rFonts w:ascii="Arial" w:hAnsi="Arial" w:cs="Arial"/>
          <w:sz w:val="22"/>
          <w:szCs w:val="22"/>
          <w:u w:color="000000"/>
        </w:rPr>
        <w:t>víctima,</w:t>
      </w:r>
      <w:r>
        <w:rPr>
          <w:rFonts w:ascii="Arial" w:hAnsi="Arial" w:cs="Arial"/>
          <w:sz w:val="22"/>
          <w:szCs w:val="22"/>
          <w:u w:color="000000"/>
        </w:rPr>
        <w:t xml:space="preserve"> o sus sucesores</w:t>
      </w:r>
      <w:r>
        <w:rPr>
          <w:rStyle w:val="Refdenotaalpie"/>
          <w:rFonts w:ascii="Arial" w:hAnsi="Arial" w:cs="Arial"/>
          <w:sz w:val="22"/>
          <w:szCs w:val="22"/>
          <w:u w:color="000000"/>
        </w:rPr>
        <w:footnoteReference w:id="92"/>
      </w:r>
      <w:r w:rsidR="00225803">
        <w:rPr>
          <w:rFonts w:ascii="Arial" w:hAnsi="Arial" w:cs="Arial"/>
          <w:sz w:val="22"/>
          <w:szCs w:val="22"/>
          <w:u w:color="000000"/>
        </w:rPr>
        <w:t>.</w:t>
      </w:r>
      <w:r>
        <w:rPr>
          <w:rFonts w:ascii="Arial" w:hAnsi="Arial" w:cs="Arial"/>
          <w:sz w:val="22"/>
          <w:szCs w:val="22"/>
          <w:u w:color="000000"/>
        </w:rPr>
        <w:t xml:space="preserve"> </w:t>
      </w:r>
      <w:r w:rsidR="00EE37E7">
        <w:rPr>
          <w:rFonts w:ascii="Arial" w:hAnsi="Arial" w:cs="Arial"/>
          <w:sz w:val="22"/>
          <w:szCs w:val="22"/>
          <w:u w:color="000000"/>
        </w:rPr>
        <w:t>Es decir que por concepto de indemnización se recibirá una suma de dinero evaluando las circunstancias del caso, la Corte IDH al momento de calcular el monto se refiere en primer lugar a los daños materiales y a continuación los daños inmateriales tomando en cuenta los alegatos de los representantes de las víctimas, de la comisión y del Estado.</w:t>
      </w:r>
    </w:p>
    <w:p w:rsidR="00EE37E7" w:rsidRDefault="00EE37E7" w:rsidP="00501EFB">
      <w:pPr>
        <w:pStyle w:val="Body1"/>
        <w:spacing w:before="20" w:line="360" w:lineRule="auto"/>
        <w:jc w:val="both"/>
        <w:outlineLvl w:val="0"/>
        <w:rPr>
          <w:rFonts w:ascii="Arial" w:hAnsi="Arial" w:cs="Arial"/>
          <w:sz w:val="22"/>
          <w:szCs w:val="22"/>
          <w:u w:color="000000"/>
        </w:rPr>
      </w:pPr>
    </w:p>
    <w:p w:rsidR="00060E0E" w:rsidRDefault="00427BDC"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 reparación del daño material incluye el lucro cesante y el daño emergente, cada caso en particular exige un análisis de las circunstancias concretas en</w:t>
      </w:r>
      <w:r w:rsidR="00923812">
        <w:rPr>
          <w:rFonts w:ascii="Arial" w:hAnsi="Arial" w:cs="Arial"/>
          <w:sz w:val="22"/>
          <w:szCs w:val="22"/>
          <w:u w:color="000000"/>
        </w:rPr>
        <w:t xml:space="preserve"> base a los derechos vulnerados.</w:t>
      </w:r>
      <w:r>
        <w:rPr>
          <w:rFonts w:ascii="Arial" w:hAnsi="Arial" w:cs="Arial"/>
          <w:sz w:val="22"/>
          <w:szCs w:val="22"/>
          <w:u w:color="000000"/>
        </w:rPr>
        <w:t xml:space="preserve"> </w:t>
      </w:r>
      <w:r w:rsidR="00923812">
        <w:rPr>
          <w:rFonts w:ascii="Arial" w:hAnsi="Arial" w:cs="Arial"/>
          <w:sz w:val="22"/>
          <w:szCs w:val="22"/>
          <w:u w:color="000000"/>
        </w:rPr>
        <w:t>Por</w:t>
      </w:r>
      <w:r>
        <w:rPr>
          <w:rFonts w:ascii="Arial" w:hAnsi="Arial" w:cs="Arial"/>
          <w:sz w:val="22"/>
          <w:szCs w:val="22"/>
          <w:u w:color="000000"/>
        </w:rPr>
        <w:t xml:space="preserve"> ejemplo, los casos de asesinato o desaparición de las víctimas, en casos de tortura o violaciones a la integridad en general donde la víctima se vea imposibilitada de trabajar.</w:t>
      </w:r>
    </w:p>
    <w:p w:rsidR="00060E0E" w:rsidRDefault="00060E0E" w:rsidP="00427BDC">
      <w:pPr>
        <w:pStyle w:val="Body1"/>
        <w:spacing w:before="20" w:line="360" w:lineRule="auto"/>
        <w:jc w:val="both"/>
        <w:outlineLvl w:val="0"/>
        <w:rPr>
          <w:rFonts w:ascii="Arial" w:hAnsi="Arial" w:cs="Arial"/>
          <w:sz w:val="22"/>
          <w:szCs w:val="22"/>
          <w:u w:color="000000"/>
        </w:rPr>
      </w:pPr>
    </w:p>
    <w:p w:rsidR="00AD346E" w:rsidRDefault="00060E0E"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lastRenderedPageBreak/>
        <w:t xml:space="preserve">La pérdida de ingresos es una de las primeras consideraciones que realiza la Corte respecto del daño material, para ello toma en cuenta </w:t>
      </w:r>
      <w:r w:rsidRPr="00060E0E">
        <w:rPr>
          <w:rFonts w:ascii="Arial" w:hAnsi="Arial" w:cs="Arial"/>
          <w:sz w:val="22"/>
          <w:szCs w:val="22"/>
          <w:u w:color="000000"/>
        </w:rPr>
        <w:t>elementos de prueba que permitan acreditar un perjuicio cierto</w:t>
      </w:r>
      <w:r w:rsidR="00923812">
        <w:rPr>
          <w:rFonts w:ascii="Arial" w:hAnsi="Arial" w:cs="Arial"/>
          <w:sz w:val="22"/>
          <w:szCs w:val="22"/>
          <w:u w:color="000000"/>
        </w:rPr>
        <w:t>. E</w:t>
      </w:r>
      <w:r>
        <w:rPr>
          <w:rFonts w:ascii="Arial" w:hAnsi="Arial" w:cs="Arial"/>
          <w:sz w:val="22"/>
          <w:szCs w:val="22"/>
          <w:u w:color="000000"/>
        </w:rPr>
        <w:t xml:space="preserve">n el caso de las Masacres de </w:t>
      </w:r>
      <w:proofErr w:type="spellStart"/>
      <w:r>
        <w:rPr>
          <w:rFonts w:ascii="Arial" w:hAnsi="Arial" w:cs="Arial"/>
          <w:sz w:val="22"/>
          <w:szCs w:val="22"/>
          <w:u w:color="000000"/>
        </w:rPr>
        <w:t>Utuango</w:t>
      </w:r>
      <w:proofErr w:type="spellEnd"/>
      <w:r>
        <w:rPr>
          <w:rFonts w:ascii="Arial" w:hAnsi="Arial" w:cs="Arial"/>
          <w:sz w:val="22"/>
          <w:szCs w:val="22"/>
          <w:u w:color="000000"/>
        </w:rPr>
        <w:t>, para la Corte fue difícil determinar este monto para la mayoría de las víctimas puesto que no obraban</w:t>
      </w:r>
      <w:r w:rsidRPr="00060E0E">
        <w:rPr>
          <w:rFonts w:ascii="Arial" w:hAnsi="Arial" w:cs="Arial"/>
          <w:sz w:val="22"/>
          <w:szCs w:val="22"/>
          <w:u w:color="000000"/>
        </w:rPr>
        <w:t xml:space="preserve"> pruebas suficientes para determinar los ingresos dejados de percibir, las edades ni las actividades a las que se dedicaban</w:t>
      </w:r>
      <w:r w:rsidR="00A27101">
        <w:rPr>
          <w:rFonts w:ascii="Arial" w:hAnsi="Arial" w:cs="Arial"/>
          <w:sz w:val="22"/>
          <w:szCs w:val="22"/>
          <w:u w:color="000000"/>
        </w:rPr>
        <w:t>; a pesar de ello la C</w:t>
      </w:r>
      <w:r>
        <w:rPr>
          <w:rFonts w:ascii="Arial" w:hAnsi="Arial" w:cs="Arial"/>
          <w:sz w:val="22"/>
          <w:szCs w:val="22"/>
          <w:u w:color="000000"/>
        </w:rPr>
        <w:t>orte</w:t>
      </w:r>
      <w:r w:rsidR="00A27101">
        <w:rPr>
          <w:rFonts w:ascii="Arial" w:hAnsi="Arial" w:cs="Arial"/>
          <w:sz w:val="22"/>
          <w:szCs w:val="22"/>
          <w:u w:color="000000"/>
        </w:rPr>
        <w:t xml:space="preserve"> IDH</w:t>
      </w:r>
      <w:r>
        <w:rPr>
          <w:rFonts w:ascii="Arial" w:hAnsi="Arial" w:cs="Arial"/>
          <w:sz w:val="22"/>
          <w:szCs w:val="22"/>
          <w:u w:color="000000"/>
        </w:rPr>
        <w:t xml:space="preserve"> decidió otorga</w:t>
      </w:r>
      <w:r w:rsidR="00923812">
        <w:rPr>
          <w:rFonts w:ascii="Arial" w:hAnsi="Arial" w:cs="Arial"/>
          <w:sz w:val="22"/>
          <w:szCs w:val="22"/>
          <w:u w:color="000000"/>
        </w:rPr>
        <w:t>r una indemnización en equidad,</w:t>
      </w:r>
      <w:r w:rsidRPr="00060E0E">
        <w:rPr>
          <w:rFonts w:ascii="Arial" w:hAnsi="Arial" w:cs="Arial"/>
          <w:sz w:val="22"/>
          <w:szCs w:val="22"/>
          <w:u w:color="000000"/>
        </w:rPr>
        <w:t xml:space="preserve"> sin perjuicio de que dichas personas puedan hacer uso de las vías disponibles en el derecho interno para recibir una indemnización correspondiente</w:t>
      </w:r>
      <w:r>
        <w:rPr>
          <w:rFonts w:ascii="Arial" w:hAnsi="Arial" w:cs="Arial"/>
          <w:sz w:val="22"/>
          <w:szCs w:val="22"/>
          <w:u w:color="000000"/>
        </w:rPr>
        <w:t xml:space="preserve">, la Corte </w:t>
      </w:r>
      <w:r w:rsidR="00A27101">
        <w:rPr>
          <w:rFonts w:ascii="Arial" w:hAnsi="Arial" w:cs="Arial"/>
          <w:sz w:val="22"/>
          <w:szCs w:val="22"/>
          <w:u w:color="000000"/>
        </w:rPr>
        <w:t xml:space="preserve">IDH </w:t>
      </w:r>
      <w:r>
        <w:rPr>
          <w:rFonts w:ascii="Arial" w:hAnsi="Arial" w:cs="Arial"/>
          <w:sz w:val="22"/>
          <w:szCs w:val="22"/>
          <w:u w:color="000000"/>
        </w:rPr>
        <w:t xml:space="preserve">además toma en cuenta en estos casos, la expectativa de vida del lugar y tiempo </w:t>
      </w:r>
      <w:r w:rsidR="00F451B9">
        <w:rPr>
          <w:rFonts w:ascii="Arial" w:hAnsi="Arial" w:cs="Arial"/>
          <w:sz w:val="22"/>
          <w:szCs w:val="22"/>
          <w:u w:color="000000"/>
        </w:rPr>
        <w:t>en el que se produjeron las violaciones. Como reparación de daño material, también se consideró en este caso la sustracción de ganado</w:t>
      </w:r>
      <w:r w:rsidR="00F451B9">
        <w:rPr>
          <w:rStyle w:val="Refdenotaalpie"/>
          <w:rFonts w:ascii="Arial" w:hAnsi="Arial" w:cs="Arial"/>
          <w:sz w:val="22"/>
          <w:szCs w:val="22"/>
          <w:u w:color="000000"/>
        </w:rPr>
        <w:footnoteReference w:id="93"/>
      </w:r>
      <w:r w:rsidR="00923812">
        <w:rPr>
          <w:rFonts w:ascii="Arial" w:hAnsi="Arial" w:cs="Arial"/>
          <w:sz w:val="22"/>
          <w:szCs w:val="22"/>
          <w:u w:color="000000"/>
        </w:rPr>
        <w:t>.</w:t>
      </w:r>
      <w:r>
        <w:rPr>
          <w:rFonts w:ascii="Arial" w:hAnsi="Arial" w:cs="Arial"/>
          <w:sz w:val="22"/>
          <w:szCs w:val="22"/>
          <w:u w:color="000000"/>
        </w:rPr>
        <w:t xml:space="preserve"> </w:t>
      </w:r>
      <w:r w:rsidR="00427BDC">
        <w:rPr>
          <w:rFonts w:ascii="Arial" w:hAnsi="Arial" w:cs="Arial"/>
          <w:sz w:val="22"/>
          <w:szCs w:val="22"/>
          <w:u w:color="000000"/>
        </w:rPr>
        <w:t xml:space="preserve"> </w:t>
      </w:r>
    </w:p>
    <w:p w:rsidR="00427BDC" w:rsidRPr="00D630EF" w:rsidRDefault="00427BDC" w:rsidP="00D630EF">
      <w:pPr>
        <w:pStyle w:val="Body1"/>
        <w:spacing w:before="20" w:line="360" w:lineRule="auto"/>
        <w:outlineLvl w:val="0"/>
        <w:rPr>
          <w:rFonts w:ascii="Arial" w:hAnsi="Arial" w:cs="Arial"/>
          <w:sz w:val="22"/>
          <w:szCs w:val="22"/>
          <w:u w:color="000000"/>
        </w:rPr>
      </w:pPr>
    </w:p>
    <w:p w:rsidR="00AD346E" w:rsidRPr="00D630EF" w:rsidRDefault="00C05913"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El e</w:t>
      </w:r>
      <w:r w:rsidR="00501EFB" w:rsidRPr="00501EFB">
        <w:rPr>
          <w:rFonts w:ascii="Arial" w:hAnsi="Arial" w:cs="Arial"/>
          <w:sz w:val="22"/>
          <w:szCs w:val="22"/>
          <w:u w:color="000000"/>
        </w:rPr>
        <w:t xml:space="preserve">quipo de Salud Mental del Centro de Estudios legales y Sociales (CELS) </w:t>
      </w:r>
      <w:r w:rsidR="00501EFB">
        <w:rPr>
          <w:rFonts w:ascii="Arial" w:hAnsi="Arial" w:cs="Arial"/>
          <w:sz w:val="22"/>
          <w:szCs w:val="22"/>
          <w:u w:color="000000"/>
        </w:rPr>
        <w:t xml:space="preserve">y </w:t>
      </w:r>
      <w:r>
        <w:rPr>
          <w:rFonts w:ascii="Arial" w:hAnsi="Arial" w:cs="Arial"/>
          <w:sz w:val="22"/>
          <w:szCs w:val="22"/>
          <w:u w:color="000000"/>
        </w:rPr>
        <w:t xml:space="preserve">el </w:t>
      </w:r>
      <w:r w:rsidR="00501EFB">
        <w:rPr>
          <w:rFonts w:ascii="Arial" w:hAnsi="Arial" w:cs="Arial"/>
          <w:sz w:val="22"/>
          <w:szCs w:val="22"/>
          <w:u w:color="000000"/>
        </w:rPr>
        <w:t>equipo interdisciplinario del proyecto Atención Integral a Víctimas de T</w:t>
      </w:r>
      <w:r w:rsidR="00501EFB" w:rsidRPr="00501EFB">
        <w:rPr>
          <w:rFonts w:ascii="Arial" w:hAnsi="Arial" w:cs="Arial"/>
          <w:sz w:val="22"/>
          <w:szCs w:val="22"/>
          <w:u w:color="000000"/>
        </w:rPr>
        <w:t>ortura del IIDH</w:t>
      </w:r>
      <w:r>
        <w:rPr>
          <w:rFonts w:ascii="Arial" w:hAnsi="Arial" w:cs="Arial"/>
          <w:sz w:val="22"/>
          <w:szCs w:val="22"/>
          <w:u w:color="000000"/>
        </w:rPr>
        <w:t>, indican</w:t>
      </w:r>
      <w:r w:rsidR="00923812">
        <w:rPr>
          <w:rFonts w:ascii="Arial" w:hAnsi="Arial" w:cs="Arial"/>
          <w:sz w:val="22"/>
          <w:szCs w:val="22"/>
          <w:u w:color="000000"/>
        </w:rPr>
        <w:t xml:space="preserve"> que</w:t>
      </w:r>
      <w:r w:rsidR="00501EFB" w:rsidRPr="00501EFB">
        <w:rPr>
          <w:rFonts w:ascii="Arial" w:hAnsi="Arial" w:cs="Arial"/>
          <w:sz w:val="22"/>
          <w:szCs w:val="22"/>
          <w:u w:color="000000"/>
        </w:rPr>
        <w:t xml:space="preserve"> </w:t>
      </w:r>
      <w:r w:rsidR="00501EFB">
        <w:rPr>
          <w:rFonts w:ascii="Arial" w:hAnsi="Arial" w:cs="Arial"/>
          <w:sz w:val="22"/>
          <w:szCs w:val="22"/>
          <w:u w:color="000000"/>
        </w:rPr>
        <w:t>l</w:t>
      </w:r>
      <w:r w:rsidR="00AD346E" w:rsidRPr="00D630EF">
        <w:rPr>
          <w:rFonts w:ascii="Arial" w:hAnsi="Arial" w:cs="Arial"/>
          <w:sz w:val="22"/>
          <w:szCs w:val="22"/>
          <w:u w:color="000000"/>
        </w:rPr>
        <w:t xml:space="preserve">a Corte </w:t>
      </w:r>
      <w:r w:rsidR="00A27101">
        <w:rPr>
          <w:rFonts w:ascii="Arial" w:hAnsi="Arial" w:cs="Arial"/>
          <w:sz w:val="22"/>
          <w:szCs w:val="22"/>
          <w:u w:color="000000"/>
        </w:rPr>
        <w:t xml:space="preserve">IDH </w:t>
      </w:r>
      <w:r w:rsidR="00AD346E" w:rsidRPr="00D630EF">
        <w:rPr>
          <w:rFonts w:ascii="Arial" w:hAnsi="Arial" w:cs="Arial"/>
          <w:sz w:val="22"/>
          <w:szCs w:val="22"/>
          <w:u w:color="000000"/>
        </w:rPr>
        <w:t xml:space="preserve">determina la indemnización por lucro cesante o pérdida de ingresos con elementos como: </w:t>
      </w:r>
    </w:p>
    <w:p w:rsidR="005B17C4" w:rsidRDefault="005B17C4" w:rsidP="005B17C4">
      <w:pPr>
        <w:pStyle w:val="Body1"/>
        <w:spacing w:before="20" w:line="276" w:lineRule="auto"/>
        <w:outlineLvl w:val="0"/>
        <w:rPr>
          <w:rFonts w:ascii="Arial" w:hAnsi="Arial" w:cs="Arial"/>
          <w:sz w:val="18"/>
          <w:szCs w:val="18"/>
          <w:u w:color="000000"/>
        </w:rPr>
      </w:pPr>
    </w:p>
    <w:p w:rsidR="00AD346E" w:rsidRPr="00225803" w:rsidRDefault="00AD346E" w:rsidP="002B0DA7">
      <w:pPr>
        <w:pStyle w:val="Body1"/>
        <w:spacing w:before="20" w:line="276" w:lineRule="auto"/>
        <w:ind w:firstLine="720"/>
        <w:jc w:val="both"/>
        <w:outlineLvl w:val="0"/>
        <w:rPr>
          <w:rFonts w:ascii="Arial" w:hAnsi="Arial" w:cs="Arial"/>
          <w:sz w:val="20"/>
          <w:u w:color="000000"/>
        </w:rPr>
      </w:pPr>
      <w:r w:rsidRPr="00225803">
        <w:rPr>
          <w:rFonts w:ascii="Arial" w:hAnsi="Arial" w:cs="Arial"/>
          <w:sz w:val="20"/>
          <w:u w:color="000000"/>
        </w:rPr>
        <w:t xml:space="preserve">-  </w:t>
      </w:r>
      <w:r w:rsidR="00501EFB" w:rsidRPr="00225803">
        <w:rPr>
          <w:rFonts w:ascii="Arial" w:hAnsi="Arial" w:cs="Arial"/>
          <w:sz w:val="20"/>
          <w:u w:color="000000"/>
        </w:rPr>
        <w:t xml:space="preserve">La </w:t>
      </w:r>
      <w:r w:rsidRPr="00225803">
        <w:rPr>
          <w:rFonts w:ascii="Arial" w:hAnsi="Arial" w:cs="Arial"/>
          <w:sz w:val="20"/>
          <w:u w:color="000000"/>
        </w:rPr>
        <w:t xml:space="preserve">actividad que realizaba la víctima </w:t>
      </w:r>
    </w:p>
    <w:p w:rsidR="00AD346E" w:rsidRPr="00225803" w:rsidRDefault="00AD346E" w:rsidP="002B0DA7">
      <w:pPr>
        <w:pStyle w:val="Body1"/>
        <w:spacing w:before="20" w:line="276" w:lineRule="auto"/>
        <w:ind w:firstLine="720"/>
        <w:jc w:val="both"/>
        <w:outlineLvl w:val="0"/>
        <w:rPr>
          <w:rFonts w:ascii="Arial" w:hAnsi="Arial" w:cs="Arial"/>
          <w:sz w:val="20"/>
          <w:u w:color="000000"/>
        </w:rPr>
      </w:pPr>
      <w:r w:rsidRPr="00225803">
        <w:rPr>
          <w:rFonts w:ascii="Arial" w:hAnsi="Arial" w:cs="Arial"/>
          <w:sz w:val="20"/>
          <w:u w:color="000000"/>
        </w:rPr>
        <w:t>- La expectativa de vida del lugar en donde se desarrollaron los hechos</w:t>
      </w:r>
    </w:p>
    <w:p w:rsidR="00AD346E" w:rsidRPr="00225803" w:rsidRDefault="00AD346E" w:rsidP="002B0DA7">
      <w:pPr>
        <w:pStyle w:val="Body1"/>
        <w:spacing w:before="20" w:line="276" w:lineRule="auto"/>
        <w:ind w:firstLine="720"/>
        <w:jc w:val="both"/>
        <w:outlineLvl w:val="0"/>
        <w:rPr>
          <w:rFonts w:ascii="Arial" w:hAnsi="Arial" w:cs="Arial"/>
          <w:sz w:val="20"/>
          <w:u w:color="000000"/>
        </w:rPr>
      </w:pPr>
      <w:r w:rsidRPr="00225803">
        <w:rPr>
          <w:rFonts w:ascii="Arial" w:hAnsi="Arial" w:cs="Arial"/>
          <w:sz w:val="20"/>
          <w:u w:color="000000"/>
        </w:rPr>
        <w:t>- Perfil profesional y la experiencia laboral</w:t>
      </w:r>
    </w:p>
    <w:p w:rsidR="00AD346E" w:rsidRPr="00225803" w:rsidRDefault="00AD346E" w:rsidP="002B0DA7">
      <w:pPr>
        <w:pStyle w:val="Body1"/>
        <w:spacing w:before="20" w:line="276" w:lineRule="auto"/>
        <w:ind w:firstLine="720"/>
        <w:jc w:val="both"/>
        <w:outlineLvl w:val="0"/>
        <w:rPr>
          <w:rFonts w:ascii="Arial" w:hAnsi="Arial" w:cs="Arial"/>
          <w:sz w:val="20"/>
          <w:u w:color="000000"/>
        </w:rPr>
      </w:pPr>
      <w:r w:rsidRPr="00225803">
        <w:rPr>
          <w:rFonts w:ascii="Arial" w:hAnsi="Arial" w:cs="Arial"/>
          <w:sz w:val="20"/>
          <w:u w:color="000000"/>
        </w:rPr>
        <w:t>- El tiempo que ha estado detenido</w:t>
      </w:r>
    </w:p>
    <w:p w:rsidR="00AD346E" w:rsidRPr="00225803" w:rsidRDefault="00AD346E" w:rsidP="002B0DA7">
      <w:pPr>
        <w:pStyle w:val="Body1"/>
        <w:spacing w:before="20" w:line="276" w:lineRule="auto"/>
        <w:ind w:firstLine="720"/>
        <w:jc w:val="both"/>
        <w:outlineLvl w:val="0"/>
        <w:rPr>
          <w:rFonts w:ascii="Arial" w:hAnsi="Arial" w:cs="Arial"/>
          <w:sz w:val="20"/>
          <w:u w:color="000000"/>
        </w:rPr>
      </w:pPr>
      <w:r w:rsidRPr="00225803">
        <w:rPr>
          <w:rFonts w:ascii="Arial" w:hAnsi="Arial" w:cs="Arial"/>
          <w:sz w:val="20"/>
          <w:u w:color="000000"/>
        </w:rPr>
        <w:t xml:space="preserve">- El ingreso que percibían las víctimas por sus actividades al momento de los </w:t>
      </w:r>
      <w:r w:rsidR="00D225AF" w:rsidRPr="00225803">
        <w:rPr>
          <w:rFonts w:ascii="Arial" w:hAnsi="Arial" w:cs="Arial"/>
          <w:sz w:val="20"/>
          <w:u w:color="000000"/>
        </w:rPr>
        <w:t xml:space="preserve">    </w:t>
      </w:r>
      <w:r w:rsidRPr="00225803">
        <w:rPr>
          <w:rFonts w:ascii="Arial" w:hAnsi="Arial" w:cs="Arial"/>
          <w:sz w:val="20"/>
          <w:u w:color="000000"/>
        </w:rPr>
        <w:t>hechos</w:t>
      </w:r>
      <w:r w:rsidR="005B17C4" w:rsidRPr="00225803">
        <w:rPr>
          <w:rFonts w:ascii="Arial" w:hAnsi="Arial" w:cs="Arial"/>
          <w:sz w:val="20"/>
          <w:u w:color="000000"/>
        </w:rPr>
        <w:t>.</w:t>
      </w:r>
    </w:p>
    <w:p w:rsidR="00501EFB" w:rsidRPr="00225803" w:rsidRDefault="00AD346E" w:rsidP="002B0DA7">
      <w:pPr>
        <w:pStyle w:val="Body1"/>
        <w:spacing w:before="20" w:line="276" w:lineRule="auto"/>
        <w:ind w:firstLine="720"/>
        <w:jc w:val="both"/>
        <w:outlineLvl w:val="0"/>
        <w:rPr>
          <w:rFonts w:ascii="Arial" w:hAnsi="Arial" w:cs="Arial"/>
          <w:sz w:val="20"/>
          <w:u w:color="000000"/>
        </w:rPr>
      </w:pPr>
      <w:r w:rsidRPr="00225803">
        <w:rPr>
          <w:rFonts w:ascii="Arial" w:hAnsi="Arial" w:cs="Arial"/>
          <w:sz w:val="20"/>
          <w:u w:color="000000"/>
        </w:rPr>
        <w:t>- Si la víctima se encontraba estudiando y la evidencia de que concluiría sus estudios</w:t>
      </w:r>
      <w:r w:rsidR="005B17C4" w:rsidRPr="00225803">
        <w:rPr>
          <w:rStyle w:val="Refdenotaalpie"/>
          <w:rFonts w:ascii="Arial" w:hAnsi="Arial" w:cs="Arial"/>
          <w:sz w:val="20"/>
          <w:u w:color="000000"/>
        </w:rPr>
        <w:footnoteReference w:id="94"/>
      </w:r>
      <w:r w:rsidR="005B17C4" w:rsidRPr="00225803">
        <w:rPr>
          <w:rFonts w:ascii="Arial" w:hAnsi="Arial" w:cs="Arial"/>
          <w:sz w:val="20"/>
          <w:u w:color="000000"/>
        </w:rPr>
        <w:t>.</w:t>
      </w:r>
      <w:r w:rsidRPr="00225803">
        <w:rPr>
          <w:rFonts w:ascii="Arial" w:hAnsi="Arial" w:cs="Arial"/>
          <w:sz w:val="20"/>
          <w:u w:color="000000"/>
        </w:rPr>
        <w:t xml:space="preserve"> </w:t>
      </w:r>
    </w:p>
    <w:p w:rsidR="005B17C4" w:rsidRPr="005B17C4" w:rsidRDefault="005B17C4" w:rsidP="005B17C4">
      <w:pPr>
        <w:pStyle w:val="Body1"/>
        <w:spacing w:before="20" w:line="276" w:lineRule="auto"/>
        <w:outlineLvl w:val="0"/>
        <w:rPr>
          <w:rFonts w:ascii="Arial" w:hAnsi="Arial" w:cs="Arial"/>
          <w:sz w:val="18"/>
          <w:szCs w:val="18"/>
          <w:u w:color="000000"/>
        </w:rPr>
      </w:pPr>
    </w:p>
    <w:p w:rsidR="00AD346E" w:rsidRPr="00D630EF" w:rsidRDefault="00C05913"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Tales elementos así como el daño emergente, deben ser alegados con el apoyo de las pruebas correspondientes, ello para que los jueces se formen un criterio tal </w:t>
      </w:r>
      <w:r w:rsidR="00A27101">
        <w:rPr>
          <w:rFonts w:ascii="Arial" w:hAnsi="Arial" w:cs="Arial"/>
          <w:sz w:val="22"/>
          <w:szCs w:val="22"/>
          <w:u w:color="000000"/>
        </w:rPr>
        <w:t xml:space="preserve">que </w:t>
      </w:r>
      <w:r>
        <w:rPr>
          <w:rFonts w:ascii="Arial" w:hAnsi="Arial" w:cs="Arial"/>
          <w:sz w:val="22"/>
          <w:szCs w:val="22"/>
          <w:u w:color="000000"/>
        </w:rPr>
        <w:t>responda a la realidad de los hechos, es importante que las partes aporten las pruebas en los momentos procesales determinados, sobre todo para que las pruebas puedan ser controvertidas por la contraparte, y no sean excluidas por falta de formalidades procesales.</w:t>
      </w:r>
      <w:r w:rsidR="00AD346E" w:rsidRPr="00D630EF">
        <w:rPr>
          <w:rFonts w:ascii="Arial" w:hAnsi="Arial" w:cs="Arial"/>
          <w:sz w:val="22"/>
          <w:szCs w:val="22"/>
          <w:u w:color="000000"/>
        </w:rPr>
        <w:t xml:space="preserve"> </w:t>
      </w:r>
    </w:p>
    <w:p w:rsidR="00AD346E" w:rsidRPr="00D630EF" w:rsidRDefault="00AD346E" w:rsidP="00C05913">
      <w:pPr>
        <w:pStyle w:val="Body1"/>
        <w:spacing w:before="20" w:line="360" w:lineRule="auto"/>
        <w:outlineLvl w:val="0"/>
        <w:rPr>
          <w:rFonts w:ascii="Arial" w:hAnsi="Arial" w:cs="Arial"/>
          <w:sz w:val="22"/>
          <w:szCs w:val="22"/>
          <w:u w:color="000000"/>
        </w:rPr>
      </w:pPr>
    </w:p>
    <w:p w:rsidR="00AD346E" w:rsidRPr="00D630EF" w:rsidRDefault="00C05913"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Generalmente la Corte </w:t>
      </w:r>
      <w:r w:rsidR="00A27101">
        <w:rPr>
          <w:rFonts w:ascii="Arial" w:hAnsi="Arial" w:cs="Arial"/>
          <w:sz w:val="22"/>
          <w:szCs w:val="22"/>
          <w:u w:color="000000"/>
        </w:rPr>
        <w:t xml:space="preserve">IDH </w:t>
      </w:r>
      <w:r>
        <w:rPr>
          <w:rFonts w:ascii="Arial" w:hAnsi="Arial" w:cs="Arial"/>
          <w:sz w:val="22"/>
          <w:szCs w:val="22"/>
          <w:u w:color="000000"/>
        </w:rPr>
        <w:t xml:space="preserve">establece plazos para que el Estado realice el pago de las indemnizaciones a las </w:t>
      </w:r>
      <w:proofErr w:type="spellStart"/>
      <w:r>
        <w:rPr>
          <w:rFonts w:ascii="Arial" w:hAnsi="Arial" w:cs="Arial"/>
          <w:sz w:val="22"/>
          <w:szCs w:val="22"/>
          <w:u w:color="000000"/>
        </w:rPr>
        <w:t>victimas</w:t>
      </w:r>
      <w:proofErr w:type="spellEnd"/>
      <w:r>
        <w:rPr>
          <w:rFonts w:ascii="Arial" w:hAnsi="Arial" w:cs="Arial"/>
          <w:sz w:val="22"/>
          <w:szCs w:val="22"/>
          <w:u w:color="000000"/>
        </w:rPr>
        <w:t xml:space="preserve"> y/o a los familiares, es importante que dicho pago se realice de forma breve</w:t>
      </w:r>
      <w:r w:rsidR="00531182">
        <w:rPr>
          <w:rFonts w:ascii="Arial" w:hAnsi="Arial" w:cs="Arial"/>
          <w:sz w:val="22"/>
          <w:szCs w:val="22"/>
          <w:u w:color="000000"/>
        </w:rPr>
        <w:t>,</w:t>
      </w:r>
      <w:r>
        <w:rPr>
          <w:rFonts w:ascii="Arial" w:hAnsi="Arial" w:cs="Arial"/>
          <w:sz w:val="22"/>
          <w:szCs w:val="22"/>
          <w:u w:color="000000"/>
        </w:rPr>
        <w:t xml:space="preserve"> </w:t>
      </w:r>
      <w:r w:rsidR="00531182">
        <w:rPr>
          <w:rFonts w:ascii="Arial" w:hAnsi="Arial" w:cs="Arial"/>
          <w:sz w:val="22"/>
          <w:szCs w:val="22"/>
          <w:u w:color="000000"/>
        </w:rPr>
        <w:t>s</w:t>
      </w:r>
      <w:r w:rsidR="00923812">
        <w:rPr>
          <w:rFonts w:ascii="Arial" w:hAnsi="Arial" w:cs="Arial"/>
          <w:sz w:val="22"/>
          <w:szCs w:val="22"/>
          <w:u w:color="000000"/>
        </w:rPr>
        <w:t>in</w:t>
      </w:r>
      <w:r>
        <w:rPr>
          <w:rFonts w:ascii="Arial" w:hAnsi="Arial" w:cs="Arial"/>
          <w:sz w:val="22"/>
          <w:szCs w:val="22"/>
          <w:u w:color="000000"/>
        </w:rPr>
        <w:t xml:space="preserve"> embargo</w:t>
      </w:r>
      <w:r w:rsidR="00923812">
        <w:rPr>
          <w:rFonts w:ascii="Arial" w:hAnsi="Arial" w:cs="Arial"/>
          <w:sz w:val="22"/>
          <w:szCs w:val="22"/>
          <w:u w:color="000000"/>
        </w:rPr>
        <w:t>,</w:t>
      </w:r>
      <w:r>
        <w:rPr>
          <w:rFonts w:ascii="Arial" w:hAnsi="Arial" w:cs="Arial"/>
          <w:sz w:val="22"/>
          <w:szCs w:val="22"/>
          <w:u w:color="000000"/>
        </w:rPr>
        <w:t xml:space="preserve"> se presentan casos </w:t>
      </w:r>
      <w:r w:rsidR="00A27101">
        <w:rPr>
          <w:rFonts w:ascii="Arial" w:hAnsi="Arial" w:cs="Arial"/>
          <w:sz w:val="22"/>
          <w:szCs w:val="22"/>
          <w:u w:color="000000"/>
        </w:rPr>
        <w:t xml:space="preserve">en que </w:t>
      </w:r>
      <w:r>
        <w:rPr>
          <w:rFonts w:ascii="Arial" w:hAnsi="Arial" w:cs="Arial"/>
          <w:sz w:val="22"/>
          <w:szCs w:val="22"/>
          <w:u w:color="000000"/>
        </w:rPr>
        <w:t xml:space="preserve">los Estados interponen una serie de trámites que obstaculizan este fin, debiendo las víctimas atravesar por </w:t>
      </w:r>
      <w:r>
        <w:rPr>
          <w:rFonts w:ascii="Arial" w:hAnsi="Arial" w:cs="Arial"/>
          <w:sz w:val="22"/>
          <w:szCs w:val="22"/>
          <w:u w:color="000000"/>
        </w:rPr>
        <w:lastRenderedPageBreak/>
        <w:t xml:space="preserve">procesos de naturaleza civil previo al efectivo cumplimiento de esta obligación, dependiendo del caso no bastaría </w:t>
      </w:r>
      <w:r w:rsidR="00E45D8C">
        <w:rPr>
          <w:rFonts w:ascii="Arial" w:hAnsi="Arial" w:cs="Arial"/>
          <w:sz w:val="22"/>
          <w:szCs w:val="22"/>
          <w:u w:color="000000"/>
        </w:rPr>
        <w:t>más</w:t>
      </w:r>
      <w:r>
        <w:rPr>
          <w:rFonts w:ascii="Arial" w:hAnsi="Arial" w:cs="Arial"/>
          <w:sz w:val="22"/>
          <w:szCs w:val="22"/>
          <w:u w:color="000000"/>
        </w:rPr>
        <w:t xml:space="preserve"> que la acreditación de la identidad y el parentesco </w:t>
      </w:r>
      <w:r w:rsidR="00E45D8C">
        <w:rPr>
          <w:rFonts w:ascii="Arial" w:hAnsi="Arial" w:cs="Arial"/>
          <w:sz w:val="22"/>
          <w:szCs w:val="22"/>
          <w:u w:color="000000"/>
        </w:rPr>
        <w:t>según corresponda para que se efectúe el pago.</w:t>
      </w:r>
    </w:p>
    <w:p w:rsidR="00AD346E" w:rsidRDefault="00AD346E" w:rsidP="00547DEC">
      <w:pPr>
        <w:pStyle w:val="Body1"/>
        <w:spacing w:before="20" w:line="360" w:lineRule="auto"/>
        <w:outlineLvl w:val="0"/>
        <w:rPr>
          <w:rFonts w:ascii="Arial" w:hAnsi="Arial" w:cs="Arial"/>
          <w:sz w:val="22"/>
          <w:szCs w:val="22"/>
          <w:u w:color="000000"/>
        </w:rPr>
      </w:pPr>
    </w:p>
    <w:p w:rsidR="00723D41" w:rsidRPr="00D630EF" w:rsidRDefault="00E45D8C"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 determinación del monto por indemnizacio</w:t>
      </w:r>
      <w:r w:rsidR="00FA4C53" w:rsidRPr="00D630EF">
        <w:rPr>
          <w:rFonts w:ascii="Arial" w:hAnsi="Arial" w:cs="Arial"/>
          <w:sz w:val="22"/>
          <w:szCs w:val="22"/>
          <w:u w:color="000000"/>
        </w:rPr>
        <w:t>n</w:t>
      </w:r>
      <w:r>
        <w:rPr>
          <w:rFonts w:ascii="Arial" w:hAnsi="Arial" w:cs="Arial"/>
          <w:sz w:val="22"/>
          <w:szCs w:val="22"/>
          <w:u w:color="000000"/>
        </w:rPr>
        <w:t xml:space="preserve">es no es un asunto que se deje al arbitrio o discrecionalidad de los Jueces. La </w:t>
      </w:r>
      <w:r w:rsidR="00FA4C53" w:rsidRPr="00D630EF">
        <w:rPr>
          <w:rFonts w:ascii="Arial" w:hAnsi="Arial" w:cs="Arial"/>
          <w:sz w:val="22"/>
          <w:szCs w:val="22"/>
          <w:u w:color="000000"/>
        </w:rPr>
        <w:t xml:space="preserve">Corte </w:t>
      </w:r>
      <w:r>
        <w:rPr>
          <w:rFonts w:ascii="Arial" w:hAnsi="Arial" w:cs="Arial"/>
          <w:sz w:val="22"/>
          <w:szCs w:val="22"/>
          <w:u w:color="000000"/>
        </w:rPr>
        <w:t xml:space="preserve">debe seguir principios establecidos por la doctrina y la jurisprudencia.  En este sentido la Corte </w:t>
      </w:r>
      <w:r w:rsidR="00106556">
        <w:rPr>
          <w:rFonts w:ascii="Arial" w:hAnsi="Arial" w:cs="Arial"/>
          <w:sz w:val="22"/>
          <w:szCs w:val="22"/>
          <w:u w:color="000000"/>
        </w:rPr>
        <w:t xml:space="preserve">IDH </w:t>
      </w:r>
      <w:r>
        <w:rPr>
          <w:rFonts w:ascii="Arial" w:hAnsi="Arial" w:cs="Arial"/>
          <w:sz w:val="22"/>
          <w:szCs w:val="22"/>
          <w:u w:color="000000"/>
        </w:rPr>
        <w:t xml:space="preserve">actúa bajo los principios de </w:t>
      </w:r>
      <w:r w:rsidR="00723D41" w:rsidRPr="00723D41">
        <w:rPr>
          <w:rFonts w:ascii="Arial" w:hAnsi="Arial" w:cs="Arial"/>
          <w:sz w:val="22"/>
          <w:szCs w:val="22"/>
          <w:u w:color="000000"/>
        </w:rPr>
        <w:t>apr</w:t>
      </w:r>
      <w:r>
        <w:rPr>
          <w:rFonts w:ascii="Arial" w:hAnsi="Arial" w:cs="Arial"/>
          <w:sz w:val="22"/>
          <w:szCs w:val="22"/>
          <w:u w:color="000000"/>
        </w:rPr>
        <w:t xml:space="preserve">eciación prudente de los daños y de equidad. En el caso </w:t>
      </w:r>
      <w:proofErr w:type="spellStart"/>
      <w:r>
        <w:rPr>
          <w:rFonts w:ascii="Arial" w:hAnsi="Arial" w:cs="Arial"/>
          <w:sz w:val="22"/>
          <w:szCs w:val="22"/>
          <w:u w:color="000000"/>
        </w:rPr>
        <w:t>Aloeboetoe</w:t>
      </w:r>
      <w:proofErr w:type="spellEnd"/>
      <w:r>
        <w:rPr>
          <w:rFonts w:ascii="Arial" w:hAnsi="Arial" w:cs="Arial"/>
          <w:sz w:val="22"/>
          <w:szCs w:val="22"/>
          <w:u w:color="000000"/>
        </w:rPr>
        <w:t xml:space="preserve"> la sentencia </w:t>
      </w:r>
      <w:r w:rsidR="00106556">
        <w:rPr>
          <w:rFonts w:ascii="Arial" w:hAnsi="Arial" w:cs="Arial"/>
          <w:sz w:val="22"/>
          <w:szCs w:val="22"/>
          <w:u w:color="000000"/>
        </w:rPr>
        <w:t>utilizó</w:t>
      </w:r>
      <w:r>
        <w:rPr>
          <w:rFonts w:ascii="Arial" w:hAnsi="Arial" w:cs="Arial"/>
          <w:sz w:val="22"/>
          <w:szCs w:val="22"/>
          <w:u w:color="000000"/>
        </w:rPr>
        <w:t xml:space="preserve"> los </w:t>
      </w:r>
      <w:r w:rsidR="00723D41" w:rsidRPr="00723D41">
        <w:rPr>
          <w:rFonts w:ascii="Arial" w:hAnsi="Arial" w:cs="Arial"/>
          <w:sz w:val="22"/>
          <w:szCs w:val="22"/>
          <w:u w:color="000000"/>
        </w:rPr>
        <w:t>métodos seguidos regular</w:t>
      </w:r>
      <w:r>
        <w:rPr>
          <w:rFonts w:ascii="Arial" w:hAnsi="Arial" w:cs="Arial"/>
          <w:sz w:val="22"/>
          <w:szCs w:val="22"/>
          <w:u w:color="000000"/>
        </w:rPr>
        <w:t>mente por la jurisprudencia y actuó</w:t>
      </w:r>
      <w:r w:rsidR="00723D41" w:rsidRPr="00723D41">
        <w:rPr>
          <w:rFonts w:ascii="Arial" w:hAnsi="Arial" w:cs="Arial"/>
          <w:sz w:val="22"/>
          <w:szCs w:val="22"/>
          <w:u w:color="000000"/>
        </w:rPr>
        <w:t xml:space="preserve"> con prudencia y razonabilidad al haber verificado </w:t>
      </w:r>
      <w:r w:rsidR="00723D41" w:rsidRPr="00E45D8C">
        <w:rPr>
          <w:rFonts w:ascii="Arial" w:hAnsi="Arial" w:cs="Arial"/>
          <w:i/>
          <w:sz w:val="22"/>
          <w:szCs w:val="22"/>
          <w:u w:color="000000"/>
        </w:rPr>
        <w:t>in situ</w:t>
      </w:r>
      <w:r w:rsidR="00723D41" w:rsidRPr="00723D41">
        <w:rPr>
          <w:rFonts w:ascii="Arial" w:hAnsi="Arial" w:cs="Arial"/>
          <w:sz w:val="22"/>
          <w:szCs w:val="22"/>
          <w:u w:color="000000"/>
        </w:rPr>
        <w:t xml:space="preserve">, a través de su Secretaria adjunta, </w:t>
      </w:r>
      <w:r>
        <w:rPr>
          <w:rFonts w:ascii="Arial" w:hAnsi="Arial" w:cs="Arial"/>
          <w:sz w:val="22"/>
          <w:szCs w:val="22"/>
          <w:u w:color="000000"/>
        </w:rPr>
        <w:t xml:space="preserve">para verificar </w:t>
      </w:r>
      <w:r w:rsidR="00723D41" w:rsidRPr="00723D41">
        <w:rPr>
          <w:rFonts w:ascii="Arial" w:hAnsi="Arial" w:cs="Arial"/>
          <w:sz w:val="22"/>
          <w:szCs w:val="22"/>
          <w:u w:color="000000"/>
        </w:rPr>
        <w:t>las cifras que sirvieron de base a sus cálculos</w:t>
      </w:r>
      <w:r>
        <w:rPr>
          <w:rStyle w:val="Refdenotaalpie"/>
          <w:rFonts w:ascii="Arial" w:hAnsi="Arial" w:cs="Arial"/>
          <w:sz w:val="22"/>
          <w:szCs w:val="22"/>
          <w:u w:color="000000"/>
        </w:rPr>
        <w:footnoteReference w:id="95"/>
      </w:r>
      <w:r w:rsidR="00723D41" w:rsidRPr="00723D41">
        <w:rPr>
          <w:rFonts w:ascii="Arial" w:hAnsi="Arial" w:cs="Arial"/>
          <w:sz w:val="22"/>
          <w:szCs w:val="22"/>
          <w:u w:color="000000"/>
        </w:rPr>
        <w:t>.</w:t>
      </w:r>
    </w:p>
    <w:p w:rsidR="00AD346E" w:rsidRDefault="00AD346E" w:rsidP="00D630EF">
      <w:pPr>
        <w:pStyle w:val="Body1"/>
        <w:spacing w:before="20" w:line="360" w:lineRule="auto"/>
        <w:outlineLvl w:val="0"/>
        <w:rPr>
          <w:rFonts w:ascii="Arial" w:hAnsi="Arial" w:cs="Arial"/>
          <w:sz w:val="22"/>
          <w:szCs w:val="22"/>
          <w:u w:color="000000"/>
        </w:rPr>
      </w:pPr>
    </w:p>
    <w:p w:rsidR="004651C0" w:rsidRDefault="00E45D8C"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cuanto al d</w:t>
      </w:r>
      <w:r w:rsidR="005F3D4E">
        <w:rPr>
          <w:rFonts w:ascii="Arial" w:hAnsi="Arial" w:cs="Arial"/>
          <w:sz w:val="22"/>
          <w:szCs w:val="22"/>
          <w:u w:color="000000"/>
        </w:rPr>
        <w:t>año inmateria</w:t>
      </w:r>
      <w:r w:rsidR="000A229B">
        <w:rPr>
          <w:rFonts w:ascii="Arial" w:hAnsi="Arial" w:cs="Arial"/>
          <w:sz w:val="22"/>
          <w:szCs w:val="22"/>
          <w:u w:color="000000"/>
        </w:rPr>
        <w:t>l</w:t>
      </w:r>
      <w:r w:rsidR="00EA3CEE">
        <w:rPr>
          <w:rFonts w:ascii="Arial" w:hAnsi="Arial" w:cs="Arial"/>
          <w:sz w:val="22"/>
          <w:szCs w:val="22"/>
          <w:u w:color="000000"/>
        </w:rPr>
        <w:t>, este tiene que ver con las pérdidas intangibles, aquellas que forman parte de la personalidad de la víctima y sus familiares</w:t>
      </w:r>
      <w:r w:rsidR="000A229B">
        <w:rPr>
          <w:rFonts w:ascii="Arial" w:hAnsi="Arial" w:cs="Arial"/>
          <w:sz w:val="22"/>
          <w:szCs w:val="22"/>
          <w:u w:color="000000"/>
        </w:rPr>
        <w:t>, forma parte de su esfera psicológica, no existe una forma objetiva de medir el nivel de sufrimiento o dolor que sienten los perjudicados, es difícil aun establecer todo el daño producto de las vi</w:t>
      </w:r>
      <w:r w:rsidR="00531182">
        <w:rPr>
          <w:rFonts w:ascii="Arial" w:hAnsi="Arial" w:cs="Arial"/>
          <w:sz w:val="22"/>
          <w:szCs w:val="22"/>
          <w:u w:color="000000"/>
        </w:rPr>
        <w:t>olaciones.</w:t>
      </w:r>
      <w:r w:rsidR="00106556">
        <w:rPr>
          <w:rFonts w:ascii="Arial" w:hAnsi="Arial" w:cs="Arial"/>
          <w:sz w:val="22"/>
          <w:szCs w:val="22"/>
          <w:u w:color="000000"/>
        </w:rPr>
        <w:t xml:space="preserve"> </w:t>
      </w:r>
      <w:r w:rsidR="00531182">
        <w:rPr>
          <w:rFonts w:ascii="Arial" w:hAnsi="Arial" w:cs="Arial"/>
          <w:sz w:val="22"/>
          <w:szCs w:val="22"/>
          <w:u w:color="000000"/>
        </w:rPr>
        <w:t>Existen</w:t>
      </w:r>
      <w:r w:rsidR="00106556">
        <w:rPr>
          <w:rFonts w:ascii="Arial" w:hAnsi="Arial" w:cs="Arial"/>
          <w:sz w:val="22"/>
          <w:szCs w:val="22"/>
          <w:u w:color="000000"/>
        </w:rPr>
        <w:t xml:space="preserve"> daños</w:t>
      </w:r>
      <w:r w:rsidR="000A229B">
        <w:rPr>
          <w:rFonts w:ascii="Arial" w:hAnsi="Arial" w:cs="Arial"/>
          <w:sz w:val="22"/>
          <w:szCs w:val="22"/>
          <w:u w:color="000000"/>
        </w:rPr>
        <w:t xml:space="preserve"> que no se evidencian al momento de perpetradas las violaciones sino que se van presentando con el tiempo, por ello es conveniente que se atienda el daño inmaterial en la medida que represente para las víctimas y sus familiares una compensación por los daños infr</w:t>
      </w:r>
      <w:r w:rsidR="00106556">
        <w:rPr>
          <w:rFonts w:ascii="Arial" w:hAnsi="Arial" w:cs="Arial"/>
          <w:sz w:val="22"/>
          <w:szCs w:val="22"/>
          <w:u w:color="000000"/>
        </w:rPr>
        <w:t xml:space="preserve">ingidos. </w:t>
      </w:r>
    </w:p>
    <w:p w:rsidR="004651C0" w:rsidRDefault="004651C0" w:rsidP="00705EB3">
      <w:pPr>
        <w:pStyle w:val="Body1"/>
        <w:spacing w:before="20" w:line="360" w:lineRule="auto"/>
        <w:jc w:val="both"/>
        <w:outlineLvl w:val="0"/>
        <w:rPr>
          <w:rFonts w:ascii="Arial" w:hAnsi="Arial" w:cs="Arial"/>
          <w:sz w:val="22"/>
          <w:szCs w:val="22"/>
          <w:u w:color="000000"/>
        </w:rPr>
      </w:pPr>
    </w:p>
    <w:p w:rsidR="004651C0" w:rsidRDefault="00106556"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Posiblemente parezca</w:t>
      </w:r>
      <w:r w:rsidR="000A229B">
        <w:rPr>
          <w:rFonts w:ascii="Arial" w:hAnsi="Arial" w:cs="Arial"/>
          <w:sz w:val="22"/>
          <w:szCs w:val="22"/>
          <w:u w:color="000000"/>
        </w:rPr>
        <w:t xml:space="preserve"> paradójico el hecho de resarcir el daño  emocional o psicológico con una suma en dinero</w:t>
      </w:r>
      <w:r>
        <w:rPr>
          <w:rFonts w:ascii="Arial" w:hAnsi="Arial" w:cs="Arial"/>
          <w:sz w:val="22"/>
          <w:szCs w:val="22"/>
          <w:u w:color="000000"/>
        </w:rPr>
        <w:t>,</w:t>
      </w:r>
      <w:r w:rsidR="000A229B">
        <w:rPr>
          <w:rFonts w:ascii="Arial" w:hAnsi="Arial" w:cs="Arial"/>
          <w:sz w:val="22"/>
          <w:szCs w:val="22"/>
          <w:u w:color="000000"/>
        </w:rPr>
        <w:t xml:space="preserve"> pero así lo ha entendido la Corte IDH, que en términos general</w:t>
      </w:r>
      <w:r w:rsidR="004651C0">
        <w:rPr>
          <w:rFonts w:ascii="Arial" w:hAnsi="Arial" w:cs="Arial"/>
          <w:sz w:val="22"/>
          <w:szCs w:val="22"/>
          <w:u w:color="000000"/>
        </w:rPr>
        <w:t>es</w:t>
      </w:r>
      <w:r w:rsidR="000A229B">
        <w:rPr>
          <w:rFonts w:ascii="Arial" w:hAnsi="Arial" w:cs="Arial"/>
          <w:sz w:val="22"/>
          <w:szCs w:val="22"/>
          <w:u w:color="000000"/>
        </w:rPr>
        <w:t xml:space="preserve"> señala que e</w:t>
      </w:r>
      <w:r w:rsidR="005F3D4E" w:rsidRPr="005F3D4E">
        <w:rPr>
          <w:rFonts w:ascii="Arial" w:hAnsi="Arial" w:cs="Arial"/>
          <w:sz w:val="22"/>
          <w:szCs w:val="22"/>
          <w:u w:color="000000"/>
        </w:rPr>
        <w:t>l daño inmaterial puede comprender tanto los sufrimientos y las aflicciones causados a la víctima directa y a sus allegados, el menoscabo de valores muy significativos para las personas, así como las alteraciones, de carácter no pecuniario, en las condiciones de existencia de la víctima o su familia</w:t>
      </w:r>
      <w:r w:rsidR="00854C7F">
        <w:rPr>
          <w:rStyle w:val="Refdenotaalpie"/>
          <w:rFonts w:ascii="Arial" w:hAnsi="Arial" w:cs="Arial"/>
          <w:sz w:val="22"/>
          <w:szCs w:val="22"/>
          <w:u w:color="000000"/>
        </w:rPr>
        <w:footnoteReference w:id="96"/>
      </w:r>
      <w:r w:rsidR="005F3D4E" w:rsidRPr="005F3D4E">
        <w:rPr>
          <w:rFonts w:ascii="Arial" w:hAnsi="Arial" w:cs="Arial"/>
          <w:sz w:val="22"/>
          <w:szCs w:val="22"/>
          <w:u w:color="000000"/>
        </w:rPr>
        <w:t xml:space="preserve">. </w:t>
      </w:r>
    </w:p>
    <w:p w:rsidR="004651C0" w:rsidRDefault="004651C0" w:rsidP="00705EB3">
      <w:pPr>
        <w:pStyle w:val="Body1"/>
        <w:spacing w:before="20" w:line="360" w:lineRule="auto"/>
        <w:jc w:val="both"/>
        <w:outlineLvl w:val="0"/>
        <w:rPr>
          <w:rFonts w:ascii="Arial" w:hAnsi="Arial" w:cs="Arial"/>
          <w:sz w:val="22"/>
          <w:szCs w:val="22"/>
          <w:u w:color="000000"/>
        </w:rPr>
      </w:pPr>
    </w:p>
    <w:p w:rsidR="005F3D4E" w:rsidRDefault="005F3D4E" w:rsidP="00705EB3">
      <w:pPr>
        <w:pStyle w:val="Body1"/>
        <w:spacing w:before="20" w:line="360" w:lineRule="auto"/>
        <w:jc w:val="both"/>
        <w:outlineLvl w:val="0"/>
        <w:rPr>
          <w:rFonts w:ascii="Arial" w:hAnsi="Arial" w:cs="Arial"/>
          <w:sz w:val="22"/>
          <w:szCs w:val="22"/>
          <w:u w:color="000000"/>
        </w:rPr>
      </w:pPr>
      <w:r w:rsidRPr="005F3D4E">
        <w:rPr>
          <w:rFonts w:ascii="Arial" w:hAnsi="Arial" w:cs="Arial"/>
          <w:sz w:val="22"/>
          <w:szCs w:val="22"/>
          <w:u w:color="000000"/>
        </w:rPr>
        <w:t xml:space="preserve">Dado que no es posible asignar al daño inmaterial un equivalente monetario preciso, sólo puede ser objeto de compensación mediante el pago de una </w:t>
      </w:r>
      <w:r w:rsidR="00854C7F">
        <w:rPr>
          <w:rFonts w:ascii="Arial" w:hAnsi="Arial" w:cs="Arial"/>
          <w:sz w:val="22"/>
          <w:szCs w:val="22"/>
          <w:u w:color="000000"/>
        </w:rPr>
        <w:t>c</w:t>
      </w:r>
      <w:r w:rsidRPr="005F3D4E">
        <w:rPr>
          <w:rFonts w:ascii="Arial" w:hAnsi="Arial" w:cs="Arial"/>
          <w:sz w:val="22"/>
          <w:szCs w:val="22"/>
          <w:u w:color="000000"/>
        </w:rPr>
        <w:t>antidad de dinero o la entrega de bienes o servicios aprec</w:t>
      </w:r>
      <w:r w:rsidR="00854C7F">
        <w:rPr>
          <w:rFonts w:ascii="Arial" w:hAnsi="Arial" w:cs="Arial"/>
          <w:sz w:val="22"/>
          <w:szCs w:val="22"/>
          <w:u w:color="000000"/>
        </w:rPr>
        <w:t>iables en dinero, que se</w:t>
      </w:r>
      <w:r w:rsidRPr="005F3D4E">
        <w:rPr>
          <w:rFonts w:ascii="Arial" w:hAnsi="Arial" w:cs="Arial"/>
          <w:sz w:val="22"/>
          <w:szCs w:val="22"/>
          <w:u w:color="000000"/>
        </w:rPr>
        <w:t xml:space="preserve"> determina</w:t>
      </w:r>
      <w:r w:rsidR="00854C7F">
        <w:rPr>
          <w:rFonts w:ascii="Arial" w:hAnsi="Arial" w:cs="Arial"/>
          <w:sz w:val="22"/>
          <w:szCs w:val="22"/>
          <w:u w:color="000000"/>
        </w:rPr>
        <w:t>n</w:t>
      </w:r>
      <w:r w:rsidRPr="005F3D4E">
        <w:rPr>
          <w:rFonts w:ascii="Arial" w:hAnsi="Arial" w:cs="Arial"/>
          <w:sz w:val="22"/>
          <w:szCs w:val="22"/>
          <w:u w:color="000000"/>
        </w:rPr>
        <w:t xml:space="preserve"> en términos de equidad, así como mediante la realización de actos u obras de alcance o repercusión </w:t>
      </w:r>
      <w:r w:rsidRPr="005F3D4E">
        <w:rPr>
          <w:rFonts w:ascii="Arial" w:hAnsi="Arial" w:cs="Arial"/>
          <w:sz w:val="22"/>
          <w:szCs w:val="22"/>
          <w:u w:color="000000"/>
        </w:rPr>
        <w:lastRenderedPageBreak/>
        <w:t>públicos, que tengan como efecto el reconocimiento de la dignidad de la víctima y evitar que vuelvan a ocurrir violaciones de los derechos humanos</w:t>
      </w:r>
      <w:r w:rsidR="00854C7F">
        <w:rPr>
          <w:rStyle w:val="Refdenotaalpie"/>
          <w:rFonts w:ascii="Arial" w:hAnsi="Arial" w:cs="Arial"/>
          <w:sz w:val="22"/>
          <w:szCs w:val="22"/>
          <w:u w:color="000000"/>
        </w:rPr>
        <w:footnoteReference w:id="97"/>
      </w:r>
      <w:r w:rsidR="00854C7F">
        <w:rPr>
          <w:rFonts w:ascii="Arial" w:hAnsi="Arial" w:cs="Arial"/>
          <w:sz w:val="22"/>
          <w:szCs w:val="22"/>
          <w:u w:color="000000"/>
        </w:rPr>
        <w:t>.</w:t>
      </w:r>
    </w:p>
    <w:p w:rsidR="000D72BA" w:rsidRDefault="000D72BA" w:rsidP="00854C7F">
      <w:pPr>
        <w:pStyle w:val="Body1"/>
        <w:spacing w:before="20" w:line="360" w:lineRule="auto"/>
        <w:jc w:val="both"/>
        <w:outlineLvl w:val="0"/>
        <w:rPr>
          <w:rFonts w:ascii="Arial" w:hAnsi="Arial" w:cs="Arial"/>
          <w:sz w:val="22"/>
          <w:szCs w:val="22"/>
          <w:u w:color="000000"/>
        </w:rPr>
      </w:pPr>
    </w:p>
    <w:p w:rsidR="000D72BA" w:rsidRDefault="000D72BA"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El caso </w:t>
      </w:r>
      <w:proofErr w:type="spellStart"/>
      <w:r>
        <w:rPr>
          <w:rFonts w:ascii="Arial" w:hAnsi="Arial" w:cs="Arial"/>
          <w:sz w:val="22"/>
          <w:szCs w:val="22"/>
          <w:u w:color="000000"/>
        </w:rPr>
        <w:t>Caesar</w:t>
      </w:r>
      <w:proofErr w:type="spellEnd"/>
      <w:r>
        <w:rPr>
          <w:rFonts w:ascii="Arial" w:hAnsi="Arial" w:cs="Arial"/>
          <w:sz w:val="22"/>
          <w:szCs w:val="22"/>
          <w:u w:color="000000"/>
        </w:rPr>
        <w:t xml:space="preserve">, por otro lado reviste un especial interés en lo referente a reparación moral pues, cuando la Comisión IDH sometió ante la Corte IDH la demanda contra el Estado de Trinidad y Tobago, por la presunta violación a los derechos humanos del señor </w:t>
      </w:r>
      <w:proofErr w:type="spellStart"/>
      <w:r>
        <w:rPr>
          <w:rFonts w:ascii="Arial" w:hAnsi="Arial" w:cs="Arial"/>
          <w:sz w:val="22"/>
          <w:szCs w:val="22"/>
          <w:u w:color="000000"/>
        </w:rPr>
        <w:t>Caesar</w:t>
      </w:r>
      <w:proofErr w:type="spellEnd"/>
      <w:r>
        <w:rPr>
          <w:rFonts w:ascii="Arial" w:hAnsi="Arial" w:cs="Arial"/>
          <w:sz w:val="22"/>
          <w:szCs w:val="22"/>
          <w:u w:color="000000"/>
        </w:rPr>
        <w:t>, señaló que</w:t>
      </w:r>
      <w:r w:rsidRPr="000D72BA">
        <w:rPr>
          <w:rFonts w:ascii="Arial" w:hAnsi="Arial" w:cs="Arial"/>
          <w:sz w:val="22"/>
          <w:szCs w:val="22"/>
          <w:u w:color="000000"/>
        </w:rPr>
        <w:t>, la ley actual de Trinidad y Tobago permite la imposición de penas corporales</w:t>
      </w:r>
      <w:r>
        <w:rPr>
          <w:rFonts w:ascii="Arial" w:hAnsi="Arial" w:cs="Arial"/>
          <w:sz w:val="22"/>
          <w:szCs w:val="22"/>
          <w:u w:color="000000"/>
        </w:rPr>
        <w:t xml:space="preserve">, y que la supuesta víctima había sido </w:t>
      </w:r>
      <w:r w:rsidR="007877EE">
        <w:rPr>
          <w:rFonts w:ascii="Arial" w:hAnsi="Arial" w:cs="Arial"/>
          <w:sz w:val="22"/>
          <w:szCs w:val="22"/>
          <w:u w:color="000000"/>
        </w:rPr>
        <w:t>sometida a tal castigo corporal, lo que le provocó daño físico y psicológico</w:t>
      </w:r>
      <w:r w:rsidR="00C267CA">
        <w:rPr>
          <w:rFonts w:ascii="Arial" w:hAnsi="Arial" w:cs="Arial"/>
          <w:sz w:val="22"/>
          <w:szCs w:val="22"/>
          <w:u w:color="000000"/>
        </w:rPr>
        <w:t xml:space="preserve">, </w:t>
      </w:r>
      <w:r w:rsidR="00C267CA" w:rsidRPr="00C267CA">
        <w:rPr>
          <w:rFonts w:ascii="Arial" w:hAnsi="Arial" w:cs="Arial"/>
          <w:sz w:val="22"/>
          <w:szCs w:val="22"/>
          <w:u w:color="000000"/>
        </w:rPr>
        <w:t>específic</w:t>
      </w:r>
      <w:r w:rsidR="00C267CA">
        <w:rPr>
          <w:rFonts w:ascii="Arial" w:hAnsi="Arial" w:cs="Arial"/>
          <w:sz w:val="22"/>
          <w:szCs w:val="22"/>
          <w:u w:color="000000"/>
        </w:rPr>
        <w:t xml:space="preserve">amente la angustia, miedo y </w:t>
      </w:r>
      <w:r w:rsidR="00C267CA" w:rsidRPr="00C267CA">
        <w:rPr>
          <w:rFonts w:ascii="Arial" w:hAnsi="Arial" w:cs="Arial"/>
          <w:sz w:val="22"/>
          <w:szCs w:val="22"/>
          <w:u w:color="000000"/>
        </w:rPr>
        <w:t>humillación antes y durante la flagelación</w:t>
      </w:r>
      <w:r w:rsidR="00C267CA">
        <w:rPr>
          <w:rFonts w:ascii="Arial" w:hAnsi="Arial" w:cs="Arial"/>
          <w:sz w:val="22"/>
          <w:szCs w:val="22"/>
          <w:u w:color="000000"/>
        </w:rPr>
        <w:t xml:space="preserve">. Tales daños incluyeron </w:t>
      </w:r>
      <w:r w:rsidR="00C267CA" w:rsidRPr="00C267CA">
        <w:rPr>
          <w:rFonts w:ascii="Arial" w:hAnsi="Arial" w:cs="Arial"/>
          <w:sz w:val="22"/>
          <w:szCs w:val="22"/>
          <w:u w:color="000000"/>
        </w:rPr>
        <w:t>síntomas de depresión, miedo y ansiedad lo suficientemente graves como para que el perito Robert Ferris le diagnosticara, un trastorno de adaptación</w:t>
      </w:r>
      <w:r w:rsidR="00434330">
        <w:rPr>
          <w:rStyle w:val="Refdenotaalpie"/>
          <w:rFonts w:ascii="Arial" w:hAnsi="Arial" w:cs="Arial"/>
          <w:sz w:val="22"/>
          <w:szCs w:val="22"/>
          <w:u w:color="000000"/>
        </w:rPr>
        <w:footnoteReference w:id="98"/>
      </w:r>
      <w:r w:rsidR="00C267CA">
        <w:rPr>
          <w:rFonts w:ascii="Arial" w:hAnsi="Arial" w:cs="Arial"/>
          <w:sz w:val="22"/>
          <w:szCs w:val="22"/>
          <w:u w:color="000000"/>
        </w:rPr>
        <w:t>. La Corte determinó cierta suma de dinero por compensación de daño inmaterial</w:t>
      </w:r>
      <w:r w:rsidR="00AA461D">
        <w:rPr>
          <w:rFonts w:ascii="Arial" w:hAnsi="Arial" w:cs="Arial"/>
          <w:sz w:val="22"/>
          <w:szCs w:val="22"/>
          <w:u w:color="000000"/>
        </w:rPr>
        <w:t>.</w:t>
      </w:r>
      <w:r w:rsidR="00C267CA">
        <w:rPr>
          <w:rFonts w:ascii="Arial" w:hAnsi="Arial" w:cs="Arial"/>
          <w:sz w:val="22"/>
          <w:szCs w:val="22"/>
          <w:u w:color="000000"/>
        </w:rPr>
        <w:t xml:space="preserve"> </w:t>
      </w:r>
    </w:p>
    <w:p w:rsidR="00AA461D" w:rsidRDefault="00AA461D" w:rsidP="00C267CA">
      <w:pPr>
        <w:pStyle w:val="Body1"/>
        <w:spacing w:before="20" w:line="360" w:lineRule="auto"/>
        <w:jc w:val="both"/>
        <w:outlineLvl w:val="0"/>
        <w:rPr>
          <w:rFonts w:ascii="Arial" w:hAnsi="Arial" w:cs="Arial"/>
          <w:sz w:val="22"/>
          <w:szCs w:val="22"/>
          <w:u w:color="000000"/>
        </w:rPr>
      </w:pPr>
    </w:p>
    <w:p w:rsidR="00AA461D" w:rsidRPr="005F3D4E" w:rsidRDefault="00AA461D"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Es importante respecto a los daños inmateriales o morales, que se cuente con informes técnicos de especialistas que evalúen el estado tanto de las víctimas como de sus familiares, es necesario que la Corte IDH mantenga una línea jurisprudencial amplia en este sentido a fin de que se extienda la protección a los derechos humanos, si bien existe cierta dificultad por reducir a una suma monetaria los daños morales es fundamental que el acervo jurisprudencial de la Corte </w:t>
      </w:r>
      <w:r w:rsidR="00106556">
        <w:rPr>
          <w:rFonts w:ascii="Arial" w:hAnsi="Arial" w:cs="Arial"/>
          <w:sz w:val="22"/>
          <w:szCs w:val="22"/>
          <w:u w:color="000000"/>
        </w:rPr>
        <w:t xml:space="preserve">IDH </w:t>
      </w:r>
      <w:r>
        <w:rPr>
          <w:rFonts w:ascii="Arial" w:hAnsi="Arial" w:cs="Arial"/>
          <w:sz w:val="22"/>
          <w:szCs w:val="22"/>
          <w:u w:color="000000"/>
        </w:rPr>
        <w:t xml:space="preserve">sirva de base para las decisiones de casos a futuro, </w:t>
      </w:r>
      <w:r w:rsidR="001A78D3">
        <w:rPr>
          <w:rFonts w:ascii="Arial" w:hAnsi="Arial" w:cs="Arial"/>
          <w:sz w:val="22"/>
          <w:szCs w:val="22"/>
          <w:u w:color="000000"/>
        </w:rPr>
        <w:t>formando</w:t>
      </w:r>
      <w:r>
        <w:rPr>
          <w:rFonts w:ascii="Arial" w:hAnsi="Arial" w:cs="Arial"/>
          <w:sz w:val="22"/>
          <w:szCs w:val="22"/>
          <w:u w:color="000000"/>
        </w:rPr>
        <w:t xml:space="preserve"> criterios que den contenido al derecho a la reparación.    </w:t>
      </w:r>
    </w:p>
    <w:p w:rsidR="005F3D4E" w:rsidRPr="00D630EF" w:rsidRDefault="005F3D4E" w:rsidP="00854C7F">
      <w:pPr>
        <w:pStyle w:val="Body1"/>
        <w:spacing w:before="20" w:line="360" w:lineRule="auto"/>
        <w:outlineLvl w:val="0"/>
        <w:rPr>
          <w:rFonts w:ascii="Arial" w:hAnsi="Arial" w:cs="Arial"/>
          <w:sz w:val="22"/>
          <w:szCs w:val="22"/>
          <w:u w:color="000000"/>
        </w:rPr>
      </w:pPr>
    </w:p>
    <w:p w:rsidR="00AD346E" w:rsidRPr="00705EB3" w:rsidRDefault="00651974" w:rsidP="00B656C2">
      <w:pPr>
        <w:pStyle w:val="Body1"/>
        <w:numPr>
          <w:ilvl w:val="2"/>
          <w:numId w:val="7"/>
        </w:numPr>
        <w:spacing w:before="20" w:line="360" w:lineRule="auto"/>
        <w:outlineLvl w:val="2"/>
        <w:rPr>
          <w:rFonts w:ascii="Arial" w:hAnsi="Arial" w:cs="Arial"/>
          <w:b/>
          <w:sz w:val="22"/>
          <w:szCs w:val="22"/>
          <w:u w:color="000000"/>
        </w:rPr>
      </w:pPr>
      <w:bookmarkStart w:id="15" w:name="_Toc356432252"/>
      <w:r>
        <w:rPr>
          <w:rFonts w:ascii="Arial" w:hAnsi="Arial" w:cs="Arial"/>
          <w:b/>
          <w:sz w:val="22"/>
          <w:szCs w:val="22"/>
          <w:u w:color="000000"/>
        </w:rPr>
        <w:t>R</w:t>
      </w:r>
      <w:r w:rsidRPr="00705EB3">
        <w:rPr>
          <w:rFonts w:ascii="Arial" w:hAnsi="Arial" w:cs="Arial"/>
          <w:b/>
          <w:sz w:val="22"/>
          <w:szCs w:val="22"/>
          <w:u w:color="000000"/>
        </w:rPr>
        <w:t>ehabilitación y satisfacción</w:t>
      </w:r>
      <w:bookmarkEnd w:id="15"/>
      <w:r w:rsidRPr="00705EB3">
        <w:rPr>
          <w:rFonts w:ascii="Arial" w:hAnsi="Arial" w:cs="Arial"/>
          <w:b/>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547DEC" w:rsidRPr="00651974" w:rsidRDefault="00705EB3" w:rsidP="00B656C2">
      <w:pPr>
        <w:pStyle w:val="Body1"/>
        <w:numPr>
          <w:ilvl w:val="3"/>
          <w:numId w:val="7"/>
        </w:numPr>
        <w:spacing w:before="20" w:line="360" w:lineRule="auto"/>
        <w:jc w:val="both"/>
        <w:outlineLvl w:val="3"/>
        <w:rPr>
          <w:rFonts w:ascii="Arial" w:hAnsi="Arial" w:cs="Arial"/>
          <w:i/>
          <w:sz w:val="22"/>
          <w:szCs w:val="22"/>
          <w:u w:color="000000"/>
        </w:rPr>
      </w:pPr>
      <w:r w:rsidRPr="00651974">
        <w:rPr>
          <w:rFonts w:ascii="Arial" w:hAnsi="Arial" w:cs="Arial"/>
          <w:i/>
          <w:sz w:val="22"/>
          <w:szCs w:val="22"/>
          <w:u w:color="000000"/>
        </w:rPr>
        <w:t>Rehabilitación</w:t>
      </w:r>
    </w:p>
    <w:p w:rsidR="00547DEC" w:rsidRDefault="00547DEC" w:rsidP="00D225AF">
      <w:pPr>
        <w:pStyle w:val="Body1"/>
        <w:spacing w:before="20" w:line="360" w:lineRule="auto"/>
        <w:jc w:val="both"/>
        <w:outlineLvl w:val="0"/>
        <w:rPr>
          <w:rFonts w:ascii="Arial" w:hAnsi="Arial" w:cs="Arial"/>
          <w:sz w:val="22"/>
          <w:szCs w:val="22"/>
          <w:u w:color="000000"/>
        </w:rPr>
      </w:pPr>
    </w:p>
    <w:p w:rsidR="00117D15" w:rsidRDefault="00ED1528"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Según los Principios y directrices, la rehabilitación</w:t>
      </w:r>
      <w:r w:rsidRPr="00ED1528">
        <w:rPr>
          <w:rFonts w:ascii="Arial" w:hAnsi="Arial" w:cs="Arial"/>
          <w:sz w:val="22"/>
          <w:szCs w:val="22"/>
          <w:u w:color="000000"/>
        </w:rPr>
        <w:t xml:space="preserve"> ha de incluir la atención médica y psicológica, así como servicios jurídicos y sociales</w:t>
      </w:r>
      <w:r>
        <w:rPr>
          <w:rStyle w:val="Refdenotaalpie"/>
          <w:rFonts w:ascii="Arial" w:hAnsi="Arial" w:cs="Arial"/>
          <w:sz w:val="22"/>
          <w:szCs w:val="22"/>
          <w:u w:color="000000"/>
        </w:rPr>
        <w:footnoteReference w:id="99"/>
      </w:r>
      <w:r>
        <w:rPr>
          <w:rFonts w:ascii="Arial" w:hAnsi="Arial" w:cs="Arial"/>
          <w:sz w:val="22"/>
          <w:szCs w:val="22"/>
          <w:u w:color="000000"/>
        </w:rPr>
        <w:t>. Las medidas de rehabilitación a menudo son tratadas como parte de medidas de satisfacción</w:t>
      </w:r>
      <w:r w:rsidR="00117D15">
        <w:rPr>
          <w:rFonts w:ascii="Arial" w:hAnsi="Arial" w:cs="Arial"/>
          <w:sz w:val="22"/>
          <w:szCs w:val="22"/>
          <w:u w:color="000000"/>
        </w:rPr>
        <w:t xml:space="preserve">, sin embargo se diferencian por buscar la atención de las víctimas y sus familiares por daños causados a su salud por </w:t>
      </w:r>
      <w:r w:rsidR="00117D15">
        <w:rPr>
          <w:rFonts w:ascii="Arial" w:hAnsi="Arial" w:cs="Arial"/>
          <w:sz w:val="22"/>
          <w:szCs w:val="22"/>
          <w:u w:color="000000"/>
        </w:rPr>
        <w:lastRenderedPageBreak/>
        <w:t>motivo de las violaciones, se procura una atención integral tanto a la salud física como mental a cargo del Estado, así como suministrar a los afectados todos los servicios que impliquen tal rehabilitación, entre ellos se incluyen aparatos orto</w:t>
      </w:r>
      <w:r w:rsidR="00106556">
        <w:rPr>
          <w:rFonts w:ascii="Arial" w:hAnsi="Arial" w:cs="Arial"/>
          <w:sz w:val="22"/>
          <w:szCs w:val="22"/>
          <w:u w:color="000000"/>
        </w:rPr>
        <w:t>pédicos, prótesis, medicamentos, además de los gastos en asistencia legal.</w:t>
      </w:r>
    </w:p>
    <w:p w:rsidR="00117D15" w:rsidRDefault="00117D15" w:rsidP="00D225AF">
      <w:pPr>
        <w:pStyle w:val="Body1"/>
        <w:spacing w:before="20" w:line="360" w:lineRule="auto"/>
        <w:jc w:val="both"/>
        <w:outlineLvl w:val="0"/>
        <w:rPr>
          <w:rFonts w:ascii="Arial" w:hAnsi="Arial" w:cs="Arial"/>
          <w:sz w:val="22"/>
          <w:szCs w:val="22"/>
          <w:u w:color="000000"/>
        </w:rPr>
      </w:pPr>
    </w:p>
    <w:p w:rsidR="00EE194E" w:rsidRDefault="002658A2"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En el caso </w:t>
      </w:r>
      <w:proofErr w:type="spellStart"/>
      <w:r>
        <w:rPr>
          <w:rFonts w:ascii="Arial" w:hAnsi="Arial" w:cs="Arial"/>
          <w:sz w:val="22"/>
          <w:szCs w:val="22"/>
          <w:u w:color="000000"/>
        </w:rPr>
        <w:t>Furlan</w:t>
      </w:r>
      <w:proofErr w:type="spellEnd"/>
      <w:r>
        <w:rPr>
          <w:rFonts w:ascii="Arial" w:hAnsi="Arial" w:cs="Arial"/>
          <w:sz w:val="22"/>
          <w:szCs w:val="22"/>
          <w:u w:color="000000"/>
        </w:rPr>
        <w:t xml:space="preserve"> y familiares vs. Argentina, las medidas de reparación tomaron especial importancia pues la víctima era una persona con discapacidad que por demoras en el pago de indemnizaciones civiles p</w:t>
      </w:r>
      <w:r w:rsidR="00601C05">
        <w:rPr>
          <w:rFonts w:ascii="Arial" w:hAnsi="Arial" w:cs="Arial"/>
          <w:sz w:val="22"/>
          <w:szCs w:val="22"/>
          <w:u w:color="000000"/>
        </w:rPr>
        <w:t>or parte del Estado,</w:t>
      </w:r>
      <w:r>
        <w:rPr>
          <w:rFonts w:ascii="Arial" w:hAnsi="Arial" w:cs="Arial"/>
          <w:sz w:val="22"/>
          <w:szCs w:val="22"/>
          <w:u w:color="000000"/>
        </w:rPr>
        <w:t xml:space="preserve"> no pudo </w:t>
      </w:r>
      <w:r w:rsidR="00601C05">
        <w:rPr>
          <w:rFonts w:ascii="Arial" w:hAnsi="Arial" w:cs="Arial"/>
          <w:sz w:val="22"/>
          <w:szCs w:val="22"/>
          <w:u w:color="000000"/>
        </w:rPr>
        <w:t>recibir</w:t>
      </w:r>
      <w:r>
        <w:rPr>
          <w:rFonts w:ascii="Arial" w:hAnsi="Arial" w:cs="Arial"/>
          <w:sz w:val="22"/>
          <w:szCs w:val="22"/>
          <w:u w:color="000000"/>
        </w:rPr>
        <w:t xml:space="preserve"> tra</w:t>
      </w:r>
      <w:r w:rsidR="00601C05">
        <w:rPr>
          <w:rFonts w:ascii="Arial" w:hAnsi="Arial" w:cs="Arial"/>
          <w:sz w:val="22"/>
          <w:szCs w:val="22"/>
          <w:u w:color="000000"/>
        </w:rPr>
        <w:t>ta</w:t>
      </w:r>
      <w:r>
        <w:rPr>
          <w:rFonts w:ascii="Arial" w:hAnsi="Arial" w:cs="Arial"/>
          <w:sz w:val="22"/>
          <w:szCs w:val="22"/>
          <w:u w:color="000000"/>
        </w:rPr>
        <w:t>m</w:t>
      </w:r>
      <w:r w:rsidR="00106556">
        <w:rPr>
          <w:rFonts w:ascii="Arial" w:hAnsi="Arial" w:cs="Arial"/>
          <w:sz w:val="22"/>
          <w:szCs w:val="22"/>
          <w:u w:color="000000"/>
        </w:rPr>
        <w:t>iento médico oportuno que</w:t>
      </w:r>
      <w:r>
        <w:rPr>
          <w:rFonts w:ascii="Arial" w:hAnsi="Arial" w:cs="Arial"/>
          <w:sz w:val="22"/>
          <w:szCs w:val="22"/>
          <w:u w:color="000000"/>
        </w:rPr>
        <w:t xml:space="preserve"> mejorar</w:t>
      </w:r>
      <w:r w:rsidR="00106556">
        <w:rPr>
          <w:rFonts w:ascii="Arial" w:hAnsi="Arial" w:cs="Arial"/>
          <w:sz w:val="22"/>
          <w:szCs w:val="22"/>
          <w:u w:color="000000"/>
        </w:rPr>
        <w:t>ía</w:t>
      </w:r>
      <w:r>
        <w:rPr>
          <w:rFonts w:ascii="Arial" w:hAnsi="Arial" w:cs="Arial"/>
          <w:sz w:val="22"/>
          <w:szCs w:val="22"/>
          <w:u w:color="000000"/>
        </w:rPr>
        <w:t xml:space="preserve"> su condición</w:t>
      </w:r>
      <w:r w:rsidR="00601C05">
        <w:rPr>
          <w:rFonts w:ascii="Arial" w:hAnsi="Arial" w:cs="Arial"/>
          <w:sz w:val="22"/>
          <w:szCs w:val="22"/>
          <w:u w:color="000000"/>
        </w:rPr>
        <w:t xml:space="preserve">. La Corte señaló en este caso que </w:t>
      </w:r>
      <w:r w:rsidR="00601C05" w:rsidRPr="00601C05">
        <w:rPr>
          <w:rFonts w:ascii="Arial" w:hAnsi="Arial" w:cs="Arial"/>
          <w:sz w:val="22"/>
          <w:szCs w:val="22"/>
          <w:u w:color="000000"/>
        </w:rPr>
        <w:t>la atención de salud debe estar disponible a toda persona que lo necesite. Todo tratamiento a personas con discapacidad debe estar dirigido al mejor interés del paciente, debe tener como objetivo preservar su dignidad y su autonomía, reducir el impacto de la enfermedad, y mejorar su calidad de vida</w:t>
      </w:r>
      <w:r w:rsidR="00601C05">
        <w:rPr>
          <w:rFonts w:ascii="Arial" w:hAnsi="Arial" w:cs="Arial"/>
          <w:sz w:val="22"/>
          <w:szCs w:val="22"/>
          <w:u w:color="000000"/>
        </w:rPr>
        <w:t>. En este caso fueron considera</w:t>
      </w:r>
      <w:r w:rsidR="00434330">
        <w:rPr>
          <w:rFonts w:ascii="Arial" w:hAnsi="Arial" w:cs="Arial"/>
          <w:sz w:val="22"/>
          <w:szCs w:val="22"/>
          <w:u w:color="000000"/>
        </w:rPr>
        <w:t>da</w:t>
      </w:r>
      <w:r w:rsidR="00601C05">
        <w:rPr>
          <w:rFonts w:ascii="Arial" w:hAnsi="Arial" w:cs="Arial"/>
          <w:sz w:val="22"/>
          <w:szCs w:val="22"/>
          <w:u w:color="000000"/>
        </w:rPr>
        <w:t>s normas de la Convención sobre los derechos de personas con discapacidad</w:t>
      </w:r>
      <w:r w:rsidR="00434330">
        <w:rPr>
          <w:rStyle w:val="Refdenotaalpie"/>
          <w:rFonts w:ascii="Arial" w:hAnsi="Arial" w:cs="Arial"/>
          <w:sz w:val="22"/>
          <w:szCs w:val="22"/>
          <w:u w:color="000000"/>
        </w:rPr>
        <w:footnoteReference w:id="100"/>
      </w:r>
      <w:r w:rsidR="00601C05">
        <w:rPr>
          <w:rFonts w:ascii="Arial" w:hAnsi="Arial" w:cs="Arial"/>
          <w:sz w:val="22"/>
          <w:szCs w:val="22"/>
          <w:u w:color="000000"/>
        </w:rPr>
        <w:t xml:space="preserve">, específicamente el artículo 25 que en relación al derecho a la rehabilitación establece el </w:t>
      </w:r>
      <w:r w:rsidR="00A90550" w:rsidRPr="00A90550">
        <w:rPr>
          <w:rFonts w:ascii="Arial" w:hAnsi="Arial" w:cs="Arial"/>
          <w:sz w:val="22"/>
          <w:szCs w:val="22"/>
          <w:u w:color="000000"/>
        </w:rPr>
        <w:t xml:space="preserve">derecho </w:t>
      </w:r>
      <w:r w:rsidR="00A90550">
        <w:rPr>
          <w:rFonts w:ascii="Arial" w:hAnsi="Arial" w:cs="Arial"/>
          <w:sz w:val="22"/>
          <w:szCs w:val="22"/>
          <w:u w:color="000000"/>
        </w:rPr>
        <w:t xml:space="preserve">de las personas </w:t>
      </w:r>
      <w:r w:rsidR="00A90550" w:rsidRPr="00A90550">
        <w:rPr>
          <w:rFonts w:ascii="Arial" w:hAnsi="Arial" w:cs="Arial"/>
          <w:sz w:val="22"/>
          <w:szCs w:val="22"/>
          <w:u w:color="000000"/>
        </w:rPr>
        <w:t>a gozar del más alto nivel posible de salud sin discriminación por motivos de discapacidad y la obligación de adoptar medidas pertinentes para asegurar el acceso de las personas con discapacidad a servicios de salud, incluida la rehabilitación relacionada con la salud</w:t>
      </w:r>
      <w:r w:rsidR="00EE194E">
        <w:rPr>
          <w:rStyle w:val="Refdenotaalpie"/>
          <w:rFonts w:ascii="Arial" w:hAnsi="Arial" w:cs="Arial"/>
          <w:sz w:val="22"/>
          <w:szCs w:val="22"/>
          <w:u w:color="000000"/>
        </w:rPr>
        <w:footnoteReference w:id="101"/>
      </w:r>
      <w:r w:rsidR="00A90550">
        <w:rPr>
          <w:rFonts w:ascii="Arial" w:hAnsi="Arial" w:cs="Arial"/>
          <w:sz w:val="22"/>
          <w:szCs w:val="22"/>
          <w:u w:color="000000"/>
        </w:rPr>
        <w:t xml:space="preserve">. </w:t>
      </w:r>
    </w:p>
    <w:p w:rsidR="00EE194E" w:rsidRDefault="00EE194E" w:rsidP="00A90550">
      <w:pPr>
        <w:pStyle w:val="Body1"/>
        <w:spacing w:before="20" w:line="360" w:lineRule="auto"/>
        <w:jc w:val="both"/>
        <w:outlineLvl w:val="0"/>
        <w:rPr>
          <w:rFonts w:ascii="Arial" w:hAnsi="Arial" w:cs="Arial"/>
          <w:sz w:val="22"/>
          <w:szCs w:val="22"/>
          <w:u w:color="000000"/>
        </w:rPr>
      </w:pPr>
    </w:p>
    <w:p w:rsidR="00EE194E" w:rsidRDefault="00AC5ACB"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 C</w:t>
      </w:r>
      <w:r w:rsidR="00A90550">
        <w:rPr>
          <w:rFonts w:ascii="Arial" w:hAnsi="Arial" w:cs="Arial"/>
          <w:sz w:val="22"/>
          <w:szCs w:val="22"/>
          <w:u w:color="000000"/>
        </w:rPr>
        <w:t xml:space="preserve">orte agregó que en </w:t>
      </w:r>
      <w:r w:rsidR="00A90550" w:rsidRPr="00A90550">
        <w:rPr>
          <w:rFonts w:ascii="Arial" w:hAnsi="Arial" w:cs="Arial"/>
          <w:sz w:val="22"/>
          <w:szCs w:val="22"/>
          <w:u w:color="000000"/>
        </w:rPr>
        <w:t>casos como el presente la rehabilitación debe ser brindada en forma temprana y oportuna, pa</w:t>
      </w:r>
      <w:r w:rsidR="00A90550">
        <w:rPr>
          <w:rFonts w:ascii="Arial" w:hAnsi="Arial" w:cs="Arial"/>
          <w:sz w:val="22"/>
          <w:szCs w:val="22"/>
          <w:u w:color="000000"/>
        </w:rPr>
        <w:t>ra lograr un resultado idóneo</w:t>
      </w:r>
      <w:r w:rsidR="00EE194E">
        <w:rPr>
          <w:rFonts w:ascii="Arial" w:hAnsi="Arial" w:cs="Arial"/>
          <w:sz w:val="22"/>
          <w:szCs w:val="22"/>
          <w:u w:color="000000"/>
        </w:rPr>
        <w:t>, debe ser continu</w:t>
      </w:r>
      <w:r w:rsidR="00EE194E" w:rsidRPr="00A90550">
        <w:rPr>
          <w:rFonts w:ascii="Arial" w:hAnsi="Arial" w:cs="Arial"/>
          <w:sz w:val="22"/>
          <w:szCs w:val="22"/>
          <w:u w:color="000000"/>
        </w:rPr>
        <w:t>a</w:t>
      </w:r>
      <w:r w:rsidR="00A90550" w:rsidRPr="00A90550">
        <w:rPr>
          <w:rFonts w:ascii="Arial" w:hAnsi="Arial" w:cs="Arial"/>
          <w:sz w:val="22"/>
          <w:szCs w:val="22"/>
          <w:u w:color="000000"/>
        </w:rPr>
        <w:t xml:space="preserve"> y abarcar más allá de la etapa de mayor complejidad inicial. Asimismo, la rehabilitación debe tener en cuenta el tipo de discapacidad que la p</w:t>
      </w:r>
      <w:r w:rsidR="00106556">
        <w:rPr>
          <w:rFonts w:ascii="Arial" w:hAnsi="Arial" w:cs="Arial"/>
          <w:sz w:val="22"/>
          <w:szCs w:val="22"/>
          <w:u w:color="000000"/>
        </w:rPr>
        <w:t>ersona tenga</w:t>
      </w:r>
      <w:r w:rsidR="00A90550" w:rsidRPr="00A90550">
        <w:rPr>
          <w:rFonts w:ascii="Arial" w:hAnsi="Arial" w:cs="Arial"/>
          <w:sz w:val="22"/>
          <w:szCs w:val="22"/>
          <w:u w:color="000000"/>
        </w:rPr>
        <w:t xml:space="preserve"> y ser coordinado por un equipo multidisciplinario que atienda todos los aspectos de la persona como una integralidad</w:t>
      </w:r>
      <w:r w:rsidR="00EE194E">
        <w:rPr>
          <w:rStyle w:val="Refdenotaalpie"/>
          <w:rFonts w:ascii="Arial" w:hAnsi="Arial" w:cs="Arial"/>
          <w:sz w:val="22"/>
          <w:szCs w:val="22"/>
          <w:u w:color="000000"/>
        </w:rPr>
        <w:footnoteReference w:id="102"/>
      </w:r>
      <w:r w:rsidR="00A90550">
        <w:rPr>
          <w:rFonts w:ascii="Arial" w:hAnsi="Arial" w:cs="Arial"/>
          <w:sz w:val="22"/>
          <w:szCs w:val="22"/>
          <w:u w:color="000000"/>
        </w:rPr>
        <w:t>.</w:t>
      </w:r>
      <w:r w:rsidR="00601C05">
        <w:rPr>
          <w:rFonts w:ascii="Arial" w:hAnsi="Arial" w:cs="Arial"/>
          <w:sz w:val="22"/>
          <w:szCs w:val="22"/>
          <w:u w:color="000000"/>
        </w:rPr>
        <w:t xml:space="preserve"> </w:t>
      </w:r>
    </w:p>
    <w:p w:rsidR="00EE194E" w:rsidRDefault="00EE194E" w:rsidP="00EE194E">
      <w:pPr>
        <w:pStyle w:val="Body1"/>
        <w:spacing w:before="20" w:line="360" w:lineRule="auto"/>
        <w:jc w:val="both"/>
        <w:outlineLvl w:val="0"/>
        <w:rPr>
          <w:rFonts w:ascii="Arial" w:hAnsi="Arial" w:cs="Arial"/>
          <w:sz w:val="22"/>
          <w:szCs w:val="22"/>
          <w:u w:color="000000"/>
        </w:rPr>
      </w:pPr>
    </w:p>
    <w:p w:rsidR="00ED1528" w:rsidRDefault="00EE194E"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 Corte </w:t>
      </w:r>
      <w:r w:rsidR="00106556">
        <w:rPr>
          <w:rFonts w:ascii="Arial" w:hAnsi="Arial" w:cs="Arial"/>
          <w:sz w:val="22"/>
          <w:szCs w:val="22"/>
          <w:u w:color="000000"/>
        </w:rPr>
        <w:t>IDH ha considerado</w:t>
      </w:r>
      <w:r w:rsidRPr="00EE194E">
        <w:rPr>
          <w:rFonts w:ascii="Arial" w:hAnsi="Arial" w:cs="Arial"/>
          <w:sz w:val="22"/>
          <w:szCs w:val="22"/>
          <w:u w:color="000000"/>
        </w:rPr>
        <w:t xml:space="preserve"> necesario disponer la obligación a cargo del Estado de brindar gratuitamente, a través de sus servicios de salud especializados, y de forma inmediata, adecuada y efectiva, el tratamiento médico, psicológico y psiquiátrico a las </w:t>
      </w:r>
      <w:r>
        <w:rPr>
          <w:rFonts w:ascii="Arial" w:hAnsi="Arial" w:cs="Arial"/>
          <w:sz w:val="22"/>
          <w:szCs w:val="22"/>
          <w:u w:color="000000"/>
        </w:rPr>
        <w:t>víctimas,</w:t>
      </w:r>
      <w:r w:rsidRPr="00EE194E">
        <w:rPr>
          <w:rFonts w:ascii="Arial" w:hAnsi="Arial" w:cs="Arial"/>
          <w:sz w:val="22"/>
          <w:szCs w:val="22"/>
          <w:u w:color="000000"/>
        </w:rPr>
        <w:t xml:space="preserve"> incluida la provisión gratuita de los medicamentos que eventualmente se requieran, tomando en consideración los padecimientos de cada uno de ellos. En el caso de</w:t>
      </w:r>
      <w:r w:rsidR="00AF2B7E">
        <w:rPr>
          <w:rFonts w:ascii="Arial" w:hAnsi="Arial" w:cs="Arial"/>
          <w:sz w:val="22"/>
          <w:szCs w:val="22"/>
          <w:u w:color="000000"/>
        </w:rPr>
        <w:t xml:space="preserve"> que el Estado careciera de ello</w:t>
      </w:r>
      <w:r w:rsidRPr="00EE194E">
        <w:rPr>
          <w:rFonts w:ascii="Arial" w:hAnsi="Arial" w:cs="Arial"/>
          <w:sz w:val="22"/>
          <w:szCs w:val="22"/>
          <w:u w:color="000000"/>
        </w:rPr>
        <w:t>s deberá rec</w:t>
      </w:r>
      <w:r w:rsidR="00C126B6">
        <w:rPr>
          <w:rFonts w:ascii="Arial" w:hAnsi="Arial" w:cs="Arial"/>
          <w:sz w:val="22"/>
          <w:szCs w:val="22"/>
          <w:u w:color="000000"/>
        </w:rPr>
        <w:t>urrir a instituciones privadas</w:t>
      </w:r>
      <w:r w:rsidRPr="00EE194E">
        <w:rPr>
          <w:rFonts w:ascii="Arial" w:hAnsi="Arial" w:cs="Arial"/>
          <w:sz w:val="22"/>
          <w:szCs w:val="22"/>
          <w:u w:color="000000"/>
        </w:rPr>
        <w:t xml:space="preserve"> </w:t>
      </w:r>
      <w:r w:rsidRPr="00EE194E">
        <w:rPr>
          <w:rFonts w:ascii="Arial" w:hAnsi="Arial" w:cs="Arial"/>
          <w:sz w:val="22"/>
          <w:szCs w:val="22"/>
          <w:u w:color="000000"/>
        </w:rPr>
        <w:lastRenderedPageBreak/>
        <w:t>especializadas</w:t>
      </w:r>
      <w:r>
        <w:rPr>
          <w:rFonts w:ascii="Arial" w:hAnsi="Arial" w:cs="Arial"/>
          <w:sz w:val="22"/>
          <w:szCs w:val="22"/>
          <w:u w:color="000000"/>
        </w:rPr>
        <w:t>, La Corte señaló que estas medias deberán aplicarse por el tiempo que sea necesario</w:t>
      </w:r>
      <w:r>
        <w:rPr>
          <w:rStyle w:val="Refdenotaalpie"/>
          <w:rFonts w:ascii="Arial" w:hAnsi="Arial" w:cs="Arial"/>
          <w:sz w:val="22"/>
          <w:szCs w:val="22"/>
          <w:u w:color="000000"/>
        </w:rPr>
        <w:footnoteReference w:id="103"/>
      </w:r>
      <w:r>
        <w:rPr>
          <w:rFonts w:ascii="Arial" w:hAnsi="Arial" w:cs="Arial"/>
          <w:sz w:val="22"/>
          <w:szCs w:val="22"/>
          <w:u w:color="000000"/>
        </w:rPr>
        <w:t>.</w:t>
      </w:r>
      <w:r w:rsidR="00601C05">
        <w:rPr>
          <w:rFonts w:ascii="Arial" w:hAnsi="Arial" w:cs="Arial"/>
          <w:sz w:val="22"/>
          <w:szCs w:val="22"/>
          <w:u w:color="000000"/>
        </w:rPr>
        <w:t xml:space="preserve">  </w:t>
      </w:r>
      <w:r w:rsidR="002658A2">
        <w:rPr>
          <w:rFonts w:ascii="Arial" w:hAnsi="Arial" w:cs="Arial"/>
          <w:sz w:val="22"/>
          <w:szCs w:val="22"/>
          <w:u w:color="000000"/>
        </w:rPr>
        <w:t xml:space="preserve">  </w:t>
      </w:r>
      <w:r w:rsidR="00117D15">
        <w:rPr>
          <w:rFonts w:ascii="Arial" w:hAnsi="Arial" w:cs="Arial"/>
          <w:sz w:val="22"/>
          <w:szCs w:val="22"/>
          <w:u w:color="000000"/>
        </w:rPr>
        <w:t xml:space="preserve">    </w:t>
      </w:r>
      <w:r w:rsidR="00ED1528">
        <w:rPr>
          <w:rFonts w:ascii="Arial" w:hAnsi="Arial" w:cs="Arial"/>
          <w:sz w:val="22"/>
          <w:szCs w:val="22"/>
          <w:u w:color="000000"/>
        </w:rPr>
        <w:t xml:space="preserve"> </w:t>
      </w:r>
    </w:p>
    <w:p w:rsidR="00ED1528" w:rsidRDefault="00ED1528" w:rsidP="00D225AF">
      <w:pPr>
        <w:pStyle w:val="Body1"/>
        <w:spacing w:before="20" w:line="360" w:lineRule="auto"/>
        <w:jc w:val="both"/>
        <w:outlineLvl w:val="0"/>
        <w:rPr>
          <w:rFonts w:ascii="Arial" w:hAnsi="Arial" w:cs="Arial"/>
          <w:sz w:val="22"/>
          <w:szCs w:val="22"/>
          <w:u w:color="000000"/>
        </w:rPr>
      </w:pPr>
    </w:p>
    <w:p w:rsidR="00AC5ACB" w:rsidRDefault="00AC5ACB" w:rsidP="00705EB3">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Las medias de r</w:t>
      </w:r>
      <w:r w:rsidR="00AD346E" w:rsidRPr="00D630EF">
        <w:rPr>
          <w:rFonts w:ascii="Arial" w:hAnsi="Arial" w:cs="Arial"/>
          <w:sz w:val="22"/>
          <w:szCs w:val="22"/>
          <w:u w:color="000000"/>
        </w:rPr>
        <w:t>ehabilitación</w:t>
      </w:r>
      <w:r>
        <w:rPr>
          <w:rFonts w:ascii="Arial" w:hAnsi="Arial" w:cs="Arial"/>
          <w:sz w:val="22"/>
          <w:szCs w:val="22"/>
          <w:u w:color="000000"/>
        </w:rPr>
        <w:t xml:space="preserve"> tienen por objeto el t</w:t>
      </w:r>
      <w:r w:rsidR="00AD346E" w:rsidRPr="00D630EF">
        <w:rPr>
          <w:rFonts w:ascii="Arial" w:hAnsi="Arial" w:cs="Arial"/>
          <w:sz w:val="22"/>
          <w:szCs w:val="22"/>
          <w:u w:color="000000"/>
        </w:rPr>
        <w:t>ratamiento médico y psicológico</w:t>
      </w:r>
      <w:r>
        <w:rPr>
          <w:rFonts w:ascii="Arial" w:hAnsi="Arial" w:cs="Arial"/>
          <w:sz w:val="22"/>
          <w:szCs w:val="22"/>
          <w:u w:color="000000"/>
        </w:rPr>
        <w:t xml:space="preserve"> de las víctimas y sus familiares, es necesario por ello la evaluació</w:t>
      </w:r>
      <w:r w:rsidR="00AF2B7E">
        <w:rPr>
          <w:rFonts w:ascii="Arial" w:hAnsi="Arial" w:cs="Arial"/>
          <w:sz w:val="22"/>
          <w:szCs w:val="22"/>
          <w:u w:color="000000"/>
        </w:rPr>
        <w:t>n de peritos para que la Corte s</w:t>
      </w:r>
      <w:r>
        <w:rPr>
          <w:rFonts w:ascii="Arial" w:hAnsi="Arial" w:cs="Arial"/>
          <w:sz w:val="22"/>
          <w:szCs w:val="22"/>
          <w:u w:color="000000"/>
        </w:rPr>
        <w:t>e forme un criterio de cuáles son las medidas más idóneas dependiendo del caso</w:t>
      </w:r>
      <w:r>
        <w:rPr>
          <w:rStyle w:val="Refdenotaalpie"/>
          <w:rFonts w:ascii="Arial" w:hAnsi="Arial" w:cs="Arial"/>
          <w:sz w:val="22"/>
          <w:szCs w:val="22"/>
          <w:u w:color="000000"/>
        </w:rPr>
        <w:footnoteReference w:id="104"/>
      </w:r>
      <w:r>
        <w:rPr>
          <w:rFonts w:ascii="Arial" w:hAnsi="Arial" w:cs="Arial"/>
          <w:sz w:val="22"/>
          <w:szCs w:val="22"/>
          <w:u w:color="000000"/>
        </w:rPr>
        <w:t>.</w:t>
      </w:r>
    </w:p>
    <w:p w:rsidR="00AC5ACB" w:rsidRDefault="00AC5ACB" w:rsidP="00D225AF">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w:t>
      </w:r>
    </w:p>
    <w:p w:rsidR="00AD346E" w:rsidRDefault="00AC5ACB" w:rsidP="00F6613F">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Es importante que la Corte considere estas medias en cuanto </w:t>
      </w:r>
      <w:r w:rsidR="00AD346E" w:rsidRPr="00D630EF">
        <w:rPr>
          <w:rFonts w:ascii="Arial" w:hAnsi="Arial" w:cs="Arial"/>
          <w:sz w:val="22"/>
          <w:szCs w:val="22"/>
          <w:u w:color="000000"/>
        </w:rPr>
        <w:t>reduzcan los padecimientos físicos y psicológicos</w:t>
      </w:r>
      <w:r>
        <w:rPr>
          <w:rFonts w:ascii="Arial" w:hAnsi="Arial" w:cs="Arial"/>
          <w:sz w:val="22"/>
          <w:szCs w:val="22"/>
          <w:u w:color="000000"/>
        </w:rPr>
        <w:t>, sobre todo en el aspecto psicológico es necesario contar con la aprobación de las víctimas de recibir tales tratamientos y la voluntad que tengan para obtener resultados positivos. El Estado es responsable por el cumplimiento de estas medias y la Corte puede establecer el tiempo de aplicación de las mismas</w:t>
      </w:r>
      <w:r w:rsidR="00AF2B7E">
        <w:rPr>
          <w:rFonts w:ascii="Arial" w:hAnsi="Arial" w:cs="Arial"/>
          <w:sz w:val="22"/>
          <w:szCs w:val="22"/>
          <w:u w:color="000000"/>
        </w:rPr>
        <w:t>,</w:t>
      </w:r>
      <w:r>
        <w:rPr>
          <w:rFonts w:ascii="Arial" w:hAnsi="Arial" w:cs="Arial"/>
          <w:sz w:val="22"/>
          <w:szCs w:val="22"/>
          <w:u w:color="000000"/>
        </w:rPr>
        <w:t xml:space="preserve"> sin embargo usualmente la Corte determina que duren por el tiempo necesario</w:t>
      </w:r>
      <w:r w:rsidR="00AD346E" w:rsidRPr="00D630EF">
        <w:rPr>
          <w:rFonts w:ascii="Arial" w:hAnsi="Arial" w:cs="Arial"/>
          <w:sz w:val="22"/>
          <w:szCs w:val="22"/>
          <w:u w:color="000000"/>
        </w:rPr>
        <w:t xml:space="preserve">. </w:t>
      </w:r>
    </w:p>
    <w:p w:rsidR="00C126B6" w:rsidRPr="00D630EF" w:rsidRDefault="00C126B6" w:rsidP="00D630EF">
      <w:pPr>
        <w:pStyle w:val="Body1"/>
        <w:spacing w:before="20" w:line="360" w:lineRule="auto"/>
        <w:outlineLvl w:val="0"/>
        <w:rPr>
          <w:rFonts w:ascii="Arial" w:hAnsi="Arial" w:cs="Arial"/>
          <w:sz w:val="22"/>
          <w:szCs w:val="22"/>
          <w:u w:color="000000"/>
        </w:rPr>
      </w:pPr>
    </w:p>
    <w:p w:rsidR="00547DEC" w:rsidRPr="00651974" w:rsidRDefault="00705EB3" w:rsidP="00B656C2">
      <w:pPr>
        <w:pStyle w:val="Body1"/>
        <w:numPr>
          <w:ilvl w:val="3"/>
          <w:numId w:val="7"/>
        </w:numPr>
        <w:spacing w:before="20" w:line="360" w:lineRule="auto"/>
        <w:jc w:val="both"/>
        <w:outlineLvl w:val="3"/>
        <w:rPr>
          <w:rFonts w:ascii="Arial" w:hAnsi="Arial" w:cs="Arial"/>
          <w:i/>
          <w:sz w:val="22"/>
          <w:szCs w:val="22"/>
          <w:u w:color="000000"/>
        </w:rPr>
      </w:pPr>
      <w:r w:rsidRPr="00651974">
        <w:rPr>
          <w:rFonts w:ascii="Arial" w:hAnsi="Arial" w:cs="Arial"/>
          <w:i/>
          <w:sz w:val="22"/>
          <w:szCs w:val="22"/>
          <w:u w:color="000000"/>
        </w:rPr>
        <w:t>Satisfacción</w:t>
      </w:r>
      <w:r w:rsidR="00547DEC" w:rsidRPr="00651974">
        <w:rPr>
          <w:rFonts w:ascii="Arial" w:hAnsi="Arial" w:cs="Arial"/>
          <w:i/>
          <w:sz w:val="22"/>
          <w:szCs w:val="22"/>
          <w:u w:color="000000"/>
        </w:rPr>
        <w:t xml:space="preserve"> </w:t>
      </w:r>
    </w:p>
    <w:p w:rsidR="00547DEC" w:rsidRDefault="00547DEC" w:rsidP="00D225AF">
      <w:pPr>
        <w:pStyle w:val="Body1"/>
        <w:spacing w:before="20" w:line="360" w:lineRule="auto"/>
        <w:jc w:val="both"/>
        <w:outlineLvl w:val="0"/>
        <w:rPr>
          <w:rFonts w:ascii="Arial" w:hAnsi="Arial" w:cs="Arial"/>
          <w:sz w:val="22"/>
          <w:szCs w:val="22"/>
          <w:u w:color="000000"/>
        </w:rPr>
      </w:pPr>
    </w:p>
    <w:p w:rsidR="00547DEC" w:rsidRDefault="00547DEC" w:rsidP="006A22A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w:t>
      </w:r>
      <w:r w:rsidR="008657F7">
        <w:rPr>
          <w:rFonts w:ascii="Arial" w:hAnsi="Arial" w:cs="Arial"/>
          <w:sz w:val="22"/>
          <w:szCs w:val="22"/>
          <w:u w:color="000000"/>
        </w:rPr>
        <w:t xml:space="preserve"> satisfacción es una forma</w:t>
      </w:r>
      <w:r>
        <w:rPr>
          <w:rFonts w:ascii="Arial" w:hAnsi="Arial" w:cs="Arial"/>
          <w:sz w:val="22"/>
          <w:szCs w:val="22"/>
          <w:u w:color="000000"/>
        </w:rPr>
        <w:t xml:space="preserve"> de reparación que incluye varias obligaciones para el Estado responsable, aparte de aquellas de carácter pecuniario y aquellas de carácter médico</w:t>
      </w:r>
      <w:r w:rsidR="009E1FF8">
        <w:rPr>
          <w:rFonts w:ascii="Arial" w:hAnsi="Arial" w:cs="Arial"/>
          <w:sz w:val="22"/>
          <w:szCs w:val="22"/>
          <w:u w:color="000000"/>
        </w:rPr>
        <w:t>, o de asistencia legal</w:t>
      </w:r>
      <w:r w:rsidR="00923812">
        <w:rPr>
          <w:rFonts w:ascii="Arial" w:hAnsi="Arial" w:cs="Arial"/>
          <w:sz w:val="22"/>
          <w:szCs w:val="22"/>
          <w:u w:color="000000"/>
        </w:rPr>
        <w:t>. Los Principios y directrices</w:t>
      </w:r>
      <w:r>
        <w:rPr>
          <w:rFonts w:ascii="Arial" w:hAnsi="Arial" w:cs="Arial"/>
          <w:sz w:val="22"/>
          <w:szCs w:val="22"/>
          <w:u w:color="000000"/>
        </w:rPr>
        <w:t xml:space="preserve"> establecen varias medidas a tomarse como satisfacción señalando que deben considerarse siempre que sea pertinente y procedente según el caso, tales medidas son:  </w:t>
      </w:r>
    </w:p>
    <w:p w:rsidR="00547DEC" w:rsidRDefault="00547DEC" w:rsidP="00D225AF">
      <w:pPr>
        <w:pStyle w:val="Body1"/>
        <w:spacing w:before="20" w:line="360" w:lineRule="auto"/>
        <w:jc w:val="both"/>
        <w:outlineLvl w:val="0"/>
        <w:rPr>
          <w:rFonts w:ascii="Arial" w:hAnsi="Arial" w:cs="Arial"/>
          <w:sz w:val="22"/>
          <w:szCs w:val="22"/>
          <w:u w:color="000000"/>
        </w:rPr>
      </w:pPr>
    </w:p>
    <w:p w:rsidR="00547DEC" w:rsidRPr="00CA2E8C" w:rsidRDefault="00547DEC" w:rsidP="00AF2B7E">
      <w:pPr>
        <w:pStyle w:val="Body1"/>
        <w:spacing w:before="20" w:line="276" w:lineRule="auto"/>
        <w:ind w:firstLine="720"/>
        <w:jc w:val="both"/>
        <w:outlineLvl w:val="0"/>
        <w:rPr>
          <w:rFonts w:ascii="Arial" w:hAnsi="Arial" w:cs="Arial"/>
          <w:sz w:val="20"/>
          <w:u w:color="000000"/>
        </w:rPr>
      </w:pPr>
      <w:r w:rsidRPr="00CA2E8C">
        <w:rPr>
          <w:rFonts w:ascii="Arial" w:hAnsi="Arial" w:cs="Arial"/>
          <w:sz w:val="20"/>
          <w:u w:color="000000"/>
        </w:rPr>
        <w:t>a) Medidas eficaces para conseguir que no continúen las violaciones;</w:t>
      </w:r>
    </w:p>
    <w:p w:rsidR="00547DEC" w:rsidRPr="00CA2E8C" w:rsidRDefault="00547DEC" w:rsidP="00A12BBA">
      <w:pPr>
        <w:pStyle w:val="Body1"/>
        <w:spacing w:before="20" w:line="276" w:lineRule="auto"/>
        <w:ind w:left="720"/>
        <w:jc w:val="both"/>
        <w:outlineLvl w:val="0"/>
        <w:rPr>
          <w:rFonts w:ascii="Arial" w:hAnsi="Arial" w:cs="Arial"/>
          <w:sz w:val="20"/>
          <w:u w:color="000000"/>
        </w:rPr>
      </w:pPr>
      <w:r w:rsidRPr="00CA2E8C">
        <w:rPr>
          <w:rFonts w:ascii="Arial" w:hAnsi="Arial" w:cs="Arial"/>
          <w:sz w:val="20"/>
          <w:u w:color="000000"/>
        </w:rPr>
        <w:t>b ) La verificación de los hechos y la revelación pública y completa de la verdad, en la medida en que esa revelación no provoque más daños o amenace la seguridad y los intereses de la víctima, de sus familiares, de los testigos o de personas que han intervenido para ayudar a la víctima o impedir que se produzcan nuevas violaciones;</w:t>
      </w:r>
    </w:p>
    <w:p w:rsidR="00547DEC" w:rsidRPr="00CA2E8C" w:rsidRDefault="00547DEC" w:rsidP="00A12BBA">
      <w:pPr>
        <w:pStyle w:val="Body1"/>
        <w:spacing w:before="20" w:line="276" w:lineRule="auto"/>
        <w:ind w:left="720"/>
        <w:jc w:val="both"/>
        <w:outlineLvl w:val="0"/>
        <w:rPr>
          <w:rFonts w:ascii="Arial" w:hAnsi="Arial" w:cs="Arial"/>
          <w:sz w:val="20"/>
          <w:u w:color="000000"/>
        </w:rPr>
      </w:pPr>
      <w:r w:rsidRPr="00CA2E8C">
        <w:rPr>
          <w:rFonts w:ascii="Arial" w:hAnsi="Arial" w:cs="Arial"/>
          <w:sz w:val="20"/>
          <w:u w:color="000000"/>
        </w:rPr>
        <w:t>c) La búsqueda de las personas desaparecidas, de las identidades de los niños secuestrados y de los cadáveres de las personas asesinadas, y la ayuda para recuperarlos, identificarlos y volver a inhumarlos según el deseo explícito o presunto de la víctima o las prácticas culturales de su familia y comunidad;</w:t>
      </w:r>
    </w:p>
    <w:p w:rsidR="00547DEC" w:rsidRPr="00CA2E8C" w:rsidRDefault="00547DEC" w:rsidP="00A12BBA">
      <w:pPr>
        <w:pStyle w:val="Body1"/>
        <w:spacing w:before="20" w:line="276" w:lineRule="auto"/>
        <w:ind w:left="720"/>
        <w:jc w:val="both"/>
        <w:outlineLvl w:val="0"/>
        <w:rPr>
          <w:rFonts w:ascii="Arial" w:hAnsi="Arial" w:cs="Arial"/>
          <w:sz w:val="20"/>
          <w:u w:color="000000"/>
        </w:rPr>
      </w:pPr>
      <w:r w:rsidRPr="00CA2E8C">
        <w:rPr>
          <w:rFonts w:ascii="Arial" w:hAnsi="Arial" w:cs="Arial"/>
          <w:sz w:val="20"/>
          <w:u w:color="000000"/>
        </w:rPr>
        <w:t>d) Una declaración oficial o decisión judicial que restablezca la dignidad, la reputación y los derechos de la víctima y de las personas estrechamente vinculadas a ella;</w:t>
      </w:r>
    </w:p>
    <w:p w:rsidR="00547DEC" w:rsidRPr="00CA2E8C" w:rsidRDefault="00547DEC" w:rsidP="00A12BBA">
      <w:pPr>
        <w:pStyle w:val="Body1"/>
        <w:spacing w:before="20" w:line="276" w:lineRule="auto"/>
        <w:ind w:left="720"/>
        <w:jc w:val="both"/>
        <w:outlineLvl w:val="0"/>
        <w:rPr>
          <w:rFonts w:ascii="Arial" w:hAnsi="Arial" w:cs="Arial"/>
          <w:sz w:val="20"/>
          <w:u w:color="000000"/>
        </w:rPr>
      </w:pPr>
      <w:r w:rsidRPr="00CA2E8C">
        <w:rPr>
          <w:rFonts w:ascii="Arial" w:hAnsi="Arial" w:cs="Arial"/>
          <w:sz w:val="20"/>
          <w:u w:color="000000"/>
        </w:rPr>
        <w:t>e) Una disculpa pública que incluya el reconocimiento de los hechos y la aceptación de responsabilidades;</w:t>
      </w:r>
    </w:p>
    <w:p w:rsidR="00547DEC" w:rsidRPr="00CA2E8C" w:rsidRDefault="00547DEC" w:rsidP="00A12BBA">
      <w:pPr>
        <w:pStyle w:val="Body1"/>
        <w:spacing w:before="20" w:line="276" w:lineRule="auto"/>
        <w:ind w:left="720"/>
        <w:jc w:val="both"/>
        <w:outlineLvl w:val="0"/>
        <w:rPr>
          <w:rFonts w:ascii="Arial" w:hAnsi="Arial" w:cs="Arial"/>
          <w:sz w:val="20"/>
          <w:u w:color="000000"/>
        </w:rPr>
      </w:pPr>
      <w:r w:rsidRPr="00CA2E8C">
        <w:rPr>
          <w:rFonts w:ascii="Arial" w:hAnsi="Arial" w:cs="Arial"/>
          <w:sz w:val="20"/>
          <w:u w:color="000000"/>
        </w:rPr>
        <w:t>f) La aplicación de sanciones judiciales o administrativas a los responsables de las violaciones;</w:t>
      </w:r>
    </w:p>
    <w:p w:rsidR="00547DEC" w:rsidRPr="00CA2E8C" w:rsidRDefault="00547DEC" w:rsidP="00A12BBA">
      <w:pPr>
        <w:pStyle w:val="Body1"/>
        <w:spacing w:before="20" w:line="276" w:lineRule="auto"/>
        <w:ind w:firstLine="720"/>
        <w:jc w:val="both"/>
        <w:outlineLvl w:val="0"/>
        <w:rPr>
          <w:rFonts w:ascii="Arial" w:hAnsi="Arial" w:cs="Arial"/>
          <w:sz w:val="20"/>
          <w:u w:color="000000"/>
        </w:rPr>
      </w:pPr>
      <w:r w:rsidRPr="00CA2E8C">
        <w:rPr>
          <w:rFonts w:ascii="Arial" w:hAnsi="Arial" w:cs="Arial"/>
          <w:sz w:val="20"/>
          <w:u w:color="000000"/>
        </w:rPr>
        <w:lastRenderedPageBreak/>
        <w:t>g) Conmemoraciones y homenajes a las víctimas;</w:t>
      </w:r>
    </w:p>
    <w:p w:rsidR="00547DEC" w:rsidRDefault="00547DEC" w:rsidP="00A12BBA">
      <w:pPr>
        <w:pStyle w:val="Body1"/>
        <w:spacing w:before="20" w:line="276" w:lineRule="auto"/>
        <w:ind w:left="720"/>
        <w:jc w:val="both"/>
        <w:outlineLvl w:val="0"/>
        <w:rPr>
          <w:rFonts w:ascii="Arial" w:hAnsi="Arial" w:cs="Arial"/>
          <w:sz w:val="20"/>
          <w:u w:color="000000"/>
        </w:rPr>
      </w:pPr>
      <w:r w:rsidRPr="00CA2E8C">
        <w:rPr>
          <w:rFonts w:ascii="Arial" w:hAnsi="Arial" w:cs="Arial"/>
          <w:sz w:val="20"/>
          <w:u w:color="000000"/>
        </w:rPr>
        <w:t>h) La inclusión de una exposición precisa de las violaciones ocurridas en la enseñanza de las normas internacionales de derechos humanos y del derecho internacional humanitario, así como en el material didáctico a todos los niveles</w:t>
      </w:r>
      <w:r w:rsidRPr="00CA2E8C">
        <w:rPr>
          <w:rStyle w:val="Refdenotaalpie"/>
          <w:rFonts w:ascii="Arial" w:hAnsi="Arial" w:cs="Arial"/>
          <w:sz w:val="20"/>
          <w:u w:color="000000"/>
        </w:rPr>
        <w:footnoteReference w:id="105"/>
      </w:r>
      <w:r w:rsidRPr="00CA2E8C">
        <w:rPr>
          <w:rFonts w:ascii="Arial" w:hAnsi="Arial" w:cs="Arial"/>
          <w:sz w:val="20"/>
          <w:u w:color="000000"/>
        </w:rPr>
        <w:t>.</w:t>
      </w:r>
    </w:p>
    <w:p w:rsidR="00420AE7" w:rsidRPr="00CA2E8C" w:rsidRDefault="00420AE7" w:rsidP="00A12BBA">
      <w:pPr>
        <w:pStyle w:val="Body1"/>
        <w:spacing w:before="20" w:line="276" w:lineRule="auto"/>
        <w:ind w:left="720"/>
        <w:jc w:val="both"/>
        <w:outlineLvl w:val="0"/>
        <w:rPr>
          <w:rFonts w:ascii="Arial" w:hAnsi="Arial" w:cs="Arial"/>
          <w:sz w:val="20"/>
          <w:u w:color="000000"/>
        </w:rPr>
      </w:pPr>
    </w:p>
    <w:p w:rsidR="00AD346E" w:rsidRPr="00D630EF" w:rsidRDefault="008657F7" w:rsidP="006A22A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Dentro de ellas una de las </w:t>
      </w:r>
      <w:r w:rsidR="009E1FF8">
        <w:rPr>
          <w:rFonts w:ascii="Arial" w:hAnsi="Arial" w:cs="Arial"/>
          <w:sz w:val="22"/>
          <w:szCs w:val="22"/>
          <w:u w:color="000000"/>
        </w:rPr>
        <w:t xml:space="preserve">más </w:t>
      </w:r>
      <w:r>
        <w:rPr>
          <w:rFonts w:ascii="Arial" w:hAnsi="Arial" w:cs="Arial"/>
          <w:sz w:val="22"/>
          <w:szCs w:val="22"/>
          <w:u w:color="000000"/>
        </w:rPr>
        <w:t>importantes es la investigación de l</w:t>
      </w:r>
      <w:r w:rsidR="009E1FF8">
        <w:rPr>
          <w:rFonts w:ascii="Arial" w:hAnsi="Arial" w:cs="Arial"/>
          <w:sz w:val="22"/>
          <w:szCs w:val="22"/>
          <w:u w:color="000000"/>
        </w:rPr>
        <w:t>os hechos cuando las instancias internas</w:t>
      </w:r>
      <w:r>
        <w:rPr>
          <w:rFonts w:ascii="Arial" w:hAnsi="Arial" w:cs="Arial"/>
          <w:sz w:val="22"/>
          <w:szCs w:val="22"/>
          <w:u w:color="000000"/>
        </w:rPr>
        <w:t xml:space="preserve"> no </w:t>
      </w:r>
      <w:r w:rsidR="001133AE">
        <w:rPr>
          <w:rFonts w:ascii="Arial" w:hAnsi="Arial" w:cs="Arial"/>
          <w:sz w:val="22"/>
          <w:szCs w:val="22"/>
          <w:u w:color="000000"/>
        </w:rPr>
        <w:t>brindaron</w:t>
      </w:r>
      <w:r>
        <w:rPr>
          <w:rFonts w:ascii="Arial" w:hAnsi="Arial" w:cs="Arial"/>
          <w:sz w:val="22"/>
          <w:szCs w:val="22"/>
          <w:u w:color="000000"/>
        </w:rPr>
        <w:t xml:space="preserve"> protección adecuada a las personas dentro de su jurisdicción. El deber de investigar los hechos satisface a las víctimas y a la sociedad en general por la realización de la justicia y el rechazo a la impunidad. El Estado tiene el deber adicional de </w:t>
      </w:r>
      <w:r w:rsidR="00AD346E" w:rsidRPr="00D630EF">
        <w:rPr>
          <w:rFonts w:ascii="Arial" w:hAnsi="Arial" w:cs="Arial"/>
          <w:sz w:val="22"/>
          <w:szCs w:val="22"/>
          <w:u w:color="000000"/>
        </w:rPr>
        <w:t>sancionar a todos los autores y responsables de las violaciones</w:t>
      </w:r>
      <w:r>
        <w:rPr>
          <w:rFonts w:ascii="Arial" w:hAnsi="Arial" w:cs="Arial"/>
          <w:sz w:val="22"/>
          <w:szCs w:val="22"/>
          <w:u w:color="000000"/>
        </w:rPr>
        <w:t xml:space="preserve">. Las instancias encargadas deberán reabrir los procesos y desplegar todo su contingente para lograr este fin, es necesario además que las víctimas y sus familiares </w:t>
      </w:r>
      <w:r w:rsidR="009E1FF8">
        <w:rPr>
          <w:rFonts w:ascii="Arial" w:hAnsi="Arial" w:cs="Arial"/>
          <w:sz w:val="22"/>
          <w:szCs w:val="22"/>
          <w:u w:color="000000"/>
        </w:rPr>
        <w:t xml:space="preserve">tengan </w:t>
      </w:r>
      <w:r w:rsidR="00AD346E" w:rsidRPr="00D630EF">
        <w:rPr>
          <w:rFonts w:ascii="Arial" w:hAnsi="Arial" w:cs="Arial"/>
          <w:sz w:val="22"/>
          <w:szCs w:val="22"/>
          <w:u w:color="000000"/>
        </w:rPr>
        <w:t xml:space="preserve">acceso y capacidad para actuar en todas las etapas e instancias de la investigación. </w:t>
      </w:r>
      <w:r>
        <w:rPr>
          <w:rFonts w:ascii="Arial" w:hAnsi="Arial" w:cs="Arial"/>
          <w:sz w:val="22"/>
          <w:szCs w:val="22"/>
          <w:u w:color="000000"/>
        </w:rPr>
        <w:t xml:space="preserve">Esta obligación satisface a las víctimas pero también a la sociedad pues </w:t>
      </w:r>
      <w:r w:rsidR="007F533A">
        <w:rPr>
          <w:rFonts w:ascii="Arial" w:hAnsi="Arial" w:cs="Arial"/>
          <w:sz w:val="22"/>
          <w:szCs w:val="22"/>
          <w:u w:color="000000"/>
        </w:rPr>
        <w:t>se g</w:t>
      </w:r>
      <w:r w:rsidR="00AF2B7E">
        <w:rPr>
          <w:rFonts w:ascii="Arial" w:hAnsi="Arial" w:cs="Arial"/>
          <w:sz w:val="22"/>
          <w:szCs w:val="22"/>
          <w:u w:color="000000"/>
        </w:rPr>
        <w:t>arantiza su derecho a la verdad</w:t>
      </w:r>
      <w:r w:rsidR="007F533A">
        <w:rPr>
          <w:rFonts w:ascii="Arial" w:hAnsi="Arial" w:cs="Arial"/>
          <w:sz w:val="22"/>
          <w:szCs w:val="22"/>
          <w:u w:color="000000"/>
        </w:rPr>
        <w:t xml:space="preserve"> </w:t>
      </w:r>
      <w:r w:rsidR="009E1FF8">
        <w:rPr>
          <w:rFonts w:ascii="Arial" w:hAnsi="Arial" w:cs="Arial"/>
          <w:sz w:val="22"/>
          <w:szCs w:val="22"/>
          <w:u w:color="000000"/>
        </w:rPr>
        <w:t>y</w:t>
      </w:r>
      <w:r w:rsidR="00AF2B7E">
        <w:rPr>
          <w:rFonts w:ascii="Arial" w:hAnsi="Arial" w:cs="Arial"/>
          <w:sz w:val="22"/>
          <w:szCs w:val="22"/>
          <w:u w:color="000000"/>
        </w:rPr>
        <w:t>a</w:t>
      </w:r>
      <w:r w:rsidR="009E1FF8">
        <w:rPr>
          <w:rFonts w:ascii="Arial" w:hAnsi="Arial" w:cs="Arial"/>
          <w:sz w:val="22"/>
          <w:szCs w:val="22"/>
          <w:u w:color="000000"/>
        </w:rPr>
        <w:t xml:space="preserve"> </w:t>
      </w:r>
      <w:r w:rsidR="00AF2B7E">
        <w:rPr>
          <w:rFonts w:ascii="Arial" w:hAnsi="Arial" w:cs="Arial"/>
          <w:sz w:val="22"/>
          <w:szCs w:val="22"/>
          <w:u w:color="000000"/>
        </w:rPr>
        <w:t xml:space="preserve">que </w:t>
      </w:r>
      <w:r w:rsidR="007F533A">
        <w:rPr>
          <w:rFonts w:ascii="Arial" w:hAnsi="Arial" w:cs="Arial"/>
          <w:sz w:val="22"/>
          <w:szCs w:val="22"/>
          <w:u w:color="000000"/>
        </w:rPr>
        <w:t>al lograrse resultados en las investigaciones deben ser</w:t>
      </w:r>
      <w:r w:rsidR="00AD346E" w:rsidRPr="00D630EF">
        <w:rPr>
          <w:rFonts w:ascii="Arial" w:hAnsi="Arial" w:cs="Arial"/>
          <w:sz w:val="22"/>
          <w:szCs w:val="22"/>
          <w:u w:color="000000"/>
        </w:rPr>
        <w:t xml:space="preserve"> públicamente </w:t>
      </w:r>
      <w:r w:rsidR="00D225AF" w:rsidRPr="00D630EF">
        <w:rPr>
          <w:rFonts w:ascii="Arial" w:hAnsi="Arial" w:cs="Arial"/>
          <w:sz w:val="22"/>
          <w:szCs w:val="22"/>
          <w:u w:color="000000"/>
        </w:rPr>
        <w:t>difundido</w:t>
      </w:r>
      <w:r w:rsidR="007F533A">
        <w:rPr>
          <w:rFonts w:ascii="Arial" w:hAnsi="Arial" w:cs="Arial"/>
          <w:sz w:val="22"/>
          <w:szCs w:val="22"/>
          <w:u w:color="000000"/>
        </w:rPr>
        <w:t>s</w:t>
      </w:r>
      <w:r w:rsidR="00AD346E" w:rsidRPr="00D630EF">
        <w:rPr>
          <w:rFonts w:ascii="Arial" w:hAnsi="Arial" w:cs="Arial"/>
          <w:sz w:val="22"/>
          <w:szCs w:val="22"/>
          <w:u w:color="000000"/>
          <w:vertAlign w:val="superscript"/>
        </w:rPr>
        <w:footnoteReference w:id="106"/>
      </w:r>
      <w:r w:rsidR="007F533A">
        <w:rPr>
          <w:rFonts w:ascii="Arial" w:hAnsi="Arial" w:cs="Arial"/>
          <w:sz w:val="22"/>
          <w:szCs w:val="22"/>
          <w:u w:color="000000"/>
        </w:rPr>
        <w:t>.</w:t>
      </w:r>
      <w:r w:rsidR="00AD346E" w:rsidRPr="00D630EF">
        <w:rPr>
          <w:rFonts w:ascii="Arial" w:hAnsi="Arial" w:cs="Arial"/>
          <w:sz w:val="22"/>
          <w:szCs w:val="22"/>
          <w:u w:color="000000"/>
        </w:rPr>
        <w:t xml:space="preserve">    </w:t>
      </w:r>
    </w:p>
    <w:p w:rsidR="00AD346E" w:rsidRDefault="00AD346E" w:rsidP="00D630EF">
      <w:pPr>
        <w:pStyle w:val="Body1"/>
        <w:spacing w:before="20" w:line="360" w:lineRule="auto"/>
        <w:outlineLvl w:val="0"/>
        <w:rPr>
          <w:rFonts w:ascii="Arial" w:hAnsi="Arial" w:cs="Arial"/>
          <w:sz w:val="22"/>
          <w:szCs w:val="22"/>
          <w:u w:color="000000"/>
        </w:rPr>
      </w:pPr>
    </w:p>
    <w:p w:rsidR="00AD346E" w:rsidRPr="00D630EF" w:rsidRDefault="007F533A" w:rsidP="006A22A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Para el cumplimiento de esta medida, los Estados pueden establecer la c</w:t>
      </w:r>
      <w:r w:rsidR="00AD346E" w:rsidRPr="00D630EF">
        <w:rPr>
          <w:rFonts w:ascii="Arial" w:hAnsi="Arial" w:cs="Arial"/>
          <w:sz w:val="22"/>
          <w:szCs w:val="22"/>
          <w:u w:color="000000"/>
        </w:rPr>
        <w:t xml:space="preserve">reación de comisiones especiales para colaborar en las investigaciones. </w:t>
      </w:r>
      <w:r>
        <w:rPr>
          <w:rFonts w:ascii="Arial" w:hAnsi="Arial" w:cs="Arial"/>
          <w:sz w:val="22"/>
          <w:szCs w:val="22"/>
          <w:u w:color="000000"/>
        </w:rPr>
        <w:t xml:space="preserve">Por ejemplo </w:t>
      </w:r>
      <w:r w:rsidR="00AD346E" w:rsidRPr="00D630EF">
        <w:rPr>
          <w:rFonts w:ascii="Arial" w:hAnsi="Arial" w:cs="Arial"/>
          <w:sz w:val="22"/>
          <w:szCs w:val="22"/>
          <w:u w:color="000000"/>
        </w:rPr>
        <w:t xml:space="preserve">En el caso de las Hermanas Serrano Cruz, se </w:t>
      </w:r>
      <w:r w:rsidR="001133AE">
        <w:rPr>
          <w:rFonts w:ascii="Arial" w:hAnsi="Arial" w:cs="Arial"/>
          <w:sz w:val="22"/>
          <w:szCs w:val="22"/>
          <w:u w:color="000000"/>
        </w:rPr>
        <w:t xml:space="preserve">estableció la </w:t>
      </w:r>
      <w:r w:rsidR="00AD346E" w:rsidRPr="00D630EF">
        <w:rPr>
          <w:rFonts w:ascii="Arial" w:hAnsi="Arial" w:cs="Arial"/>
          <w:sz w:val="22"/>
          <w:szCs w:val="22"/>
          <w:u w:color="000000"/>
        </w:rPr>
        <w:t>crea</w:t>
      </w:r>
      <w:r w:rsidR="001133AE">
        <w:rPr>
          <w:rFonts w:ascii="Arial" w:hAnsi="Arial" w:cs="Arial"/>
          <w:sz w:val="22"/>
          <w:szCs w:val="22"/>
          <w:u w:color="000000"/>
        </w:rPr>
        <w:t>ción</w:t>
      </w:r>
      <w:r w:rsidR="00AD346E" w:rsidRPr="00D630EF">
        <w:rPr>
          <w:rFonts w:ascii="Arial" w:hAnsi="Arial" w:cs="Arial"/>
          <w:sz w:val="22"/>
          <w:szCs w:val="22"/>
          <w:u w:color="000000"/>
        </w:rPr>
        <w:t xml:space="preserve"> </w:t>
      </w:r>
      <w:r w:rsidR="001133AE">
        <w:rPr>
          <w:rFonts w:ascii="Arial" w:hAnsi="Arial" w:cs="Arial"/>
          <w:sz w:val="22"/>
          <w:szCs w:val="22"/>
          <w:u w:color="000000"/>
        </w:rPr>
        <w:t xml:space="preserve">de </w:t>
      </w:r>
      <w:r w:rsidR="00AD346E" w:rsidRPr="00D630EF">
        <w:rPr>
          <w:rFonts w:ascii="Arial" w:hAnsi="Arial" w:cs="Arial"/>
          <w:sz w:val="22"/>
          <w:szCs w:val="22"/>
          <w:u w:color="000000"/>
        </w:rPr>
        <w:t>una comisión para ayudar en la búsqueda de niños separados involuntariamente de sus familias</w:t>
      </w:r>
      <w:r w:rsidR="004E173E">
        <w:rPr>
          <w:rStyle w:val="Refdenotaalpie"/>
          <w:rFonts w:ascii="Arial" w:hAnsi="Arial" w:cs="Arial"/>
          <w:sz w:val="22"/>
          <w:szCs w:val="22"/>
          <w:u w:color="000000"/>
        </w:rPr>
        <w:footnoteReference w:id="107"/>
      </w:r>
      <w:r w:rsidR="00AD346E" w:rsidRPr="00D630EF">
        <w:rPr>
          <w:rFonts w:ascii="Arial" w:hAnsi="Arial" w:cs="Arial"/>
          <w:sz w:val="22"/>
          <w:szCs w:val="22"/>
          <w:u w:color="000000"/>
        </w:rPr>
        <w:t>.</w:t>
      </w:r>
    </w:p>
    <w:p w:rsidR="00AD346E" w:rsidRPr="00D630EF" w:rsidRDefault="00AD346E" w:rsidP="00D630EF">
      <w:pPr>
        <w:pStyle w:val="Body1"/>
        <w:spacing w:before="20" w:line="360" w:lineRule="auto"/>
        <w:outlineLvl w:val="0"/>
        <w:rPr>
          <w:rFonts w:ascii="Arial" w:hAnsi="Arial" w:cs="Arial"/>
          <w:sz w:val="22"/>
          <w:szCs w:val="22"/>
          <w:u w:color="000000"/>
        </w:rPr>
      </w:pPr>
    </w:p>
    <w:p w:rsidR="00AD346E" w:rsidRPr="00D630EF" w:rsidRDefault="001133AE" w:rsidP="006A22A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casos de personas desaparecidas los Estados deben considerar la i</w:t>
      </w:r>
      <w:r w:rsidR="00AD346E" w:rsidRPr="00D630EF">
        <w:rPr>
          <w:rFonts w:ascii="Arial" w:hAnsi="Arial" w:cs="Arial"/>
          <w:sz w:val="22"/>
          <w:szCs w:val="22"/>
          <w:u w:color="000000"/>
        </w:rPr>
        <w:t xml:space="preserve">mplementación de recursos tecnológicos </w:t>
      </w:r>
      <w:r>
        <w:rPr>
          <w:rFonts w:ascii="Arial" w:hAnsi="Arial" w:cs="Arial"/>
          <w:sz w:val="22"/>
          <w:szCs w:val="22"/>
          <w:u w:color="000000"/>
        </w:rPr>
        <w:t>destinado</w:t>
      </w:r>
      <w:r w:rsidR="00AD346E" w:rsidRPr="00D630EF">
        <w:rPr>
          <w:rFonts w:ascii="Arial" w:hAnsi="Arial" w:cs="Arial"/>
          <w:sz w:val="22"/>
          <w:szCs w:val="22"/>
          <w:u w:color="000000"/>
        </w:rPr>
        <w:t>s a la búsqueda de personas</w:t>
      </w:r>
      <w:r>
        <w:rPr>
          <w:rFonts w:ascii="Arial" w:hAnsi="Arial" w:cs="Arial"/>
          <w:sz w:val="22"/>
          <w:szCs w:val="22"/>
          <w:u w:color="000000"/>
        </w:rPr>
        <w:t>, tales como páginas web y redes sociales, medidas  que en definitiva faciliten</w:t>
      </w:r>
      <w:r w:rsidR="00AD346E" w:rsidRPr="00D630EF">
        <w:rPr>
          <w:rFonts w:ascii="Arial" w:hAnsi="Arial" w:cs="Arial"/>
          <w:sz w:val="22"/>
          <w:szCs w:val="22"/>
          <w:u w:color="000000"/>
        </w:rPr>
        <w:t xml:space="preserve"> el papel de los órganos estatales a cargo de las investigaciones</w:t>
      </w:r>
      <w:r>
        <w:rPr>
          <w:rFonts w:ascii="Arial" w:hAnsi="Arial" w:cs="Arial"/>
          <w:sz w:val="22"/>
          <w:szCs w:val="22"/>
          <w:u w:color="000000"/>
        </w:rPr>
        <w:t>.</w:t>
      </w:r>
      <w:r w:rsidR="00AD346E" w:rsidRPr="00D630EF">
        <w:rPr>
          <w:rFonts w:ascii="Arial" w:hAnsi="Arial" w:cs="Arial"/>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1133AE" w:rsidRDefault="009903F8" w:rsidP="006A22A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En el caso Blanco Romero y otros vs. Venezuela, en el que se desconocía la ubicación de las víctimas, las Corte ordenó como medida de satisfacción que el Estado establezca</w:t>
      </w:r>
      <w:r w:rsidRPr="009903F8">
        <w:rPr>
          <w:rFonts w:ascii="Arial" w:hAnsi="Arial" w:cs="Arial"/>
          <w:sz w:val="22"/>
          <w:szCs w:val="22"/>
          <w:u w:color="000000"/>
        </w:rPr>
        <w:t xml:space="preserve"> el paradero de los señores Oscar José Blanco Romero, Roberto Javier Hernández Paz y José Francisco Rivas Fernández para que sus familiares puedan completar el duelo por la </w:t>
      </w:r>
      <w:r>
        <w:rPr>
          <w:rFonts w:ascii="Arial" w:hAnsi="Arial" w:cs="Arial"/>
          <w:sz w:val="22"/>
          <w:szCs w:val="22"/>
          <w:u w:color="000000"/>
        </w:rPr>
        <w:t xml:space="preserve">desaparición de aquellos; por lo tanto la Corte ordenó que el </w:t>
      </w:r>
      <w:r w:rsidRPr="009903F8">
        <w:rPr>
          <w:rFonts w:ascii="Arial" w:hAnsi="Arial" w:cs="Arial"/>
          <w:sz w:val="22"/>
          <w:szCs w:val="22"/>
          <w:u w:color="000000"/>
        </w:rPr>
        <w:t xml:space="preserve">Estado adopte las </w:t>
      </w:r>
      <w:r w:rsidRPr="009903F8">
        <w:rPr>
          <w:rFonts w:ascii="Arial" w:hAnsi="Arial" w:cs="Arial"/>
          <w:sz w:val="22"/>
          <w:szCs w:val="22"/>
          <w:u w:color="000000"/>
        </w:rPr>
        <w:lastRenderedPageBreak/>
        <w:t xml:space="preserve">medidas necesarias para localizar el paradero de dichas personas a </w:t>
      </w:r>
      <w:r>
        <w:rPr>
          <w:rFonts w:ascii="Arial" w:hAnsi="Arial" w:cs="Arial"/>
          <w:sz w:val="22"/>
          <w:szCs w:val="22"/>
          <w:u w:color="000000"/>
        </w:rPr>
        <w:t xml:space="preserve"> la mayor brevedad y en</w:t>
      </w:r>
      <w:r w:rsidRPr="009903F8">
        <w:rPr>
          <w:rFonts w:ascii="Arial" w:hAnsi="Arial" w:cs="Arial"/>
          <w:sz w:val="22"/>
          <w:szCs w:val="22"/>
          <w:u w:color="000000"/>
        </w:rPr>
        <w:t xml:space="preserve"> caso de que sean halladas sin vida, </w:t>
      </w:r>
      <w:r>
        <w:rPr>
          <w:rFonts w:ascii="Arial" w:hAnsi="Arial" w:cs="Arial"/>
          <w:sz w:val="22"/>
          <w:szCs w:val="22"/>
          <w:u w:color="000000"/>
        </w:rPr>
        <w:t>que dichas medidas deba</w:t>
      </w:r>
      <w:r w:rsidRPr="009903F8">
        <w:rPr>
          <w:rFonts w:ascii="Arial" w:hAnsi="Arial" w:cs="Arial"/>
          <w:sz w:val="22"/>
          <w:szCs w:val="22"/>
          <w:u w:color="000000"/>
        </w:rPr>
        <w:t xml:space="preserve">n orientarse a entregar los restos mortales a sus familiares, para que sean sepultados de la forma que lo crean conveniente. </w:t>
      </w:r>
      <w:r>
        <w:rPr>
          <w:rFonts w:ascii="Arial" w:hAnsi="Arial" w:cs="Arial"/>
          <w:sz w:val="22"/>
          <w:szCs w:val="22"/>
          <w:u w:color="000000"/>
        </w:rPr>
        <w:t>El Estado debe brindar el apoyo en la sepu</w:t>
      </w:r>
      <w:r w:rsidR="009E1FF8">
        <w:rPr>
          <w:rFonts w:ascii="Arial" w:hAnsi="Arial" w:cs="Arial"/>
          <w:sz w:val="22"/>
          <w:szCs w:val="22"/>
          <w:u w:color="000000"/>
        </w:rPr>
        <w:t>ltura sin ningún cargo económico</w:t>
      </w:r>
      <w:r>
        <w:rPr>
          <w:rFonts w:ascii="Arial" w:hAnsi="Arial" w:cs="Arial"/>
          <w:sz w:val="22"/>
          <w:szCs w:val="22"/>
          <w:u w:color="000000"/>
        </w:rPr>
        <w:t xml:space="preserve"> para los familiares</w:t>
      </w:r>
      <w:r>
        <w:rPr>
          <w:rStyle w:val="Refdenotaalpie"/>
          <w:rFonts w:ascii="Arial" w:hAnsi="Arial" w:cs="Arial"/>
          <w:sz w:val="22"/>
          <w:szCs w:val="22"/>
          <w:u w:color="000000"/>
        </w:rPr>
        <w:footnoteReference w:id="108"/>
      </w:r>
      <w:r>
        <w:rPr>
          <w:rFonts w:ascii="Arial" w:hAnsi="Arial" w:cs="Arial"/>
          <w:sz w:val="22"/>
          <w:szCs w:val="22"/>
          <w:u w:color="000000"/>
        </w:rPr>
        <w:t>.</w:t>
      </w:r>
    </w:p>
    <w:p w:rsidR="001133AE" w:rsidRPr="00D630EF" w:rsidRDefault="001133AE" w:rsidP="001133AE">
      <w:pPr>
        <w:pStyle w:val="Body1"/>
        <w:spacing w:before="20" w:line="360" w:lineRule="auto"/>
        <w:jc w:val="both"/>
        <w:outlineLvl w:val="0"/>
        <w:rPr>
          <w:rFonts w:ascii="Arial" w:hAnsi="Arial" w:cs="Arial"/>
          <w:sz w:val="22"/>
          <w:szCs w:val="22"/>
          <w:u w:color="000000"/>
        </w:rPr>
      </w:pPr>
    </w:p>
    <w:p w:rsidR="00AD346E" w:rsidRPr="00D630EF" w:rsidRDefault="009903F8" w:rsidP="006A22A5">
      <w:pPr>
        <w:pStyle w:val="Body1"/>
        <w:spacing w:before="20" w:line="360" w:lineRule="auto"/>
        <w:jc w:val="both"/>
        <w:outlineLvl w:val="0"/>
        <w:rPr>
          <w:rFonts w:ascii="Arial" w:hAnsi="Arial" w:cs="Arial"/>
          <w:sz w:val="22"/>
          <w:szCs w:val="22"/>
          <w:u w:color="000000"/>
        </w:rPr>
      </w:pPr>
      <w:r w:rsidRPr="009903F8">
        <w:rPr>
          <w:rFonts w:ascii="Arial" w:hAnsi="Arial" w:cs="Arial"/>
          <w:sz w:val="22"/>
          <w:szCs w:val="22"/>
        </w:rPr>
        <w:t>Otra de</w:t>
      </w:r>
      <w:r>
        <w:rPr>
          <w:rFonts w:ascii="Arial" w:hAnsi="Arial" w:cs="Arial"/>
          <w:sz w:val="22"/>
          <w:szCs w:val="22"/>
        </w:rPr>
        <w:t xml:space="preserve"> las medias que ordena la Corte</w:t>
      </w:r>
      <w:r w:rsidR="009E1FF8">
        <w:rPr>
          <w:rFonts w:ascii="Arial" w:hAnsi="Arial" w:cs="Arial"/>
          <w:sz w:val="22"/>
          <w:szCs w:val="22"/>
        </w:rPr>
        <w:t xml:space="preserve"> IDH</w:t>
      </w:r>
      <w:r w:rsidR="00AF2B7E">
        <w:rPr>
          <w:rFonts w:ascii="Arial" w:hAnsi="Arial" w:cs="Arial"/>
          <w:sz w:val="22"/>
          <w:szCs w:val="22"/>
        </w:rPr>
        <w:t xml:space="preserve"> como satisfacción es</w:t>
      </w:r>
      <w:r>
        <w:rPr>
          <w:rFonts w:ascii="Arial" w:hAnsi="Arial" w:cs="Arial"/>
          <w:sz w:val="22"/>
          <w:szCs w:val="22"/>
        </w:rPr>
        <w:t xml:space="preserve"> el r</w:t>
      </w:r>
      <w:r w:rsidR="00AD346E" w:rsidRPr="009903F8">
        <w:rPr>
          <w:rFonts w:ascii="Arial" w:hAnsi="Arial" w:cs="Arial"/>
          <w:sz w:val="22"/>
          <w:szCs w:val="22"/>
        </w:rPr>
        <w:t xml:space="preserve">econocimiento público de </w:t>
      </w:r>
      <w:r w:rsidR="00D225AF" w:rsidRPr="009903F8">
        <w:rPr>
          <w:rFonts w:ascii="Arial" w:hAnsi="Arial" w:cs="Arial"/>
          <w:sz w:val="22"/>
          <w:szCs w:val="22"/>
        </w:rPr>
        <w:t>responsabilidad internacional</w:t>
      </w:r>
      <w:r w:rsidR="00AD346E" w:rsidRPr="009903F8">
        <w:rPr>
          <w:rFonts w:ascii="Arial" w:hAnsi="Arial" w:cs="Arial"/>
          <w:sz w:val="22"/>
          <w:szCs w:val="22"/>
        </w:rPr>
        <w:t xml:space="preserve"> de los autores de violaciones</w:t>
      </w:r>
      <w:r>
        <w:rPr>
          <w:rFonts w:ascii="Arial" w:hAnsi="Arial" w:cs="Arial"/>
          <w:sz w:val="22"/>
          <w:szCs w:val="22"/>
        </w:rPr>
        <w:t xml:space="preserve">, es </w:t>
      </w:r>
      <w:r w:rsidR="00FC1188">
        <w:rPr>
          <w:rFonts w:ascii="Arial" w:hAnsi="Arial" w:cs="Arial"/>
          <w:sz w:val="22"/>
          <w:szCs w:val="22"/>
        </w:rPr>
        <w:t>importante</w:t>
      </w:r>
      <w:r>
        <w:rPr>
          <w:rFonts w:ascii="Arial" w:hAnsi="Arial" w:cs="Arial"/>
          <w:sz w:val="22"/>
          <w:szCs w:val="22"/>
        </w:rPr>
        <w:t xml:space="preserve"> para las víctimas y sus familiares que</w:t>
      </w:r>
      <w:r w:rsidR="009E1FF8">
        <w:rPr>
          <w:rFonts w:ascii="Arial" w:hAnsi="Arial" w:cs="Arial"/>
          <w:sz w:val="22"/>
          <w:szCs w:val="22"/>
        </w:rPr>
        <w:t xml:space="preserve"> el E</w:t>
      </w:r>
      <w:r w:rsidR="00AD346E" w:rsidRPr="009903F8">
        <w:rPr>
          <w:rFonts w:ascii="Arial" w:hAnsi="Arial" w:cs="Arial"/>
          <w:sz w:val="22"/>
          <w:szCs w:val="22"/>
        </w:rPr>
        <w:t>stado reconozca su responsabilidad en</w:t>
      </w:r>
      <w:r w:rsidR="00AD346E" w:rsidRPr="00D630EF">
        <w:rPr>
          <w:rFonts w:ascii="Arial" w:hAnsi="Arial" w:cs="Arial"/>
          <w:sz w:val="22"/>
          <w:szCs w:val="22"/>
          <w:u w:color="000000"/>
        </w:rPr>
        <w:t xml:space="preserve"> los hechos, </w:t>
      </w:r>
      <w:r>
        <w:rPr>
          <w:rFonts w:ascii="Arial" w:hAnsi="Arial" w:cs="Arial"/>
          <w:sz w:val="22"/>
          <w:szCs w:val="22"/>
          <w:u w:color="000000"/>
        </w:rPr>
        <w:t xml:space="preserve">y </w:t>
      </w:r>
      <w:r w:rsidR="00AD346E" w:rsidRPr="00D630EF">
        <w:rPr>
          <w:rFonts w:ascii="Arial" w:hAnsi="Arial" w:cs="Arial"/>
          <w:sz w:val="22"/>
          <w:szCs w:val="22"/>
          <w:u w:color="000000"/>
        </w:rPr>
        <w:t xml:space="preserve">que exprese públicamente el </w:t>
      </w:r>
      <w:r w:rsidR="00AD346E" w:rsidRPr="009903F8">
        <w:rPr>
          <w:rFonts w:ascii="Arial" w:hAnsi="Arial" w:cs="Arial"/>
          <w:sz w:val="22"/>
          <w:szCs w:val="22"/>
          <w:u w:color="000000"/>
        </w:rPr>
        <w:t>desagravio</w:t>
      </w:r>
      <w:r w:rsidR="00AD346E" w:rsidRPr="00D630EF">
        <w:rPr>
          <w:rFonts w:ascii="Arial" w:hAnsi="Arial" w:cs="Arial"/>
          <w:i/>
          <w:sz w:val="22"/>
          <w:szCs w:val="22"/>
          <w:u w:color="000000"/>
        </w:rPr>
        <w:t xml:space="preserve"> </w:t>
      </w:r>
      <w:r w:rsidR="00AD346E" w:rsidRPr="00D630EF">
        <w:rPr>
          <w:rFonts w:ascii="Arial" w:hAnsi="Arial" w:cs="Arial"/>
          <w:sz w:val="22"/>
          <w:szCs w:val="22"/>
          <w:u w:color="000000"/>
        </w:rPr>
        <w:t xml:space="preserve">a las víctimas. </w:t>
      </w:r>
      <w:r w:rsidR="00FC1188">
        <w:rPr>
          <w:rFonts w:ascii="Arial" w:hAnsi="Arial" w:cs="Arial"/>
          <w:sz w:val="22"/>
          <w:szCs w:val="22"/>
          <w:u w:color="000000"/>
        </w:rPr>
        <w:t>Esta medida muestra a la sociedad en general el compromiso del Estado por reparar los daños sufridos</w:t>
      </w:r>
      <w:r w:rsidR="00491011">
        <w:rPr>
          <w:rFonts w:ascii="Arial" w:hAnsi="Arial" w:cs="Arial"/>
          <w:sz w:val="22"/>
          <w:szCs w:val="22"/>
          <w:u w:color="000000"/>
        </w:rPr>
        <w:t>,</w:t>
      </w:r>
      <w:r w:rsidR="00FC1188">
        <w:rPr>
          <w:rFonts w:ascii="Arial" w:hAnsi="Arial" w:cs="Arial"/>
          <w:sz w:val="22"/>
          <w:szCs w:val="22"/>
          <w:u w:color="000000"/>
        </w:rPr>
        <w:t xml:space="preserve"> </w:t>
      </w:r>
      <w:r w:rsidR="00491011">
        <w:rPr>
          <w:rFonts w:ascii="Arial" w:hAnsi="Arial" w:cs="Arial"/>
          <w:sz w:val="22"/>
          <w:szCs w:val="22"/>
          <w:u w:color="000000"/>
        </w:rPr>
        <w:t>además que la alerta a exigir de los Estados mayor respecto y protección por los derechos humanos, en estos actos públicos l</w:t>
      </w:r>
      <w:r w:rsidR="00AD346E" w:rsidRPr="00D630EF">
        <w:rPr>
          <w:rFonts w:ascii="Arial" w:hAnsi="Arial" w:cs="Arial"/>
          <w:sz w:val="22"/>
          <w:szCs w:val="22"/>
          <w:u w:color="000000"/>
        </w:rPr>
        <w:t>a Corte</w:t>
      </w:r>
      <w:r w:rsidR="009E1FF8">
        <w:rPr>
          <w:rFonts w:ascii="Arial" w:hAnsi="Arial" w:cs="Arial"/>
          <w:sz w:val="22"/>
          <w:szCs w:val="22"/>
          <w:u w:color="000000"/>
        </w:rPr>
        <w:t xml:space="preserve"> IDH</w:t>
      </w:r>
      <w:r w:rsidR="00AD346E" w:rsidRPr="00D630EF">
        <w:rPr>
          <w:rFonts w:ascii="Arial" w:hAnsi="Arial" w:cs="Arial"/>
          <w:sz w:val="22"/>
          <w:szCs w:val="22"/>
          <w:u w:color="000000"/>
        </w:rPr>
        <w:t xml:space="preserve"> puede ordenar la presencia</w:t>
      </w:r>
      <w:r w:rsidR="00491011">
        <w:rPr>
          <w:rFonts w:ascii="Arial" w:hAnsi="Arial" w:cs="Arial"/>
          <w:sz w:val="22"/>
          <w:szCs w:val="22"/>
          <w:u w:color="000000"/>
        </w:rPr>
        <w:t xml:space="preserve"> de altas autoridades del Estado responsable</w:t>
      </w:r>
      <w:r w:rsidR="00AD346E" w:rsidRPr="00D630EF">
        <w:rPr>
          <w:rFonts w:ascii="Arial" w:hAnsi="Arial" w:cs="Arial"/>
          <w:sz w:val="22"/>
          <w:szCs w:val="22"/>
          <w:u w:color="000000"/>
        </w:rPr>
        <w:t>.</w:t>
      </w:r>
    </w:p>
    <w:p w:rsidR="00AD346E" w:rsidRDefault="00AD346E" w:rsidP="00491011">
      <w:pPr>
        <w:pStyle w:val="Body1"/>
        <w:spacing w:before="20" w:line="360" w:lineRule="auto"/>
        <w:jc w:val="both"/>
        <w:outlineLvl w:val="0"/>
        <w:rPr>
          <w:rFonts w:ascii="Arial" w:hAnsi="Arial" w:cs="Arial"/>
          <w:sz w:val="22"/>
          <w:szCs w:val="22"/>
          <w:u w:color="000000"/>
        </w:rPr>
      </w:pPr>
    </w:p>
    <w:p w:rsidR="00D16EB7" w:rsidRDefault="00491011" w:rsidP="00120702">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La Corte</w:t>
      </w:r>
      <w:r w:rsidR="00D16EB7">
        <w:rPr>
          <w:rFonts w:ascii="Arial" w:hAnsi="Arial" w:cs="Arial"/>
          <w:sz w:val="22"/>
          <w:szCs w:val="22"/>
          <w:u w:color="000000"/>
        </w:rPr>
        <w:t xml:space="preserve"> </w:t>
      </w:r>
      <w:r w:rsidR="009E1FF8">
        <w:rPr>
          <w:rFonts w:ascii="Arial" w:hAnsi="Arial" w:cs="Arial"/>
          <w:sz w:val="22"/>
          <w:szCs w:val="22"/>
          <w:u w:color="000000"/>
        </w:rPr>
        <w:t xml:space="preserve">IDH </w:t>
      </w:r>
      <w:r>
        <w:rPr>
          <w:rFonts w:ascii="Arial" w:hAnsi="Arial" w:cs="Arial"/>
          <w:sz w:val="22"/>
          <w:szCs w:val="22"/>
          <w:u w:color="000000"/>
        </w:rPr>
        <w:t>señala</w:t>
      </w:r>
      <w:r w:rsidR="00AF2B7E">
        <w:rPr>
          <w:rFonts w:ascii="Arial" w:hAnsi="Arial" w:cs="Arial"/>
          <w:sz w:val="22"/>
          <w:szCs w:val="22"/>
          <w:u w:color="000000"/>
        </w:rPr>
        <w:t xml:space="preserve"> que</w:t>
      </w:r>
      <w:r w:rsidR="00120702">
        <w:rPr>
          <w:rFonts w:ascii="Arial" w:hAnsi="Arial" w:cs="Arial"/>
          <w:sz w:val="22"/>
          <w:szCs w:val="22"/>
          <w:u w:color="000000"/>
        </w:rPr>
        <w:t xml:space="preserve"> la</w:t>
      </w:r>
      <w:r w:rsidR="00D16EB7">
        <w:rPr>
          <w:rFonts w:ascii="Arial" w:hAnsi="Arial" w:cs="Arial"/>
          <w:sz w:val="22"/>
          <w:szCs w:val="22"/>
          <w:u w:color="000000"/>
        </w:rPr>
        <w:t xml:space="preserve"> jurisprudencia </w:t>
      </w:r>
      <w:r>
        <w:rPr>
          <w:rFonts w:ascii="Arial" w:hAnsi="Arial" w:cs="Arial"/>
          <w:sz w:val="22"/>
          <w:szCs w:val="22"/>
          <w:u w:color="000000"/>
        </w:rPr>
        <w:t xml:space="preserve"> </w:t>
      </w:r>
      <w:r w:rsidR="00120702">
        <w:rPr>
          <w:rFonts w:ascii="Arial" w:hAnsi="Arial" w:cs="Arial"/>
          <w:sz w:val="22"/>
          <w:szCs w:val="22"/>
          <w:u w:color="000000"/>
        </w:rPr>
        <w:t xml:space="preserve">internacional </w:t>
      </w:r>
      <w:r w:rsidR="00120702" w:rsidRPr="00120702">
        <w:rPr>
          <w:rFonts w:ascii="Arial" w:hAnsi="Arial" w:cs="Arial"/>
          <w:sz w:val="22"/>
          <w:szCs w:val="22"/>
          <w:u w:color="000000"/>
        </w:rPr>
        <w:t xml:space="preserve">ha establecido reiteradamente que la sentencia constituye, </w:t>
      </w:r>
      <w:r w:rsidR="00120702" w:rsidRPr="001913DB">
        <w:rPr>
          <w:rFonts w:ascii="Arial" w:hAnsi="Arial" w:cs="Arial"/>
          <w:i/>
          <w:sz w:val="22"/>
          <w:szCs w:val="22"/>
          <w:u w:color="000000"/>
        </w:rPr>
        <w:t>per se</w:t>
      </w:r>
      <w:r w:rsidR="00120702" w:rsidRPr="00120702">
        <w:rPr>
          <w:rFonts w:ascii="Arial" w:hAnsi="Arial" w:cs="Arial"/>
          <w:sz w:val="22"/>
          <w:szCs w:val="22"/>
          <w:u w:color="000000"/>
        </w:rPr>
        <w:t>, una forma de reparación</w:t>
      </w:r>
      <w:r w:rsidR="00120702">
        <w:rPr>
          <w:rStyle w:val="Refdenotaalpie"/>
          <w:rFonts w:ascii="Arial" w:hAnsi="Arial" w:cs="Arial"/>
          <w:sz w:val="22"/>
          <w:szCs w:val="22"/>
          <w:u w:color="000000"/>
        </w:rPr>
        <w:footnoteReference w:id="109"/>
      </w:r>
      <w:r w:rsidR="00D16EB7">
        <w:rPr>
          <w:rFonts w:ascii="Arial" w:hAnsi="Arial" w:cs="Arial"/>
          <w:sz w:val="22"/>
          <w:szCs w:val="22"/>
          <w:u w:color="000000"/>
        </w:rPr>
        <w:t>, pero esta afirmación se complementa con la media</w:t>
      </w:r>
      <w:r w:rsidR="00AF2B7E">
        <w:rPr>
          <w:rFonts w:ascii="Arial" w:hAnsi="Arial" w:cs="Arial"/>
          <w:sz w:val="22"/>
          <w:szCs w:val="22"/>
          <w:u w:color="000000"/>
        </w:rPr>
        <w:t xml:space="preserve"> de satisfacción de publicar la misma</w:t>
      </w:r>
      <w:r w:rsidR="00D16EB7">
        <w:rPr>
          <w:rFonts w:ascii="Arial" w:hAnsi="Arial" w:cs="Arial"/>
          <w:sz w:val="22"/>
          <w:szCs w:val="22"/>
          <w:u w:color="000000"/>
        </w:rPr>
        <w:t xml:space="preserve">, para ello la Corte </w:t>
      </w:r>
      <w:r w:rsidR="001913DB">
        <w:rPr>
          <w:rFonts w:ascii="Arial" w:hAnsi="Arial" w:cs="Arial"/>
          <w:sz w:val="22"/>
          <w:szCs w:val="22"/>
          <w:u w:color="000000"/>
        </w:rPr>
        <w:t xml:space="preserve">ha </w:t>
      </w:r>
      <w:r w:rsidR="00D16EB7">
        <w:rPr>
          <w:rFonts w:ascii="Arial" w:hAnsi="Arial" w:cs="Arial"/>
          <w:sz w:val="22"/>
          <w:szCs w:val="22"/>
          <w:u w:color="000000"/>
        </w:rPr>
        <w:t>ordena</w:t>
      </w:r>
      <w:r w:rsidR="001913DB">
        <w:rPr>
          <w:rFonts w:ascii="Arial" w:hAnsi="Arial" w:cs="Arial"/>
          <w:sz w:val="22"/>
          <w:szCs w:val="22"/>
          <w:u w:color="000000"/>
        </w:rPr>
        <w:t>do</w:t>
      </w:r>
      <w:r w:rsidR="00D16EB7">
        <w:rPr>
          <w:rFonts w:ascii="Arial" w:hAnsi="Arial" w:cs="Arial"/>
          <w:sz w:val="22"/>
          <w:szCs w:val="22"/>
          <w:u w:color="000000"/>
        </w:rPr>
        <w:t xml:space="preserve"> a los Estados que difundan en un plazo determinado a partir de la respectiva notificación las partes pertinentes del fallo en el Diario Oficial y en los diarios de circulación nacional</w:t>
      </w:r>
      <w:r w:rsidR="00842F74">
        <w:rPr>
          <w:rStyle w:val="Refdenotaalpie"/>
          <w:rFonts w:ascii="Arial" w:hAnsi="Arial" w:cs="Arial"/>
          <w:sz w:val="22"/>
          <w:szCs w:val="22"/>
          <w:u w:color="000000"/>
        </w:rPr>
        <w:footnoteReference w:id="110"/>
      </w:r>
      <w:r w:rsidR="001913DB">
        <w:rPr>
          <w:rFonts w:ascii="Arial" w:hAnsi="Arial" w:cs="Arial"/>
          <w:sz w:val="22"/>
          <w:szCs w:val="22"/>
          <w:u w:color="000000"/>
        </w:rPr>
        <w:t>.</w:t>
      </w:r>
      <w:r w:rsidR="00D16EB7">
        <w:rPr>
          <w:rFonts w:ascii="Arial" w:hAnsi="Arial" w:cs="Arial"/>
          <w:sz w:val="22"/>
          <w:szCs w:val="22"/>
          <w:u w:color="000000"/>
        </w:rPr>
        <w:t xml:space="preserve">   </w:t>
      </w:r>
    </w:p>
    <w:p w:rsidR="00491011" w:rsidRPr="00D630EF" w:rsidRDefault="00D16EB7" w:rsidP="00491011">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 </w:t>
      </w:r>
      <w:r w:rsidR="00491011">
        <w:rPr>
          <w:rFonts w:ascii="Arial" w:hAnsi="Arial" w:cs="Arial"/>
          <w:sz w:val="22"/>
          <w:szCs w:val="22"/>
          <w:u w:color="000000"/>
        </w:rPr>
        <w:t xml:space="preserve"> </w:t>
      </w:r>
    </w:p>
    <w:p w:rsidR="00AD346E" w:rsidRPr="00D630EF" w:rsidRDefault="001913DB" w:rsidP="006A22A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Otro tipo de medidas de satisfacción considerados por la Corte </w:t>
      </w:r>
      <w:r w:rsidR="009E1FF8">
        <w:rPr>
          <w:rFonts w:ascii="Arial" w:hAnsi="Arial" w:cs="Arial"/>
          <w:sz w:val="22"/>
          <w:szCs w:val="22"/>
          <w:u w:color="000000"/>
        </w:rPr>
        <w:t xml:space="preserve">IDH </w:t>
      </w:r>
      <w:r>
        <w:rPr>
          <w:rFonts w:ascii="Arial" w:hAnsi="Arial" w:cs="Arial"/>
          <w:sz w:val="22"/>
          <w:szCs w:val="22"/>
          <w:u w:color="000000"/>
        </w:rPr>
        <w:t>ha sido la i</w:t>
      </w:r>
      <w:r w:rsidR="00AD346E" w:rsidRPr="00D630EF">
        <w:rPr>
          <w:rFonts w:ascii="Arial" w:hAnsi="Arial" w:cs="Arial"/>
          <w:sz w:val="22"/>
          <w:szCs w:val="22"/>
          <w:u w:color="000000"/>
        </w:rPr>
        <w:t>nstalación de monumentos y placas co</w:t>
      </w:r>
      <w:r w:rsidR="00D225AF">
        <w:rPr>
          <w:rFonts w:ascii="Arial" w:hAnsi="Arial" w:cs="Arial"/>
          <w:sz w:val="22"/>
          <w:szCs w:val="22"/>
          <w:u w:color="000000"/>
        </w:rPr>
        <w:t>n</w:t>
      </w:r>
      <w:r w:rsidR="00AD346E" w:rsidRPr="00D630EF">
        <w:rPr>
          <w:rFonts w:ascii="Arial" w:hAnsi="Arial" w:cs="Arial"/>
          <w:sz w:val="22"/>
          <w:szCs w:val="22"/>
          <w:u w:color="000000"/>
        </w:rPr>
        <w:t>memorativas</w:t>
      </w:r>
      <w:r>
        <w:rPr>
          <w:rFonts w:ascii="Arial" w:hAnsi="Arial" w:cs="Arial"/>
          <w:sz w:val="22"/>
          <w:szCs w:val="22"/>
          <w:u w:color="000000"/>
        </w:rPr>
        <w:t>, como un recordatorio público a las víctimas, sobre todo en los casos de asesina</w:t>
      </w:r>
      <w:r w:rsidR="009E1FF8">
        <w:rPr>
          <w:rFonts w:ascii="Arial" w:hAnsi="Arial" w:cs="Arial"/>
          <w:sz w:val="22"/>
          <w:szCs w:val="22"/>
          <w:u w:color="000000"/>
        </w:rPr>
        <w:t>to</w:t>
      </w:r>
      <w:r>
        <w:rPr>
          <w:rFonts w:ascii="Arial" w:hAnsi="Arial" w:cs="Arial"/>
          <w:sz w:val="22"/>
          <w:szCs w:val="22"/>
          <w:u w:color="000000"/>
        </w:rPr>
        <w:t xml:space="preserve"> y desaparición. </w:t>
      </w:r>
      <w:r w:rsidR="00A25820">
        <w:rPr>
          <w:rFonts w:ascii="Arial" w:hAnsi="Arial" w:cs="Arial"/>
          <w:sz w:val="22"/>
          <w:szCs w:val="22"/>
          <w:u w:color="000000"/>
        </w:rPr>
        <w:t xml:space="preserve">Por ejemplo en el caso </w:t>
      </w:r>
      <w:r w:rsidR="00A25820" w:rsidRPr="00A25820">
        <w:rPr>
          <w:rFonts w:ascii="Arial" w:hAnsi="Arial" w:cs="Arial"/>
          <w:sz w:val="22"/>
          <w:szCs w:val="22"/>
          <w:u w:color="000000"/>
        </w:rPr>
        <w:t>“Niños de la Calle” (Villagrán Morales y otros)</w:t>
      </w:r>
      <w:r w:rsidR="00A25820">
        <w:rPr>
          <w:rFonts w:ascii="Arial" w:hAnsi="Arial" w:cs="Arial"/>
          <w:sz w:val="22"/>
          <w:szCs w:val="22"/>
          <w:u w:color="000000"/>
        </w:rPr>
        <w:t>, la Corte ordenó</w:t>
      </w:r>
      <w:r w:rsidR="00A25820" w:rsidRPr="00A25820">
        <w:rPr>
          <w:rFonts w:ascii="Arial" w:hAnsi="Arial" w:cs="Arial"/>
          <w:sz w:val="22"/>
          <w:szCs w:val="22"/>
          <w:u w:color="000000"/>
        </w:rPr>
        <w:t xml:space="preserve"> al Estado designar un centro edu</w:t>
      </w:r>
      <w:r w:rsidR="00AF2B7E">
        <w:rPr>
          <w:rFonts w:ascii="Arial" w:hAnsi="Arial" w:cs="Arial"/>
          <w:sz w:val="22"/>
          <w:szCs w:val="22"/>
          <w:u w:color="000000"/>
        </w:rPr>
        <w:t>cativo con un nombre alusivo a</w:t>
      </w:r>
      <w:r w:rsidR="00A25820" w:rsidRPr="00A25820">
        <w:rPr>
          <w:rFonts w:ascii="Arial" w:hAnsi="Arial" w:cs="Arial"/>
          <w:sz w:val="22"/>
          <w:szCs w:val="22"/>
          <w:u w:color="000000"/>
        </w:rPr>
        <w:t xml:space="preserve"> los jóvenes víctimas de este caso, y colocar en dicho centro una placa </w:t>
      </w:r>
      <w:r w:rsidR="00A25820">
        <w:rPr>
          <w:rFonts w:ascii="Arial" w:hAnsi="Arial" w:cs="Arial"/>
          <w:sz w:val="22"/>
          <w:szCs w:val="22"/>
          <w:u w:color="000000"/>
        </w:rPr>
        <w:t>con sus</w:t>
      </w:r>
      <w:r w:rsidR="00A25820" w:rsidRPr="00A25820">
        <w:rPr>
          <w:rFonts w:ascii="Arial" w:hAnsi="Arial" w:cs="Arial"/>
          <w:sz w:val="22"/>
          <w:szCs w:val="22"/>
          <w:u w:color="000000"/>
        </w:rPr>
        <w:t xml:space="preserve"> nombre</w:t>
      </w:r>
      <w:r w:rsidR="009E1FF8">
        <w:rPr>
          <w:rFonts w:ascii="Arial" w:hAnsi="Arial" w:cs="Arial"/>
          <w:sz w:val="22"/>
          <w:szCs w:val="22"/>
          <w:u w:color="000000"/>
        </w:rPr>
        <w:t>s, la Corte consideró</w:t>
      </w:r>
      <w:r w:rsidR="00A25820">
        <w:rPr>
          <w:rFonts w:ascii="Arial" w:hAnsi="Arial" w:cs="Arial"/>
          <w:sz w:val="22"/>
          <w:szCs w:val="22"/>
          <w:u w:color="000000"/>
        </w:rPr>
        <w:t xml:space="preserve"> esta medida para contribuir</w:t>
      </w:r>
      <w:r w:rsidR="00A25820" w:rsidRPr="00A25820">
        <w:rPr>
          <w:rFonts w:ascii="Arial" w:hAnsi="Arial" w:cs="Arial"/>
          <w:sz w:val="22"/>
          <w:szCs w:val="22"/>
          <w:u w:color="000000"/>
        </w:rPr>
        <w:t xml:space="preserve"> a despertar la </w:t>
      </w:r>
      <w:r w:rsidR="00A25820" w:rsidRPr="00A25820">
        <w:rPr>
          <w:rFonts w:ascii="Arial" w:hAnsi="Arial" w:cs="Arial"/>
          <w:sz w:val="22"/>
          <w:szCs w:val="22"/>
          <w:u w:color="000000"/>
        </w:rPr>
        <w:lastRenderedPageBreak/>
        <w:t>conciencia para evitar la repetición de hechos lesivos como los ocurridos en el presente caso y conservar viva la memoria de las víctimas</w:t>
      </w:r>
      <w:r w:rsidR="00A25820">
        <w:rPr>
          <w:rStyle w:val="Refdenotaalpie"/>
          <w:rFonts w:ascii="Arial" w:hAnsi="Arial" w:cs="Arial"/>
          <w:sz w:val="22"/>
          <w:szCs w:val="22"/>
          <w:u w:color="000000"/>
        </w:rPr>
        <w:footnoteReference w:id="111"/>
      </w:r>
      <w:r w:rsidR="00923812">
        <w:rPr>
          <w:rFonts w:ascii="Arial" w:hAnsi="Arial" w:cs="Arial"/>
          <w:sz w:val="22"/>
          <w:szCs w:val="22"/>
          <w:u w:color="000000"/>
        </w:rPr>
        <w:t>.</w:t>
      </w:r>
      <w:r w:rsidR="00AD346E" w:rsidRPr="00D630EF">
        <w:rPr>
          <w:rFonts w:ascii="Arial" w:hAnsi="Arial" w:cs="Arial"/>
          <w:sz w:val="22"/>
          <w:szCs w:val="22"/>
          <w:u w:color="000000"/>
        </w:rPr>
        <w:t xml:space="preserve"> </w:t>
      </w:r>
    </w:p>
    <w:p w:rsidR="00AD346E" w:rsidRPr="00D630EF" w:rsidRDefault="00AD346E" w:rsidP="00D630EF">
      <w:pPr>
        <w:pStyle w:val="Body1"/>
        <w:tabs>
          <w:tab w:val="left" w:pos="5960"/>
        </w:tabs>
        <w:spacing w:before="20" w:line="360" w:lineRule="auto"/>
        <w:jc w:val="both"/>
        <w:outlineLvl w:val="0"/>
        <w:rPr>
          <w:rFonts w:ascii="Arial" w:hAnsi="Arial" w:cs="Arial"/>
          <w:sz w:val="22"/>
          <w:szCs w:val="22"/>
          <w:u w:color="000000"/>
        </w:rPr>
      </w:pPr>
      <w:r w:rsidRPr="00D630EF">
        <w:rPr>
          <w:rFonts w:ascii="Arial" w:hAnsi="Arial" w:cs="Arial"/>
          <w:sz w:val="22"/>
          <w:szCs w:val="22"/>
          <w:u w:color="000000"/>
        </w:rPr>
        <w:t xml:space="preserve">  </w:t>
      </w:r>
    </w:p>
    <w:p w:rsidR="00FA0F39" w:rsidRDefault="0089211A" w:rsidP="006A22A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Es en las medias de satisfacción donde se pone en evidencia la importancia de repara</w:t>
      </w:r>
      <w:r w:rsidR="009E1FF8">
        <w:rPr>
          <w:rFonts w:ascii="Arial" w:hAnsi="Arial" w:cs="Arial"/>
          <w:sz w:val="22"/>
          <w:szCs w:val="22"/>
          <w:u w:color="000000"/>
        </w:rPr>
        <w:t>r</w:t>
      </w:r>
      <w:r>
        <w:rPr>
          <w:rFonts w:ascii="Arial" w:hAnsi="Arial" w:cs="Arial"/>
          <w:sz w:val="22"/>
          <w:szCs w:val="22"/>
          <w:u w:color="000000"/>
        </w:rPr>
        <w:t xml:space="preserve"> las violaciones a los derechos humanos según la particularidad de los casos presentados, la Corte </w:t>
      </w:r>
      <w:r w:rsidR="009E1FF8">
        <w:rPr>
          <w:rFonts w:ascii="Arial" w:hAnsi="Arial" w:cs="Arial"/>
          <w:sz w:val="22"/>
          <w:szCs w:val="22"/>
          <w:u w:color="000000"/>
        </w:rPr>
        <w:t xml:space="preserve">IDH </w:t>
      </w:r>
      <w:r>
        <w:rPr>
          <w:rFonts w:ascii="Arial" w:hAnsi="Arial" w:cs="Arial"/>
          <w:sz w:val="22"/>
          <w:szCs w:val="22"/>
          <w:u w:color="000000"/>
        </w:rPr>
        <w:t xml:space="preserve">tiene un papel fundamental al recabar toda la información necesaria para formase un criterio determinado y </w:t>
      </w:r>
      <w:r w:rsidR="00477ECF">
        <w:rPr>
          <w:rFonts w:ascii="Arial" w:hAnsi="Arial" w:cs="Arial"/>
          <w:sz w:val="22"/>
          <w:szCs w:val="22"/>
          <w:u w:color="000000"/>
        </w:rPr>
        <w:t>ordenar las medias pertinentes y</w:t>
      </w:r>
      <w:r>
        <w:rPr>
          <w:rFonts w:ascii="Arial" w:hAnsi="Arial" w:cs="Arial"/>
          <w:sz w:val="22"/>
          <w:szCs w:val="22"/>
          <w:u w:color="000000"/>
        </w:rPr>
        <w:t xml:space="preserve"> justas, estas pueden ser novedosas en la medida en que garanticen el respeto y protección a los derechos humanos. Si bien pueden generarse principios generales en torno a la aplicación de las medidas ordenadas, hay que recalcar en que no todas son aplicables en todos los casos.      </w:t>
      </w:r>
    </w:p>
    <w:p w:rsidR="009E1FF8" w:rsidRDefault="009E1FF8" w:rsidP="00D225AF">
      <w:pPr>
        <w:pStyle w:val="Body1"/>
        <w:spacing w:before="20" w:line="360" w:lineRule="auto"/>
        <w:outlineLvl w:val="0"/>
        <w:rPr>
          <w:rFonts w:ascii="Arial" w:hAnsi="Arial" w:cs="Arial"/>
          <w:sz w:val="22"/>
          <w:szCs w:val="22"/>
          <w:u w:color="000000"/>
        </w:rPr>
      </w:pPr>
    </w:p>
    <w:p w:rsidR="00AD346E" w:rsidRPr="006A22A5" w:rsidRDefault="00651974" w:rsidP="00B656C2">
      <w:pPr>
        <w:pStyle w:val="Body1"/>
        <w:numPr>
          <w:ilvl w:val="2"/>
          <w:numId w:val="7"/>
        </w:numPr>
        <w:spacing w:before="20" w:line="360" w:lineRule="auto"/>
        <w:outlineLvl w:val="2"/>
        <w:rPr>
          <w:rFonts w:ascii="Arial" w:hAnsi="Arial" w:cs="Arial"/>
          <w:b/>
          <w:sz w:val="22"/>
          <w:szCs w:val="22"/>
          <w:u w:color="000000"/>
        </w:rPr>
      </w:pPr>
      <w:bookmarkStart w:id="16" w:name="_Toc356432253"/>
      <w:r>
        <w:rPr>
          <w:rFonts w:ascii="Arial" w:hAnsi="Arial" w:cs="Arial"/>
          <w:b/>
          <w:sz w:val="22"/>
          <w:szCs w:val="22"/>
          <w:u w:color="000000"/>
        </w:rPr>
        <w:t>G</w:t>
      </w:r>
      <w:r w:rsidRPr="006A22A5">
        <w:rPr>
          <w:rFonts w:ascii="Arial" w:hAnsi="Arial" w:cs="Arial"/>
          <w:b/>
          <w:sz w:val="22"/>
          <w:szCs w:val="22"/>
          <w:u w:color="000000"/>
        </w:rPr>
        <w:t>arantía de la no repetición</w:t>
      </w:r>
      <w:bookmarkEnd w:id="16"/>
      <w:r w:rsidRPr="006A22A5">
        <w:rPr>
          <w:rFonts w:ascii="Arial" w:hAnsi="Arial" w:cs="Arial"/>
          <w:b/>
          <w:sz w:val="22"/>
          <w:szCs w:val="22"/>
          <w:u w:color="000000"/>
        </w:rPr>
        <w:t xml:space="preserve"> </w:t>
      </w:r>
    </w:p>
    <w:p w:rsidR="00AD346E" w:rsidRPr="00D630EF" w:rsidRDefault="00AD346E" w:rsidP="00D630EF">
      <w:pPr>
        <w:pStyle w:val="Body1"/>
        <w:spacing w:before="20" w:line="360" w:lineRule="auto"/>
        <w:outlineLvl w:val="0"/>
        <w:rPr>
          <w:rFonts w:ascii="Arial" w:hAnsi="Arial" w:cs="Arial"/>
          <w:sz w:val="22"/>
          <w:szCs w:val="22"/>
          <w:u w:color="000000"/>
        </w:rPr>
      </w:pPr>
    </w:p>
    <w:p w:rsidR="00375538" w:rsidRDefault="00375538" w:rsidP="006A22A5">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La </w:t>
      </w:r>
      <w:r w:rsidR="00DF24DE">
        <w:rPr>
          <w:rFonts w:ascii="Arial" w:hAnsi="Arial" w:cs="Arial"/>
          <w:sz w:val="22"/>
          <w:szCs w:val="22"/>
          <w:u w:color="000000"/>
        </w:rPr>
        <w:t>forma de reparación para garantizar la no repetición incluye</w:t>
      </w:r>
      <w:r>
        <w:rPr>
          <w:rFonts w:ascii="Arial" w:hAnsi="Arial" w:cs="Arial"/>
          <w:sz w:val="22"/>
          <w:szCs w:val="22"/>
          <w:u w:color="000000"/>
        </w:rPr>
        <w:t xml:space="preserve"> medidas que buscan evitar que las violaciones a los derechos vuelvan a cometerse. La Corte </w:t>
      </w:r>
      <w:r w:rsidR="009E1FF8">
        <w:rPr>
          <w:rFonts w:ascii="Arial" w:hAnsi="Arial" w:cs="Arial"/>
          <w:sz w:val="22"/>
          <w:szCs w:val="22"/>
          <w:u w:color="000000"/>
        </w:rPr>
        <w:t xml:space="preserve">IDH </w:t>
      </w:r>
      <w:r>
        <w:rPr>
          <w:rFonts w:ascii="Arial" w:hAnsi="Arial" w:cs="Arial"/>
          <w:sz w:val="22"/>
          <w:szCs w:val="22"/>
          <w:u w:color="000000"/>
        </w:rPr>
        <w:t>debe analizar las condiciones y circunstancias que han permitido que las violaciones se susciten, identificadas tales circunstancias, se deben ordenar medidas efectivas que se apliquen a la brevedad posible.</w:t>
      </w:r>
    </w:p>
    <w:p w:rsidR="00375538" w:rsidRDefault="00375538" w:rsidP="00D225AF">
      <w:pPr>
        <w:pStyle w:val="Body1"/>
        <w:spacing w:before="20" w:line="360" w:lineRule="auto"/>
        <w:jc w:val="both"/>
        <w:outlineLvl w:val="0"/>
        <w:rPr>
          <w:rFonts w:ascii="Arial" w:hAnsi="Arial" w:cs="Arial"/>
          <w:sz w:val="22"/>
          <w:szCs w:val="22"/>
          <w:u w:color="000000"/>
        </w:rPr>
      </w:pPr>
    </w:p>
    <w:p w:rsidR="00D813C2" w:rsidRDefault="003B3EFC" w:rsidP="00313DAE">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En los Principios y Directrices </w:t>
      </w:r>
      <w:r w:rsidR="00375538">
        <w:rPr>
          <w:rFonts w:ascii="Arial" w:hAnsi="Arial" w:cs="Arial"/>
          <w:sz w:val="22"/>
          <w:szCs w:val="22"/>
          <w:u w:color="000000"/>
        </w:rPr>
        <w:t xml:space="preserve">se establece </w:t>
      </w:r>
      <w:r w:rsidR="00D813C2">
        <w:rPr>
          <w:rFonts w:ascii="Arial" w:hAnsi="Arial" w:cs="Arial"/>
          <w:sz w:val="22"/>
          <w:szCs w:val="22"/>
          <w:u w:color="000000"/>
        </w:rPr>
        <w:t>que las medidas para garantizar la no repetición de las violaciones</w:t>
      </w:r>
      <w:r w:rsidR="009E1FF8">
        <w:rPr>
          <w:rFonts w:ascii="Arial" w:hAnsi="Arial" w:cs="Arial"/>
          <w:sz w:val="22"/>
          <w:szCs w:val="22"/>
          <w:u w:color="000000"/>
        </w:rPr>
        <w:t>,</w:t>
      </w:r>
      <w:r w:rsidR="00D813C2">
        <w:rPr>
          <w:rFonts w:ascii="Arial" w:hAnsi="Arial" w:cs="Arial"/>
          <w:sz w:val="22"/>
          <w:szCs w:val="22"/>
          <w:u w:color="000000"/>
        </w:rPr>
        <w:t xml:space="preserve"> las </w:t>
      </w:r>
      <w:r w:rsidR="009E1FF8">
        <w:rPr>
          <w:rFonts w:ascii="Arial" w:hAnsi="Arial" w:cs="Arial"/>
          <w:sz w:val="22"/>
          <w:szCs w:val="22"/>
          <w:u w:color="000000"/>
        </w:rPr>
        <w:t xml:space="preserve">mismas </w:t>
      </w:r>
      <w:r w:rsidR="00D813C2">
        <w:rPr>
          <w:rFonts w:ascii="Arial" w:hAnsi="Arial" w:cs="Arial"/>
          <w:sz w:val="22"/>
          <w:szCs w:val="22"/>
          <w:u w:color="000000"/>
        </w:rPr>
        <w:t>que han de aplicarse según proceda en su totalidad o en parte, son las siguientes:</w:t>
      </w:r>
    </w:p>
    <w:p w:rsidR="0094248A" w:rsidRDefault="0094248A" w:rsidP="00D813C2">
      <w:pPr>
        <w:pStyle w:val="Body1"/>
        <w:spacing w:before="20" w:line="276" w:lineRule="auto"/>
        <w:jc w:val="both"/>
        <w:outlineLvl w:val="0"/>
        <w:rPr>
          <w:rFonts w:ascii="Arial" w:hAnsi="Arial" w:cs="Arial"/>
          <w:i/>
          <w:sz w:val="18"/>
          <w:szCs w:val="18"/>
          <w:u w:color="000000"/>
        </w:rPr>
      </w:pPr>
    </w:p>
    <w:p w:rsidR="00D813C2" w:rsidRPr="00923812" w:rsidRDefault="00D813C2" w:rsidP="0094248A">
      <w:pPr>
        <w:pStyle w:val="Body1"/>
        <w:spacing w:before="20" w:line="276" w:lineRule="auto"/>
        <w:ind w:left="720"/>
        <w:jc w:val="both"/>
        <w:outlineLvl w:val="0"/>
        <w:rPr>
          <w:rFonts w:ascii="Arial" w:hAnsi="Arial" w:cs="Arial"/>
          <w:sz w:val="20"/>
          <w:u w:color="000000"/>
        </w:rPr>
      </w:pPr>
      <w:r w:rsidRPr="00923812">
        <w:rPr>
          <w:rFonts w:ascii="Arial" w:hAnsi="Arial" w:cs="Arial"/>
          <w:sz w:val="20"/>
          <w:u w:color="000000"/>
        </w:rPr>
        <w:t>a) El ejercicio de un control efectivo por las autoridades civiles sobre las fuerzas armadas y de seguridad;</w:t>
      </w:r>
    </w:p>
    <w:p w:rsidR="00D813C2" w:rsidRPr="00923812" w:rsidRDefault="00D813C2" w:rsidP="0094248A">
      <w:pPr>
        <w:pStyle w:val="Body1"/>
        <w:spacing w:before="20" w:line="276" w:lineRule="auto"/>
        <w:ind w:left="720"/>
        <w:jc w:val="both"/>
        <w:outlineLvl w:val="0"/>
        <w:rPr>
          <w:rFonts w:ascii="Arial" w:hAnsi="Arial" w:cs="Arial"/>
          <w:sz w:val="20"/>
          <w:u w:color="000000"/>
        </w:rPr>
      </w:pPr>
      <w:r w:rsidRPr="00923812">
        <w:rPr>
          <w:rFonts w:ascii="Arial" w:hAnsi="Arial" w:cs="Arial"/>
          <w:sz w:val="20"/>
          <w:u w:color="000000"/>
        </w:rPr>
        <w:t>b) La garantía de que todos los procedimientos civiles y militares se ajustan a las normas internacionales relativas a las garantías procesales, la equidad y la imparcialidad;</w:t>
      </w:r>
    </w:p>
    <w:p w:rsidR="00D813C2" w:rsidRPr="00923812" w:rsidRDefault="00D813C2" w:rsidP="0094248A">
      <w:pPr>
        <w:pStyle w:val="Body1"/>
        <w:spacing w:before="20" w:line="276" w:lineRule="auto"/>
        <w:ind w:firstLine="720"/>
        <w:jc w:val="both"/>
        <w:outlineLvl w:val="0"/>
        <w:rPr>
          <w:rFonts w:ascii="Arial" w:hAnsi="Arial" w:cs="Arial"/>
          <w:sz w:val="20"/>
          <w:u w:color="000000"/>
        </w:rPr>
      </w:pPr>
      <w:r w:rsidRPr="00923812">
        <w:rPr>
          <w:rFonts w:ascii="Arial" w:hAnsi="Arial" w:cs="Arial"/>
          <w:sz w:val="20"/>
          <w:u w:color="000000"/>
        </w:rPr>
        <w:t>c) El fortalecimiento de la independencia del poder judicial;</w:t>
      </w:r>
    </w:p>
    <w:p w:rsidR="00D813C2" w:rsidRPr="00923812" w:rsidRDefault="00D813C2" w:rsidP="0094248A">
      <w:pPr>
        <w:pStyle w:val="Body1"/>
        <w:spacing w:before="20" w:line="276" w:lineRule="auto"/>
        <w:ind w:left="720"/>
        <w:jc w:val="both"/>
        <w:outlineLvl w:val="0"/>
        <w:rPr>
          <w:rFonts w:ascii="Arial" w:hAnsi="Arial" w:cs="Arial"/>
          <w:sz w:val="20"/>
          <w:u w:color="000000"/>
        </w:rPr>
      </w:pPr>
      <w:r w:rsidRPr="00923812">
        <w:rPr>
          <w:rFonts w:ascii="Arial" w:hAnsi="Arial" w:cs="Arial"/>
          <w:sz w:val="20"/>
          <w:u w:color="000000"/>
        </w:rPr>
        <w:t>d) La protección de los profesionales del derecho, la salud y la asistencia sanitaria, la información y otros sectores conexos, así como de los defensores de los derechos humanos;</w:t>
      </w:r>
    </w:p>
    <w:p w:rsidR="00D813C2" w:rsidRPr="00923812" w:rsidRDefault="00D813C2" w:rsidP="0094248A">
      <w:pPr>
        <w:pStyle w:val="Body1"/>
        <w:spacing w:before="20" w:line="276" w:lineRule="auto"/>
        <w:ind w:left="720"/>
        <w:jc w:val="both"/>
        <w:outlineLvl w:val="0"/>
        <w:rPr>
          <w:rFonts w:ascii="Arial" w:hAnsi="Arial" w:cs="Arial"/>
          <w:sz w:val="20"/>
          <w:u w:color="000000"/>
        </w:rPr>
      </w:pPr>
      <w:r w:rsidRPr="00923812">
        <w:rPr>
          <w:rFonts w:ascii="Arial" w:hAnsi="Arial" w:cs="Arial"/>
          <w:sz w:val="20"/>
          <w:u w:color="000000"/>
        </w:rPr>
        <w:t>e) La educación, de modo prioritario y permanente, de todos los sectores de la sociedad respecto de los derechos humanos y del derecho internacional humanitario y la capacitación en esta materia de los funcionarios encargados de hacer cumplir la ley, así como de las fuerzas armadas y de seguridad;</w:t>
      </w:r>
    </w:p>
    <w:p w:rsidR="00D813C2" w:rsidRPr="00923812" w:rsidRDefault="00D813C2" w:rsidP="0094248A">
      <w:pPr>
        <w:pStyle w:val="Body1"/>
        <w:spacing w:before="20" w:line="276" w:lineRule="auto"/>
        <w:ind w:left="720"/>
        <w:jc w:val="both"/>
        <w:outlineLvl w:val="0"/>
        <w:rPr>
          <w:rFonts w:ascii="Arial" w:hAnsi="Arial" w:cs="Arial"/>
          <w:sz w:val="20"/>
          <w:u w:color="000000"/>
        </w:rPr>
      </w:pPr>
      <w:r w:rsidRPr="00923812">
        <w:rPr>
          <w:rFonts w:ascii="Arial" w:hAnsi="Arial" w:cs="Arial"/>
          <w:sz w:val="20"/>
          <w:u w:color="000000"/>
        </w:rPr>
        <w:t xml:space="preserve">f) La promoción de la observancia de los códigos de conducta y de las normas éticas, en particular las normas internacionales, por los funcionarios públicos, inclusive el personal de las fuerzas de seguridad, los establecimientos penitenciarios, los medios de </w:t>
      </w:r>
      <w:r w:rsidRPr="00923812">
        <w:rPr>
          <w:rFonts w:ascii="Arial" w:hAnsi="Arial" w:cs="Arial"/>
          <w:sz w:val="20"/>
          <w:u w:color="000000"/>
        </w:rPr>
        <w:lastRenderedPageBreak/>
        <w:t>información, el personal de servicios médicos, psicológicos, sociales y de las fuerzas armadas, además del personal de empresas comerciales;</w:t>
      </w:r>
    </w:p>
    <w:p w:rsidR="00D813C2" w:rsidRPr="00923812" w:rsidRDefault="00D813C2" w:rsidP="0094248A">
      <w:pPr>
        <w:pStyle w:val="Body1"/>
        <w:spacing w:before="20" w:line="276" w:lineRule="auto"/>
        <w:ind w:left="720"/>
        <w:jc w:val="both"/>
        <w:outlineLvl w:val="0"/>
        <w:rPr>
          <w:rFonts w:ascii="Arial" w:hAnsi="Arial" w:cs="Arial"/>
          <w:sz w:val="20"/>
          <w:u w:color="000000"/>
        </w:rPr>
      </w:pPr>
      <w:r w:rsidRPr="00923812">
        <w:rPr>
          <w:rFonts w:ascii="Arial" w:hAnsi="Arial" w:cs="Arial"/>
          <w:sz w:val="20"/>
          <w:u w:color="000000"/>
        </w:rPr>
        <w:t>g) La promoción de mecanismos destinados a prevenir, vigilar y resolver los conflictos sociales;</w:t>
      </w:r>
    </w:p>
    <w:p w:rsidR="00375538" w:rsidRPr="00923812" w:rsidRDefault="00D813C2" w:rsidP="0094248A">
      <w:pPr>
        <w:pStyle w:val="Body1"/>
        <w:spacing w:before="20" w:line="276" w:lineRule="auto"/>
        <w:ind w:left="720"/>
        <w:jc w:val="both"/>
        <w:outlineLvl w:val="0"/>
        <w:rPr>
          <w:rFonts w:ascii="Arial" w:hAnsi="Arial" w:cs="Arial"/>
          <w:sz w:val="18"/>
          <w:szCs w:val="18"/>
          <w:u w:color="000000"/>
        </w:rPr>
      </w:pPr>
      <w:r w:rsidRPr="00923812">
        <w:rPr>
          <w:rFonts w:ascii="Arial" w:hAnsi="Arial" w:cs="Arial"/>
          <w:sz w:val="20"/>
          <w:u w:color="000000"/>
        </w:rPr>
        <w:t>h) La revisión y reforma de las leyes que contribuyan a las violaciones manifiestas de las normas internacionales de derechos humanos y a las violaciones graves del derecho humanitario o las permitan</w:t>
      </w:r>
      <w:r w:rsidRPr="00923812">
        <w:rPr>
          <w:rStyle w:val="Refdenotaalpie"/>
          <w:rFonts w:ascii="Arial" w:hAnsi="Arial" w:cs="Arial"/>
          <w:sz w:val="20"/>
          <w:u w:color="000000"/>
        </w:rPr>
        <w:footnoteReference w:id="112"/>
      </w:r>
      <w:r w:rsidRPr="00923812">
        <w:rPr>
          <w:rFonts w:ascii="Arial" w:hAnsi="Arial" w:cs="Arial"/>
          <w:sz w:val="20"/>
          <w:u w:color="000000"/>
        </w:rPr>
        <w:t>.</w:t>
      </w:r>
      <w:r w:rsidRPr="00923812">
        <w:rPr>
          <w:rFonts w:ascii="Arial" w:hAnsi="Arial" w:cs="Arial"/>
          <w:sz w:val="18"/>
          <w:szCs w:val="18"/>
          <w:u w:color="000000"/>
        </w:rPr>
        <w:t xml:space="preserve"> </w:t>
      </w:r>
      <w:r w:rsidR="00375538" w:rsidRPr="00923812">
        <w:rPr>
          <w:rFonts w:ascii="Arial" w:hAnsi="Arial" w:cs="Arial"/>
          <w:sz w:val="18"/>
          <w:szCs w:val="18"/>
          <w:u w:color="000000"/>
        </w:rPr>
        <w:t xml:space="preserve">      </w:t>
      </w:r>
    </w:p>
    <w:p w:rsidR="00D813C2" w:rsidRDefault="00D813C2" w:rsidP="00D225AF">
      <w:pPr>
        <w:pStyle w:val="Body1"/>
        <w:spacing w:before="20" w:line="360" w:lineRule="auto"/>
        <w:jc w:val="both"/>
        <w:outlineLvl w:val="0"/>
        <w:rPr>
          <w:rFonts w:ascii="Arial" w:hAnsi="Arial" w:cs="Arial"/>
          <w:sz w:val="22"/>
          <w:szCs w:val="22"/>
          <w:u w:color="000000"/>
        </w:rPr>
      </w:pPr>
    </w:p>
    <w:p w:rsidR="00D813C2" w:rsidRDefault="00D813C2" w:rsidP="00CA2E8C">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 xml:space="preserve">Estas medidas </w:t>
      </w:r>
      <w:r w:rsidR="006B2FC4">
        <w:rPr>
          <w:rFonts w:ascii="Arial" w:hAnsi="Arial" w:cs="Arial"/>
          <w:sz w:val="22"/>
          <w:szCs w:val="22"/>
          <w:u w:color="000000"/>
        </w:rPr>
        <w:t>son fundamentales en el desarrollo,</w:t>
      </w:r>
      <w:r>
        <w:rPr>
          <w:rFonts w:ascii="Arial" w:hAnsi="Arial" w:cs="Arial"/>
          <w:sz w:val="22"/>
          <w:szCs w:val="22"/>
          <w:u w:color="000000"/>
        </w:rPr>
        <w:t xml:space="preserve"> respeto y protección a los derech</w:t>
      </w:r>
      <w:r w:rsidR="006B2FC4">
        <w:rPr>
          <w:rFonts w:ascii="Arial" w:hAnsi="Arial" w:cs="Arial"/>
          <w:sz w:val="22"/>
          <w:szCs w:val="22"/>
          <w:u w:color="000000"/>
        </w:rPr>
        <w:t>os humanos pues suponen</w:t>
      </w:r>
      <w:r>
        <w:rPr>
          <w:rFonts w:ascii="Arial" w:hAnsi="Arial" w:cs="Arial"/>
          <w:sz w:val="22"/>
          <w:szCs w:val="22"/>
          <w:u w:color="000000"/>
        </w:rPr>
        <w:t xml:space="preserve"> un c</w:t>
      </w:r>
      <w:r w:rsidR="009220F8">
        <w:rPr>
          <w:rFonts w:ascii="Arial" w:hAnsi="Arial" w:cs="Arial"/>
          <w:sz w:val="22"/>
          <w:szCs w:val="22"/>
          <w:u w:color="000000"/>
        </w:rPr>
        <w:t>ompromiso para los Estados</w:t>
      </w:r>
      <w:r>
        <w:rPr>
          <w:rFonts w:ascii="Arial" w:hAnsi="Arial" w:cs="Arial"/>
          <w:sz w:val="22"/>
          <w:szCs w:val="22"/>
          <w:u w:color="000000"/>
        </w:rPr>
        <w:t xml:space="preserve"> </w:t>
      </w:r>
      <w:r w:rsidR="006B2FC4">
        <w:rPr>
          <w:rFonts w:ascii="Arial" w:hAnsi="Arial" w:cs="Arial"/>
          <w:sz w:val="22"/>
          <w:szCs w:val="22"/>
          <w:u w:color="000000"/>
        </w:rPr>
        <w:t>de evitar</w:t>
      </w:r>
      <w:r w:rsidR="00DF24DE">
        <w:rPr>
          <w:rFonts w:ascii="Arial" w:hAnsi="Arial" w:cs="Arial"/>
          <w:sz w:val="22"/>
          <w:szCs w:val="22"/>
          <w:u w:color="000000"/>
        </w:rPr>
        <w:t xml:space="preserve"> que </w:t>
      </w:r>
      <w:r>
        <w:rPr>
          <w:rFonts w:ascii="Arial" w:hAnsi="Arial" w:cs="Arial"/>
          <w:sz w:val="22"/>
          <w:szCs w:val="22"/>
          <w:u w:color="000000"/>
        </w:rPr>
        <w:t xml:space="preserve">los hechos que han vulnerado los derechos </w:t>
      </w:r>
      <w:r w:rsidR="00DF24DE">
        <w:rPr>
          <w:rFonts w:ascii="Arial" w:hAnsi="Arial" w:cs="Arial"/>
          <w:sz w:val="22"/>
          <w:szCs w:val="22"/>
          <w:u w:color="000000"/>
        </w:rPr>
        <w:t>humanos</w:t>
      </w:r>
      <w:r w:rsidR="006B2FC4">
        <w:rPr>
          <w:rFonts w:ascii="Arial" w:hAnsi="Arial" w:cs="Arial"/>
          <w:sz w:val="22"/>
          <w:szCs w:val="22"/>
          <w:u w:color="000000"/>
        </w:rPr>
        <w:t xml:space="preserve"> se vuelvan a cometer.</w:t>
      </w:r>
      <w:r w:rsidR="009220F8">
        <w:rPr>
          <w:rFonts w:ascii="Arial" w:hAnsi="Arial" w:cs="Arial"/>
          <w:sz w:val="22"/>
          <w:szCs w:val="22"/>
          <w:u w:color="000000"/>
        </w:rPr>
        <w:t xml:space="preserve"> </w:t>
      </w:r>
      <w:r w:rsidR="006B2FC4">
        <w:rPr>
          <w:rFonts w:ascii="Arial" w:hAnsi="Arial" w:cs="Arial"/>
          <w:sz w:val="22"/>
          <w:szCs w:val="22"/>
          <w:u w:color="000000"/>
        </w:rPr>
        <w:t>Es</w:t>
      </w:r>
      <w:r w:rsidR="009220F8">
        <w:rPr>
          <w:rFonts w:ascii="Arial" w:hAnsi="Arial" w:cs="Arial"/>
          <w:sz w:val="22"/>
          <w:szCs w:val="22"/>
          <w:u w:color="000000"/>
        </w:rPr>
        <w:t xml:space="preserve"> importante en este punto que se busque consensos con la sociedad, que se hagan con</w:t>
      </w:r>
      <w:r w:rsidR="00DF24DE">
        <w:rPr>
          <w:rFonts w:ascii="Arial" w:hAnsi="Arial" w:cs="Arial"/>
          <w:sz w:val="22"/>
          <w:szCs w:val="22"/>
          <w:u w:color="000000"/>
        </w:rPr>
        <w:t>sultas y se conformen comités para contar con la opinión</w:t>
      </w:r>
      <w:r w:rsidR="009220F8">
        <w:rPr>
          <w:rFonts w:ascii="Arial" w:hAnsi="Arial" w:cs="Arial"/>
          <w:sz w:val="22"/>
          <w:szCs w:val="22"/>
          <w:u w:color="000000"/>
        </w:rPr>
        <w:t xml:space="preserve"> de la población en general y con </w:t>
      </w:r>
      <w:r w:rsidR="00DF24DE">
        <w:rPr>
          <w:rFonts w:ascii="Arial" w:hAnsi="Arial" w:cs="Arial"/>
          <w:sz w:val="22"/>
          <w:szCs w:val="22"/>
          <w:u w:color="000000"/>
        </w:rPr>
        <w:t xml:space="preserve">la de </w:t>
      </w:r>
      <w:r w:rsidR="009220F8">
        <w:rPr>
          <w:rFonts w:ascii="Arial" w:hAnsi="Arial" w:cs="Arial"/>
          <w:sz w:val="22"/>
          <w:szCs w:val="22"/>
          <w:u w:color="000000"/>
        </w:rPr>
        <w:t>aquellos que han sufrido daños y vulneraciones a sus derechos fundamentales. E</w:t>
      </w:r>
      <w:r w:rsidR="006B2FC4">
        <w:rPr>
          <w:rFonts w:ascii="Arial" w:hAnsi="Arial" w:cs="Arial"/>
          <w:sz w:val="22"/>
          <w:szCs w:val="22"/>
          <w:u w:color="000000"/>
        </w:rPr>
        <w:t>stas medidas deben ampliarse</w:t>
      </w:r>
      <w:r>
        <w:rPr>
          <w:rFonts w:ascii="Arial" w:hAnsi="Arial" w:cs="Arial"/>
          <w:sz w:val="22"/>
          <w:szCs w:val="22"/>
          <w:u w:color="000000"/>
        </w:rPr>
        <w:t xml:space="preserve"> y se</w:t>
      </w:r>
      <w:r w:rsidR="00DF24DE">
        <w:rPr>
          <w:rFonts w:ascii="Arial" w:hAnsi="Arial" w:cs="Arial"/>
          <w:sz w:val="22"/>
          <w:szCs w:val="22"/>
          <w:u w:color="000000"/>
        </w:rPr>
        <w:t>r revisadas cuando se</w:t>
      </w:r>
      <w:r>
        <w:rPr>
          <w:rFonts w:ascii="Arial" w:hAnsi="Arial" w:cs="Arial"/>
          <w:sz w:val="22"/>
          <w:szCs w:val="22"/>
          <w:u w:color="000000"/>
        </w:rPr>
        <w:t xml:space="preserve"> </w:t>
      </w:r>
      <w:r w:rsidR="00C85135">
        <w:rPr>
          <w:rFonts w:ascii="Arial" w:hAnsi="Arial" w:cs="Arial"/>
          <w:sz w:val="22"/>
          <w:szCs w:val="22"/>
          <w:u w:color="000000"/>
        </w:rPr>
        <w:t>establezcan</w:t>
      </w:r>
      <w:r>
        <w:rPr>
          <w:rFonts w:ascii="Arial" w:hAnsi="Arial" w:cs="Arial"/>
          <w:sz w:val="22"/>
          <w:szCs w:val="22"/>
          <w:u w:color="000000"/>
        </w:rPr>
        <w:t xml:space="preserve"> formas más adecuadas y beneficiosas para la protección de los derechos.</w:t>
      </w:r>
    </w:p>
    <w:p w:rsidR="009220F8" w:rsidRDefault="009220F8" w:rsidP="00D225AF">
      <w:pPr>
        <w:pStyle w:val="Body1"/>
        <w:spacing w:before="20" w:line="360" w:lineRule="auto"/>
        <w:jc w:val="both"/>
        <w:outlineLvl w:val="0"/>
        <w:rPr>
          <w:rFonts w:ascii="Arial" w:hAnsi="Arial" w:cs="Arial"/>
          <w:sz w:val="22"/>
          <w:szCs w:val="22"/>
          <w:u w:color="000000"/>
        </w:rPr>
      </w:pPr>
    </w:p>
    <w:p w:rsidR="009220F8" w:rsidRDefault="00C85135" w:rsidP="00CA2E8C">
      <w:pPr>
        <w:pStyle w:val="Body1"/>
        <w:spacing w:before="20" w:line="360" w:lineRule="auto"/>
        <w:jc w:val="both"/>
        <w:outlineLvl w:val="0"/>
        <w:rPr>
          <w:rFonts w:ascii="Arial" w:hAnsi="Arial" w:cs="Arial"/>
          <w:sz w:val="22"/>
          <w:szCs w:val="22"/>
          <w:u w:color="000000"/>
        </w:rPr>
      </w:pPr>
      <w:r>
        <w:rPr>
          <w:rFonts w:ascii="Arial" w:hAnsi="Arial" w:cs="Arial"/>
          <w:sz w:val="22"/>
          <w:szCs w:val="22"/>
          <w:u w:color="000000"/>
        </w:rPr>
        <w:t>Medidas como la elaboración de políticas de Estado han sido contempladas por la Corte para impedir que se cometan nuevas violaciones, así por ejemplo e</w:t>
      </w:r>
      <w:r w:rsidR="009220F8">
        <w:rPr>
          <w:rFonts w:ascii="Arial" w:hAnsi="Arial" w:cs="Arial"/>
          <w:sz w:val="22"/>
          <w:szCs w:val="22"/>
          <w:u w:color="000000"/>
        </w:rPr>
        <w:t xml:space="preserve">n el caso </w:t>
      </w:r>
      <w:r w:rsidR="00AD346E" w:rsidRPr="00D630EF">
        <w:rPr>
          <w:rFonts w:ascii="Arial" w:hAnsi="Arial" w:cs="Arial"/>
          <w:sz w:val="22"/>
          <w:szCs w:val="22"/>
          <w:u w:color="000000"/>
        </w:rPr>
        <w:t>Instituto de Reeducación al Menor</w:t>
      </w:r>
      <w:r w:rsidR="009220F8">
        <w:rPr>
          <w:rFonts w:ascii="Arial" w:hAnsi="Arial" w:cs="Arial"/>
          <w:sz w:val="22"/>
          <w:szCs w:val="22"/>
          <w:u w:color="000000"/>
        </w:rPr>
        <w:t xml:space="preserve"> vs. Paraguay, la Corte se </w:t>
      </w:r>
      <w:proofErr w:type="spellStart"/>
      <w:r w:rsidR="009220F8">
        <w:rPr>
          <w:rFonts w:ascii="Arial" w:hAnsi="Arial" w:cs="Arial"/>
          <w:sz w:val="22"/>
          <w:szCs w:val="22"/>
          <w:u w:color="000000"/>
        </w:rPr>
        <w:t>expreso</w:t>
      </w:r>
      <w:proofErr w:type="spellEnd"/>
      <w:r w:rsidR="009220F8">
        <w:rPr>
          <w:rFonts w:ascii="Arial" w:hAnsi="Arial" w:cs="Arial"/>
          <w:sz w:val="22"/>
          <w:szCs w:val="22"/>
          <w:u w:color="000000"/>
        </w:rPr>
        <w:t xml:space="preserve"> de la siguiente forma:   </w:t>
      </w:r>
    </w:p>
    <w:p w:rsidR="009220F8" w:rsidRDefault="009220F8" w:rsidP="009220F8">
      <w:pPr>
        <w:pStyle w:val="Body1"/>
        <w:spacing w:before="20" w:line="360" w:lineRule="auto"/>
        <w:jc w:val="both"/>
        <w:outlineLvl w:val="0"/>
        <w:rPr>
          <w:rFonts w:ascii="Arial" w:hAnsi="Arial" w:cs="Arial"/>
          <w:sz w:val="22"/>
          <w:szCs w:val="22"/>
          <w:u w:color="000000"/>
        </w:rPr>
      </w:pPr>
    </w:p>
    <w:p w:rsidR="009220F8" w:rsidRPr="00CA2E8C" w:rsidRDefault="009220F8" w:rsidP="0094248A">
      <w:pPr>
        <w:pStyle w:val="Body1"/>
        <w:spacing w:before="20" w:line="276" w:lineRule="auto"/>
        <w:ind w:left="720"/>
        <w:jc w:val="both"/>
        <w:outlineLvl w:val="0"/>
        <w:rPr>
          <w:rFonts w:ascii="Arial" w:hAnsi="Arial" w:cs="Arial"/>
          <w:sz w:val="20"/>
          <w:u w:color="000000"/>
        </w:rPr>
      </w:pPr>
      <w:r w:rsidRPr="00CA2E8C">
        <w:rPr>
          <w:rFonts w:ascii="Arial" w:hAnsi="Arial" w:cs="Arial"/>
          <w:sz w:val="20"/>
          <w:u w:color="000000"/>
        </w:rPr>
        <w:t xml:space="preserve">La Corte considera necesario que, en el plazo de seis meses, las instituciones pertinentes del Estado, en consulta con la sociedad civil, elaboren y definan una política de Estado de corto, mediano y largo plazo en materia de niños en conflicto con la ley que sea plenamente consistente con los compromisos internacionales del Paraguay. Dicha política de Estado debe ser presentada por altas autoridades del Estado en un acto público en el que, además, se reconozca la responsabilidad internacional del Paraguay en las carencias de las condiciones de detención imperantes en el Instituto entre el 14 de agosto de 1996 y 25 de julio de 2001. </w:t>
      </w:r>
    </w:p>
    <w:p w:rsidR="00AD346E" w:rsidRPr="0094248A" w:rsidRDefault="009220F8" w:rsidP="0094248A">
      <w:pPr>
        <w:pStyle w:val="Body1"/>
        <w:spacing w:before="20" w:line="276" w:lineRule="auto"/>
        <w:ind w:left="720"/>
        <w:jc w:val="both"/>
        <w:outlineLvl w:val="0"/>
        <w:rPr>
          <w:rFonts w:ascii="Arial" w:hAnsi="Arial" w:cs="Arial"/>
          <w:i/>
          <w:sz w:val="20"/>
          <w:u w:color="000000"/>
        </w:rPr>
      </w:pPr>
      <w:r w:rsidRPr="00CA2E8C">
        <w:rPr>
          <w:rFonts w:ascii="Arial" w:hAnsi="Arial" w:cs="Arial"/>
          <w:sz w:val="20"/>
          <w:u w:color="000000"/>
        </w:rPr>
        <w:t>Dicha política de Estado debe contemplar, entre otros aspectos, estrategias, acciones apropiadas y la asignación de los recursos que resulten indispensables para que los niños privados de libertad se encuentren separados de los adultos; para que los niños procesados estén separados de los condenados; así como para la creación de programas de educación, médicos y psicológicos integrales para todos los niños privados de libertad</w:t>
      </w:r>
      <w:r w:rsidRPr="00CA2E8C">
        <w:rPr>
          <w:rStyle w:val="Refdenotaalpie"/>
          <w:rFonts w:ascii="Arial" w:hAnsi="Arial" w:cs="Arial"/>
          <w:sz w:val="20"/>
          <w:u w:color="000000"/>
        </w:rPr>
        <w:footnoteReference w:id="113"/>
      </w:r>
      <w:r w:rsidRPr="00CA2E8C">
        <w:rPr>
          <w:rFonts w:ascii="Arial" w:hAnsi="Arial" w:cs="Arial"/>
          <w:sz w:val="20"/>
          <w:u w:color="000000"/>
        </w:rPr>
        <w:t>.</w:t>
      </w:r>
      <w:r w:rsidR="00AD346E" w:rsidRPr="0094248A">
        <w:rPr>
          <w:rFonts w:ascii="Arial" w:hAnsi="Arial" w:cs="Arial"/>
          <w:i/>
          <w:sz w:val="20"/>
          <w:u w:color="000000"/>
        </w:rPr>
        <w:t xml:space="preserve">  </w:t>
      </w:r>
    </w:p>
    <w:p w:rsidR="00AD346E" w:rsidRDefault="00AD346E" w:rsidP="00D630EF">
      <w:pPr>
        <w:pStyle w:val="Body1"/>
        <w:spacing w:line="360" w:lineRule="auto"/>
        <w:rPr>
          <w:rFonts w:ascii="Arial" w:hAnsi="Arial" w:cs="Arial"/>
          <w:sz w:val="22"/>
          <w:szCs w:val="22"/>
        </w:rPr>
      </w:pPr>
    </w:p>
    <w:p w:rsidR="009220F8" w:rsidRPr="00D630EF" w:rsidRDefault="009220F8" w:rsidP="00216746">
      <w:pPr>
        <w:pStyle w:val="Body1"/>
        <w:spacing w:line="360" w:lineRule="auto"/>
        <w:jc w:val="both"/>
        <w:rPr>
          <w:rFonts w:ascii="Arial" w:hAnsi="Arial" w:cs="Arial"/>
          <w:sz w:val="22"/>
          <w:szCs w:val="22"/>
        </w:rPr>
      </w:pPr>
      <w:r>
        <w:rPr>
          <w:rFonts w:ascii="Arial" w:hAnsi="Arial" w:cs="Arial"/>
          <w:sz w:val="22"/>
          <w:szCs w:val="22"/>
        </w:rPr>
        <w:t>Medidas co</w:t>
      </w:r>
      <w:r w:rsidR="00E90891">
        <w:rPr>
          <w:rFonts w:ascii="Arial" w:hAnsi="Arial" w:cs="Arial"/>
          <w:sz w:val="22"/>
          <w:szCs w:val="22"/>
        </w:rPr>
        <w:t xml:space="preserve">mo esta implican una gran responsabilidad para el Estado ya que debe contarse con varios órganos gubernamentales y la erogación de capital, la Corte ha </w:t>
      </w:r>
      <w:r w:rsidR="00E90891">
        <w:rPr>
          <w:rFonts w:ascii="Arial" w:hAnsi="Arial" w:cs="Arial"/>
          <w:sz w:val="22"/>
          <w:szCs w:val="22"/>
        </w:rPr>
        <w:lastRenderedPageBreak/>
        <w:t>est</w:t>
      </w:r>
      <w:r w:rsidR="009E1FF8">
        <w:rPr>
          <w:rFonts w:ascii="Arial" w:hAnsi="Arial" w:cs="Arial"/>
          <w:sz w:val="22"/>
          <w:szCs w:val="22"/>
        </w:rPr>
        <w:t>ablecido además un plazo para su</w:t>
      </w:r>
      <w:r w:rsidR="00E90891">
        <w:rPr>
          <w:rFonts w:ascii="Arial" w:hAnsi="Arial" w:cs="Arial"/>
          <w:sz w:val="22"/>
          <w:szCs w:val="22"/>
        </w:rPr>
        <w:t xml:space="preserve"> cumplimiento lo que conlleva un compromiso adicional. Cabe recalcar que una política de Estado implica además la elaboración de normativa para aplicarla, conjuntamente con la necesidad de revisar la normativa que podría entrar en conflicto a fin de disponer su derogatoria.   </w:t>
      </w:r>
      <w:r>
        <w:rPr>
          <w:rFonts w:ascii="Arial" w:hAnsi="Arial" w:cs="Arial"/>
          <w:sz w:val="22"/>
          <w:szCs w:val="22"/>
        </w:rPr>
        <w:t xml:space="preserve"> </w:t>
      </w:r>
    </w:p>
    <w:p w:rsidR="009220F8" w:rsidRDefault="009220F8" w:rsidP="00D225AF">
      <w:pPr>
        <w:pStyle w:val="Body1"/>
        <w:spacing w:line="360" w:lineRule="auto"/>
        <w:jc w:val="both"/>
        <w:rPr>
          <w:rFonts w:ascii="Arial" w:hAnsi="Arial" w:cs="Arial"/>
          <w:sz w:val="22"/>
          <w:szCs w:val="22"/>
        </w:rPr>
      </w:pPr>
    </w:p>
    <w:p w:rsidR="003171F5" w:rsidRDefault="006E2011" w:rsidP="00CA2E8C">
      <w:pPr>
        <w:pStyle w:val="Body1"/>
        <w:spacing w:line="360" w:lineRule="auto"/>
        <w:jc w:val="both"/>
        <w:rPr>
          <w:rFonts w:ascii="Arial" w:hAnsi="Arial" w:cs="Arial"/>
          <w:sz w:val="22"/>
          <w:szCs w:val="22"/>
        </w:rPr>
      </w:pPr>
      <w:r>
        <w:rPr>
          <w:rFonts w:ascii="Arial" w:hAnsi="Arial" w:cs="Arial"/>
          <w:sz w:val="22"/>
          <w:szCs w:val="22"/>
        </w:rPr>
        <w:t>Hay que mencionar además que medidas como la elaboración de una política de Estado para evitar nuevas violaciones repara los daños de las víctimas y sus familiares, además tienen</w:t>
      </w:r>
      <w:r w:rsidR="003171F5">
        <w:rPr>
          <w:rFonts w:ascii="Arial" w:hAnsi="Arial" w:cs="Arial"/>
          <w:sz w:val="22"/>
          <w:szCs w:val="22"/>
        </w:rPr>
        <w:t xml:space="preserve"> efectos de carácter general</w:t>
      </w:r>
      <w:r>
        <w:rPr>
          <w:rFonts w:ascii="Arial" w:hAnsi="Arial" w:cs="Arial"/>
          <w:sz w:val="22"/>
          <w:szCs w:val="22"/>
        </w:rPr>
        <w:t xml:space="preserve">, que son beneficiosos para toda la sociedad, por ello las medidas de </w:t>
      </w:r>
      <w:r w:rsidR="00D3601A">
        <w:rPr>
          <w:rFonts w:ascii="Arial" w:hAnsi="Arial" w:cs="Arial"/>
          <w:sz w:val="22"/>
          <w:szCs w:val="22"/>
        </w:rPr>
        <w:t>garantía</w:t>
      </w:r>
      <w:r>
        <w:rPr>
          <w:rFonts w:ascii="Arial" w:hAnsi="Arial" w:cs="Arial"/>
          <w:sz w:val="22"/>
          <w:szCs w:val="22"/>
        </w:rPr>
        <w:t xml:space="preserve"> de</w:t>
      </w:r>
      <w:r w:rsidR="00D3601A">
        <w:rPr>
          <w:rFonts w:ascii="Arial" w:hAnsi="Arial" w:cs="Arial"/>
          <w:sz w:val="22"/>
          <w:szCs w:val="22"/>
        </w:rPr>
        <w:t xml:space="preserve"> no repetición</w:t>
      </w:r>
      <w:r>
        <w:rPr>
          <w:rFonts w:ascii="Arial" w:hAnsi="Arial" w:cs="Arial"/>
          <w:sz w:val="22"/>
          <w:szCs w:val="22"/>
        </w:rPr>
        <w:t xml:space="preserve"> revisten una especial atención por parte de la Corte.</w:t>
      </w:r>
    </w:p>
    <w:p w:rsidR="006E2011" w:rsidRDefault="006E2011" w:rsidP="006E2011">
      <w:pPr>
        <w:pStyle w:val="Body1"/>
        <w:spacing w:line="360" w:lineRule="auto"/>
        <w:jc w:val="both"/>
        <w:rPr>
          <w:rFonts w:ascii="Arial" w:hAnsi="Arial" w:cs="Arial"/>
          <w:sz w:val="22"/>
          <w:szCs w:val="22"/>
        </w:rPr>
      </w:pPr>
    </w:p>
    <w:p w:rsidR="001D157B" w:rsidRDefault="00D3601A" w:rsidP="00CA2E8C">
      <w:pPr>
        <w:pStyle w:val="Body1"/>
        <w:spacing w:line="360" w:lineRule="auto"/>
        <w:jc w:val="both"/>
        <w:rPr>
          <w:rFonts w:ascii="Arial" w:hAnsi="Arial" w:cs="Arial"/>
          <w:sz w:val="22"/>
          <w:szCs w:val="22"/>
        </w:rPr>
      </w:pPr>
      <w:r>
        <w:rPr>
          <w:rFonts w:ascii="Arial" w:hAnsi="Arial" w:cs="Arial"/>
          <w:sz w:val="22"/>
          <w:szCs w:val="22"/>
        </w:rPr>
        <w:t>Existen medidas de no repetición cuyo objeto es propiciar que cesen las violaciones a los derechos debido a una norma interna del Estado</w:t>
      </w:r>
      <w:r w:rsidR="00B0653E">
        <w:rPr>
          <w:rFonts w:ascii="Arial" w:hAnsi="Arial" w:cs="Arial"/>
          <w:sz w:val="22"/>
          <w:szCs w:val="22"/>
        </w:rPr>
        <w:t xml:space="preserve"> responsable</w:t>
      </w:r>
      <w:r w:rsidR="003677FD">
        <w:rPr>
          <w:rFonts w:ascii="Arial" w:hAnsi="Arial" w:cs="Arial"/>
          <w:sz w:val="22"/>
          <w:szCs w:val="22"/>
        </w:rPr>
        <w:t>, es decir</w:t>
      </w:r>
      <w:r>
        <w:rPr>
          <w:rFonts w:ascii="Arial" w:hAnsi="Arial" w:cs="Arial"/>
          <w:sz w:val="22"/>
          <w:szCs w:val="22"/>
        </w:rPr>
        <w:t xml:space="preserve">, que se elaboren reformas para </w:t>
      </w:r>
      <w:r w:rsidR="00B0653E">
        <w:rPr>
          <w:rFonts w:ascii="Arial" w:hAnsi="Arial" w:cs="Arial"/>
          <w:sz w:val="22"/>
          <w:szCs w:val="22"/>
        </w:rPr>
        <w:t xml:space="preserve">evitar </w:t>
      </w:r>
      <w:r>
        <w:rPr>
          <w:rFonts w:ascii="Arial" w:hAnsi="Arial" w:cs="Arial"/>
          <w:sz w:val="22"/>
          <w:szCs w:val="22"/>
        </w:rPr>
        <w:t xml:space="preserve">la afectación </w:t>
      </w:r>
      <w:r w:rsidR="003171F5">
        <w:rPr>
          <w:rFonts w:ascii="Arial" w:hAnsi="Arial" w:cs="Arial"/>
          <w:sz w:val="22"/>
          <w:szCs w:val="22"/>
        </w:rPr>
        <w:t>directa</w:t>
      </w:r>
      <w:r>
        <w:rPr>
          <w:rFonts w:ascii="Arial" w:hAnsi="Arial" w:cs="Arial"/>
          <w:sz w:val="22"/>
          <w:szCs w:val="22"/>
        </w:rPr>
        <w:t xml:space="preserve"> de</w:t>
      </w:r>
      <w:r w:rsidR="003171F5">
        <w:rPr>
          <w:rFonts w:ascii="Arial" w:hAnsi="Arial" w:cs="Arial"/>
          <w:sz w:val="22"/>
          <w:szCs w:val="22"/>
        </w:rPr>
        <w:t xml:space="preserve"> los derechos</w:t>
      </w:r>
      <w:r w:rsidR="00B0653E">
        <w:rPr>
          <w:rFonts w:ascii="Arial" w:hAnsi="Arial" w:cs="Arial"/>
          <w:sz w:val="22"/>
          <w:szCs w:val="22"/>
        </w:rPr>
        <w:t xml:space="preserve">, así por ejemplo en el caso </w:t>
      </w:r>
      <w:proofErr w:type="spellStart"/>
      <w:r w:rsidR="00B0653E">
        <w:rPr>
          <w:rFonts w:ascii="Arial" w:hAnsi="Arial" w:cs="Arial"/>
          <w:sz w:val="22"/>
          <w:szCs w:val="22"/>
        </w:rPr>
        <w:t>Caesar</w:t>
      </w:r>
      <w:proofErr w:type="spellEnd"/>
      <w:r w:rsidR="00B0653E">
        <w:rPr>
          <w:rFonts w:ascii="Arial" w:hAnsi="Arial" w:cs="Arial"/>
          <w:sz w:val="22"/>
          <w:szCs w:val="22"/>
        </w:rPr>
        <w:t xml:space="preserve"> se verificó que la normativa interna de Trinidad y Tobago contemplaba la </w:t>
      </w:r>
      <w:r w:rsidR="003677FD">
        <w:rPr>
          <w:rFonts w:ascii="Arial" w:hAnsi="Arial" w:cs="Arial"/>
          <w:sz w:val="22"/>
          <w:szCs w:val="22"/>
        </w:rPr>
        <w:t>aplicación de castigos corporales</w:t>
      </w:r>
      <w:r w:rsidR="001D157B">
        <w:rPr>
          <w:rFonts w:ascii="Arial" w:hAnsi="Arial" w:cs="Arial"/>
          <w:sz w:val="22"/>
          <w:szCs w:val="22"/>
        </w:rPr>
        <w:t xml:space="preserve">, la Corte en este caso ordeno que: </w:t>
      </w:r>
    </w:p>
    <w:p w:rsidR="00F027A9" w:rsidRDefault="00F027A9" w:rsidP="001D157B">
      <w:pPr>
        <w:pStyle w:val="Body1"/>
        <w:spacing w:line="360" w:lineRule="auto"/>
        <w:jc w:val="both"/>
        <w:rPr>
          <w:rFonts w:ascii="Arial" w:hAnsi="Arial" w:cs="Arial"/>
          <w:sz w:val="22"/>
          <w:szCs w:val="22"/>
        </w:rPr>
      </w:pPr>
    </w:p>
    <w:p w:rsidR="001D157B" w:rsidRPr="00CA2E8C" w:rsidRDefault="001D157B" w:rsidP="0094248A">
      <w:pPr>
        <w:pStyle w:val="Body1"/>
        <w:spacing w:line="276" w:lineRule="auto"/>
        <w:ind w:left="720"/>
        <w:jc w:val="both"/>
        <w:rPr>
          <w:rFonts w:ascii="Arial" w:hAnsi="Arial" w:cs="Arial"/>
          <w:sz w:val="20"/>
        </w:rPr>
      </w:pPr>
      <w:r w:rsidRPr="00CA2E8C">
        <w:rPr>
          <w:rFonts w:ascii="Arial" w:hAnsi="Arial" w:cs="Arial"/>
          <w:sz w:val="20"/>
        </w:rPr>
        <w:t>Por haber declarado que la Ley de Penas Corporales es incompatible con los términos del artículo 5.1 y 5.2 de la Convención (supra párr. 73 y 94), la Corte requiere al Estado que adopte, dentro de un plazo razonable, las medidas legislativas o de otra índole necesarias para derogar la Ley de Penas Corporales</w:t>
      </w:r>
      <w:r w:rsidRPr="00CA2E8C">
        <w:rPr>
          <w:rStyle w:val="Refdenotaalpie"/>
          <w:rFonts w:ascii="Arial" w:hAnsi="Arial" w:cs="Arial"/>
          <w:sz w:val="20"/>
        </w:rPr>
        <w:footnoteReference w:id="114"/>
      </w:r>
      <w:r w:rsidRPr="00CA2E8C">
        <w:rPr>
          <w:rFonts w:ascii="Arial" w:hAnsi="Arial" w:cs="Arial"/>
          <w:sz w:val="20"/>
        </w:rPr>
        <w:t>.</w:t>
      </w:r>
      <w:r w:rsidR="003171F5" w:rsidRPr="00CA2E8C">
        <w:rPr>
          <w:rFonts w:ascii="Arial" w:hAnsi="Arial" w:cs="Arial"/>
          <w:sz w:val="20"/>
        </w:rPr>
        <w:t xml:space="preserve"> </w:t>
      </w:r>
    </w:p>
    <w:p w:rsidR="001D157B" w:rsidRDefault="001D157B" w:rsidP="001D157B">
      <w:pPr>
        <w:pStyle w:val="Body1"/>
        <w:spacing w:line="360" w:lineRule="auto"/>
        <w:jc w:val="both"/>
        <w:rPr>
          <w:rFonts w:ascii="Arial" w:hAnsi="Arial" w:cs="Arial"/>
          <w:sz w:val="22"/>
          <w:szCs w:val="22"/>
        </w:rPr>
      </w:pPr>
    </w:p>
    <w:p w:rsidR="00E53225" w:rsidRDefault="001D157B" w:rsidP="00CA2E8C">
      <w:pPr>
        <w:pStyle w:val="Body1"/>
        <w:spacing w:line="360" w:lineRule="auto"/>
        <w:jc w:val="both"/>
        <w:rPr>
          <w:rFonts w:ascii="Arial" w:hAnsi="Arial" w:cs="Arial"/>
          <w:sz w:val="22"/>
          <w:szCs w:val="22"/>
        </w:rPr>
      </w:pPr>
      <w:r>
        <w:rPr>
          <w:rFonts w:ascii="Arial" w:hAnsi="Arial" w:cs="Arial"/>
          <w:sz w:val="22"/>
          <w:szCs w:val="22"/>
        </w:rPr>
        <w:t xml:space="preserve">Si bien el objeto de estas medias es que las reformas </w:t>
      </w:r>
      <w:r w:rsidR="00E53225">
        <w:rPr>
          <w:rFonts w:ascii="Arial" w:hAnsi="Arial" w:cs="Arial"/>
          <w:sz w:val="22"/>
          <w:szCs w:val="22"/>
        </w:rPr>
        <w:t xml:space="preserve">legislativas en este caso </w:t>
      </w:r>
      <w:r>
        <w:rPr>
          <w:rFonts w:ascii="Arial" w:hAnsi="Arial" w:cs="Arial"/>
          <w:sz w:val="22"/>
          <w:szCs w:val="22"/>
        </w:rPr>
        <w:t>se extiendan en el tiempo</w:t>
      </w:r>
      <w:r w:rsidR="00E53225">
        <w:rPr>
          <w:rFonts w:ascii="Arial" w:hAnsi="Arial" w:cs="Arial"/>
          <w:sz w:val="22"/>
          <w:szCs w:val="22"/>
        </w:rPr>
        <w:t xml:space="preserve">, cabe señalar que Trinidad y Tobago </w:t>
      </w:r>
      <w:proofErr w:type="gramStart"/>
      <w:r w:rsidR="00E53225" w:rsidRPr="00E53225">
        <w:rPr>
          <w:rFonts w:ascii="Arial" w:hAnsi="Arial" w:cs="Arial"/>
          <w:sz w:val="22"/>
          <w:szCs w:val="22"/>
        </w:rPr>
        <w:t>denunció</w:t>
      </w:r>
      <w:proofErr w:type="gramEnd"/>
      <w:r w:rsidR="00E53225" w:rsidRPr="00E53225">
        <w:rPr>
          <w:rFonts w:ascii="Arial" w:hAnsi="Arial" w:cs="Arial"/>
          <w:sz w:val="22"/>
          <w:szCs w:val="22"/>
        </w:rPr>
        <w:t xml:space="preserve"> la Convención </w:t>
      </w:r>
      <w:r w:rsidR="00E53225">
        <w:rPr>
          <w:rFonts w:ascii="Arial" w:hAnsi="Arial" w:cs="Arial"/>
          <w:sz w:val="22"/>
          <w:szCs w:val="22"/>
        </w:rPr>
        <w:t>e</w:t>
      </w:r>
      <w:r w:rsidR="00E53225" w:rsidRPr="00E53225">
        <w:rPr>
          <w:rFonts w:ascii="Arial" w:hAnsi="Arial" w:cs="Arial"/>
          <w:sz w:val="22"/>
          <w:szCs w:val="22"/>
        </w:rPr>
        <w:t>l 26 de mayo de 1998 y dicha denuncia surtió efecto, el 26 de mayo de 1999</w:t>
      </w:r>
      <w:r w:rsidR="00E53225">
        <w:rPr>
          <w:rFonts w:ascii="Arial" w:hAnsi="Arial" w:cs="Arial"/>
          <w:sz w:val="22"/>
          <w:szCs w:val="22"/>
        </w:rPr>
        <w:t>.</w:t>
      </w:r>
    </w:p>
    <w:p w:rsidR="00E53225" w:rsidRPr="00E53225" w:rsidRDefault="00E53225" w:rsidP="00E53225">
      <w:pPr>
        <w:pStyle w:val="Body1"/>
        <w:spacing w:line="360" w:lineRule="auto"/>
        <w:jc w:val="both"/>
        <w:rPr>
          <w:rFonts w:ascii="Arial" w:hAnsi="Arial" w:cs="Arial"/>
          <w:sz w:val="22"/>
          <w:szCs w:val="22"/>
        </w:rPr>
      </w:pPr>
    </w:p>
    <w:p w:rsidR="00E53225" w:rsidRDefault="00E53225" w:rsidP="00CA2E8C">
      <w:pPr>
        <w:pStyle w:val="Body1"/>
        <w:spacing w:line="360" w:lineRule="auto"/>
        <w:jc w:val="both"/>
        <w:rPr>
          <w:rFonts w:ascii="Arial" w:hAnsi="Arial" w:cs="Arial"/>
          <w:sz w:val="22"/>
          <w:szCs w:val="22"/>
        </w:rPr>
      </w:pPr>
      <w:r>
        <w:rPr>
          <w:rFonts w:ascii="Arial" w:hAnsi="Arial" w:cs="Arial"/>
          <w:sz w:val="22"/>
          <w:szCs w:val="22"/>
        </w:rPr>
        <w:t>Por otro lado existen medidas que buscan reformas en la normativa de los</w:t>
      </w:r>
      <w:r w:rsidR="00F027A9">
        <w:rPr>
          <w:rFonts w:ascii="Arial" w:hAnsi="Arial" w:cs="Arial"/>
          <w:sz w:val="22"/>
          <w:szCs w:val="22"/>
        </w:rPr>
        <w:t xml:space="preserve"> Estados responsables ya que</w:t>
      </w:r>
      <w:r>
        <w:rPr>
          <w:rFonts w:ascii="Arial" w:hAnsi="Arial" w:cs="Arial"/>
          <w:sz w:val="22"/>
          <w:szCs w:val="22"/>
        </w:rPr>
        <w:t xml:space="preserve"> tales normas si bien no vulneran derechos humanos directamente, pueden propiciar su vulneración, así por ejemplo </w:t>
      </w:r>
      <w:r w:rsidR="00152AB2">
        <w:rPr>
          <w:rFonts w:ascii="Arial" w:hAnsi="Arial" w:cs="Arial"/>
          <w:sz w:val="22"/>
          <w:szCs w:val="22"/>
        </w:rPr>
        <w:t xml:space="preserve">en </w:t>
      </w:r>
      <w:r>
        <w:rPr>
          <w:rFonts w:ascii="Arial" w:hAnsi="Arial" w:cs="Arial"/>
          <w:sz w:val="22"/>
          <w:szCs w:val="22"/>
        </w:rPr>
        <w:t xml:space="preserve">el caso </w:t>
      </w:r>
      <w:r w:rsidR="00152AB2" w:rsidRPr="00152AB2">
        <w:rPr>
          <w:rFonts w:ascii="Arial" w:hAnsi="Arial" w:cs="Arial"/>
          <w:sz w:val="22"/>
          <w:szCs w:val="22"/>
        </w:rPr>
        <w:t>Chaparro Álvarez y Lapo Íñiguez vs. Ecuador</w:t>
      </w:r>
      <w:r w:rsidR="00152AB2">
        <w:rPr>
          <w:rFonts w:ascii="Arial" w:hAnsi="Arial" w:cs="Arial"/>
          <w:sz w:val="22"/>
          <w:szCs w:val="22"/>
        </w:rPr>
        <w:t xml:space="preserve">, las víctimas se acogieron al proceso de habeas corpus, sin embargo dicha acción en ese tiempo era conocida por la autoridad máxima municipal, es decir, una autoridad administrativa en lugar de una autoridad judicial, la Corte en ese sentido señaló </w:t>
      </w:r>
      <w:r w:rsidR="00DF24DE">
        <w:rPr>
          <w:rFonts w:ascii="Arial" w:hAnsi="Arial" w:cs="Arial"/>
          <w:sz w:val="22"/>
          <w:szCs w:val="22"/>
        </w:rPr>
        <w:t>que:</w:t>
      </w:r>
    </w:p>
    <w:p w:rsidR="00DF24DE" w:rsidRDefault="00DF24DE" w:rsidP="00E53225">
      <w:pPr>
        <w:pStyle w:val="Body1"/>
        <w:spacing w:line="360" w:lineRule="auto"/>
        <w:jc w:val="both"/>
        <w:rPr>
          <w:rFonts w:ascii="Arial" w:hAnsi="Arial" w:cs="Arial"/>
          <w:sz w:val="22"/>
          <w:szCs w:val="22"/>
        </w:rPr>
      </w:pPr>
    </w:p>
    <w:p w:rsidR="00DF24DE" w:rsidRPr="00CA2E8C" w:rsidRDefault="00DF24DE" w:rsidP="0094248A">
      <w:pPr>
        <w:pStyle w:val="Body1"/>
        <w:spacing w:line="276" w:lineRule="auto"/>
        <w:ind w:left="720"/>
        <w:jc w:val="both"/>
        <w:rPr>
          <w:rFonts w:ascii="Arial" w:hAnsi="Arial" w:cs="Arial"/>
          <w:sz w:val="20"/>
        </w:rPr>
      </w:pPr>
      <w:r w:rsidRPr="00CA2E8C">
        <w:rPr>
          <w:rFonts w:ascii="Arial" w:hAnsi="Arial" w:cs="Arial"/>
          <w:sz w:val="20"/>
        </w:rPr>
        <w:t xml:space="preserve">Teniendo en cuenta lo señalado respecto de la regulación ecuatoriana del recurso de hábeas corpus y la declarada violación del artículo 7.6 en relación con el artículo 2 de la </w:t>
      </w:r>
      <w:r w:rsidRPr="00CA2E8C">
        <w:rPr>
          <w:rFonts w:ascii="Arial" w:hAnsi="Arial" w:cs="Arial"/>
          <w:sz w:val="20"/>
        </w:rPr>
        <w:lastRenderedPageBreak/>
        <w:t xml:space="preserve">Convención (supra </w:t>
      </w:r>
      <w:proofErr w:type="spellStart"/>
      <w:r w:rsidRPr="00CA2E8C">
        <w:rPr>
          <w:rFonts w:ascii="Arial" w:hAnsi="Arial" w:cs="Arial"/>
          <w:sz w:val="20"/>
        </w:rPr>
        <w:t>párrs</w:t>
      </w:r>
      <w:proofErr w:type="spellEnd"/>
      <w:r w:rsidRPr="00CA2E8C">
        <w:rPr>
          <w:rFonts w:ascii="Arial" w:hAnsi="Arial" w:cs="Arial"/>
          <w:sz w:val="20"/>
        </w:rPr>
        <w:t>. 127 a 130), así como lo dicho por el Estado en la audiencia pública respecto a que “desplegará sus mejores esfuerzos, a través de la Asamblea Nacional Constituyente próxima a instalarse, por adecuar la garantía constitucional del hábeas corpus a los estándares internacionales […] con el fin de que la verificación judicial de la convencionalidad, constitucionalidad y legalidad de una detención, deje de confiarse al máximo personero municipal”, la Corte estima pertinente ordenar al Estado que adecue su derecho interno, en un plazo razonable, a los parámetros de la Convención, de manera que sea una autoridad judicial la que decida sobre los recursos que los detenidos presenten conforme a lo establecido en el artículo 7.6 de la Convención Americana</w:t>
      </w:r>
      <w:r w:rsidRPr="00CA2E8C">
        <w:rPr>
          <w:rStyle w:val="Refdenotaalpie"/>
          <w:rFonts w:ascii="Arial" w:hAnsi="Arial" w:cs="Arial"/>
          <w:sz w:val="20"/>
        </w:rPr>
        <w:footnoteReference w:id="115"/>
      </w:r>
      <w:r w:rsidRPr="00CA2E8C">
        <w:rPr>
          <w:rFonts w:ascii="Arial" w:hAnsi="Arial" w:cs="Arial"/>
          <w:sz w:val="20"/>
        </w:rPr>
        <w:t>.</w:t>
      </w:r>
    </w:p>
    <w:p w:rsidR="00375538" w:rsidRPr="00D630EF" w:rsidRDefault="00375538" w:rsidP="00D225AF">
      <w:pPr>
        <w:pStyle w:val="Body1"/>
        <w:spacing w:line="360" w:lineRule="auto"/>
        <w:jc w:val="both"/>
        <w:rPr>
          <w:rFonts w:ascii="Arial" w:hAnsi="Arial" w:cs="Arial"/>
          <w:sz w:val="22"/>
          <w:szCs w:val="22"/>
        </w:rPr>
      </w:pPr>
      <w:r>
        <w:rPr>
          <w:rFonts w:ascii="Arial" w:hAnsi="Arial" w:cs="Arial"/>
          <w:sz w:val="22"/>
          <w:szCs w:val="22"/>
        </w:rPr>
        <w:t xml:space="preserve"> </w:t>
      </w:r>
    </w:p>
    <w:p w:rsidR="00651974" w:rsidRPr="00A3354D" w:rsidRDefault="0081371D" w:rsidP="00A3354D">
      <w:pPr>
        <w:pStyle w:val="Body1"/>
        <w:spacing w:line="360" w:lineRule="auto"/>
        <w:jc w:val="both"/>
        <w:rPr>
          <w:rFonts w:ascii="Arial" w:hAnsi="Arial" w:cs="Arial"/>
          <w:sz w:val="22"/>
          <w:szCs w:val="22"/>
        </w:rPr>
      </w:pPr>
      <w:r>
        <w:rPr>
          <w:rFonts w:ascii="Arial" w:hAnsi="Arial" w:cs="Arial"/>
          <w:sz w:val="22"/>
          <w:szCs w:val="22"/>
        </w:rPr>
        <w:t>L</w:t>
      </w:r>
      <w:r w:rsidR="00C85135">
        <w:rPr>
          <w:rFonts w:ascii="Arial" w:hAnsi="Arial" w:cs="Arial"/>
          <w:sz w:val="22"/>
          <w:szCs w:val="22"/>
        </w:rPr>
        <w:t>a</w:t>
      </w:r>
      <w:r>
        <w:rPr>
          <w:rFonts w:ascii="Arial" w:hAnsi="Arial" w:cs="Arial"/>
          <w:sz w:val="22"/>
          <w:szCs w:val="22"/>
        </w:rPr>
        <w:t>s</w:t>
      </w:r>
      <w:r w:rsidR="00C85135">
        <w:rPr>
          <w:rFonts w:ascii="Arial" w:hAnsi="Arial" w:cs="Arial"/>
          <w:sz w:val="22"/>
          <w:szCs w:val="22"/>
        </w:rPr>
        <w:t xml:space="preserve"> garantía</w:t>
      </w:r>
      <w:r>
        <w:rPr>
          <w:rFonts w:ascii="Arial" w:hAnsi="Arial" w:cs="Arial"/>
          <w:sz w:val="22"/>
          <w:szCs w:val="22"/>
        </w:rPr>
        <w:t>s</w:t>
      </w:r>
      <w:r w:rsidR="00C85135">
        <w:rPr>
          <w:rFonts w:ascii="Arial" w:hAnsi="Arial" w:cs="Arial"/>
          <w:sz w:val="22"/>
          <w:szCs w:val="22"/>
        </w:rPr>
        <w:t xml:space="preserve"> de no repeti</w:t>
      </w:r>
      <w:r>
        <w:rPr>
          <w:rFonts w:ascii="Arial" w:hAnsi="Arial" w:cs="Arial"/>
          <w:sz w:val="22"/>
          <w:szCs w:val="22"/>
        </w:rPr>
        <w:t>ción implican</w:t>
      </w:r>
      <w:r w:rsidR="00F027A9">
        <w:rPr>
          <w:rFonts w:ascii="Arial" w:hAnsi="Arial" w:cs="Arial"/>
          <w:sz w:val="22"/>
          <w:szCs w:val="22"/>
        </w:rPr>
        <w:t xml:space="preserve"> </w:t>
      </w:r>
      <w:r>
        <w:rPr>
          <w:rFonts w:ascii="Arial" w:hAnsi="Arial" w:cs="Arial"/>
          <w:sz w:val="22"/>
          <w:szCs w:val="22"/>
        </w:rPr>
        <w:t xml:space="preserve">generalmente </w:t>
      </w:r>
      <w:r w:rsidR="00F027A9">
        <w:rPr>
          <w:rFonts w:ascii="Arial" w:hAnsi="Arial" w:cs="Arial"/>
          <w:sz w:val="22"/>
          <w:szCs w:val="22"/>
        </w:rPr>
        <w:t>reformas</w:t>
      </w:r>
      <w:r w:rsidR="00C85135">
        <w:rPr>
          <w:rFonts w:ascii="Arial" w:hAnsi="Arial" w:cs="Arial"/>
          <w:sz w:val="22"/>
          <w:szCs w:val="22"/>
        </w:rPr>
        <w:t xml:space="preserve"> profundas </w:t>
      </w:r>
      <w:r w:rsidR="004739DF">
        <w:rPr>
          <w:rFonts w:ascii="Arial" w:hAnsi="Arial" w:cs="Arial"/>
          <w:sz w:val="22"/>
          <w:szCs w:val="22"/>
        </w:rPr>
        <w:t xml:space="preserve">sobre todo aquellas tendientes a </w:t>
      </w:r>
      <w:r w:rsidR="00C85135">
        <w:rPr>
          <w:rFonts w:ascii="Arial" w:hAnsi="Arial" w:cs="Arial"/>
          <w:sz w:val="22"/>
          <w:szCs w:val="22"/>
        </w:rPr>
        <w:t xml:space="preserve">la conciliación de la normativa interna con los instrumentos internacionales </w:t>
      </w:r>
      <w:r w:rsidR="004739DF">
        <w:rPr>
          <w:rFonts w:ascii="Arial" w:hAnsi="Arial" w:cs="Arial"/>
          <w:sz w:val="22"/>
          <w:szCs w:val="22"/>
        </w:rPr>
        <w:t>de protección a los</w:t>
      </w:r>
      <w:r w:rsidR="00C85135">
        <w:rPr>
          <w:rFonts w:ascii="Arial" w:hAnsi="Arial" w:cs="Arial"/>
          <w:sz w:val="22"/>
          <w:szCs w:val="22"/>
        </w:rPr>
        <w:t xml:space="preserve"> derechos humanos</w:t>
      </w:r>
      <w:r w:rsidR="004739DF">
        <w:rPr>
          <w:rFonts w:ascii="Arial" w:hAnsi="Arial" w:cs="Arial"/>
          <w:sz w:val="22"/>
          <w:szCs w:val="22"/>
        </w:rPr>
        <w:t>.</w:t>
      </w:r>
      <w:r w:rsidR="008B0384">
        <w:rPr>
          <w:rFonts w:ascii="Arial" w:hAnsi="Arial" w:cs="Arial"/>
          <w:sz w:val="22"/>
          <w:szCs w:val="22"/>
        </w:rPr>
        <w:t xml:space="preserve"> </w:t>
      </w:r>
      <w:r w:rsidR="004739DF">
        <w:rPr>
          <w:rFonts w:ascii="Arial" w:hAnsi="Arial" w:cs="Arial"/>
          <w:sz w:val="22"/>
          <w:szCs w:val="22"/>
        </w:rPr>
        <w:t xml:space="preserve">Es importante que </w:t>
      </w:r>
      <w:r w:rsidR="008B0384">
        <w:rPr>
          <w:rFonts w:ascii="Arial" w:hAnsi="Arial" w:cs="Arial"/>
          <w:sz w:val="22"/>
          <w:szCs w:val="22"/>
        </w:rPr>
        <w:t xml:space="preserve">los Estados miembros </w:t>
      </w:r>
      <w:r w:rsidR="004739DF">
        <w:rPr>
          <w:rFonts w:ascii="Arial" w:hAnsi="Arial" w:cs="Arial"/>
          <w:sz w:val="22"/>
          <w:szCs w:val="22"/>
        </w:rPr>
        <w:t xml:space="preserve">así como la Corte IDH y la CIDH generen </w:t>
      </w:r>
      <w:r w:rsidR="008B0384">
        <w:rPr>
          <w:rFonts w:ascii="Arial" w:hAnsi="Arial" w:cs="Arial"/>
          <w:sz w:val="22"/>
          <w:szCs w:val="22"/>
        </w:rPr>
        <w:t>herramientas, principios, criterios y demás aportes que</w:t>
      </w:r>
      <w:r w:rsidR="004739DF">
        <w:rPr>
          <w:rFonts w:ascii="Arial" w:hAnsi="Arial" w:cs="Arial"/>
          <w:sz w:val="22"/>
          <w:szCs w:val="22"/>
        </w:rPr>
        <w:t xml:space="preserve"> conduzcan</w:t>
      </w:r>
      <w:r w:rsidR="00C85135">
        <w:rPr>
          <w:rFonts w:ascii="Arial" w:hAnsi="Arial" w:cs="Arial"/>
          <w:sz w:val="22"/>
          <w:szCs w:val="22"/>
        </w:rPr>
        <w:t xml:space="preserve"> al perfeccionam</w:t>
      </w:r>
      <w:r w:rsidR="00F027A9">
        <w:rPr>
          <w:rFonts w:ascii="Arial" w:hAnsi="Arial" w:cs="Arial"/>
          <w:sz w:val="22"/>
          <w:szCs w:val="22"/>
        </w:rPr>
        <w:t>iento del S</w:t>
      </w:r>
      <w:r w:rsidR="004739DF">
        <w:rPr>
          <w:rFonts w:ascii="Arial" w:hAnsi="Arial" w:cs="Arial"/>
          <w:sz w:val="22"/>
          <w:szCs w:val="22"/>
        </w:rPr>
        <w:t xml:space="preserve">istema </w:t>
      </w:r>
      <w:r w:rsidR="00F027A9">
        <w:rPr>
          <w:rFonts w:ascii="Arial" w:hAnsi="Arial" w:cs="Arial"/>
          <w:sz w:val="22"/>
          <w:szCs w:val="22"/>
        </w:rPr>
        <w:t>IDH</w:t>
      </w:r>
      <w:r w:rsidR="004739DF">
        <w:rPr>
          <w:rFonts w:ascii="Arial" w:hAnsi="Arial" w:cs="Arial"/>
          <w:sz w:val="22"/>
          <w:szCs w:val="22"/>
        </w:rPr>
        <w:t>,</w:t>
      </w:r>
      <w:r w:rsidR="00C85135">
        <w:rPr>
          <w:rFonts w:ascii="Arial" w:hAnsi="Arial" w:cs="Arial"/>
          <w:sz w:val="22"/>
          <w:szCs w:val="22"/>
        </w:rPr>
        <w:t xml:space="preserve"> </w:t>
      </w:r>
      <w:r w:rsidR="008B0384">
        <w:rPr>
          <w:rFonts w:ascii="Arial" w:hAnsi="Arial" w:cs="Arial"/>
          <w:sz w:val="22"/>
          <w:szCs w:val="22"/>
        </w:rPr>
        <w:t>dándole cada vez más contenido a los derechos h</w:t>
      </w:r>
      <w:r w:rsidR="00C85135">
        <w:rPr>
          <w:rFonts w:ascii="Arial" w:hAnsi="Arial" w:cs="Arial"/>
          <w:sz w:val="22"/>
          <w:szCs w:val="22"/>
        </w:rPr>
        <w:t>umanos</w:t>
      </w:r>
      <w:r w:rsidR="008B0384">
        <w:rPr>
          <w:rFonts w:ascii="Arial" w:hAnsi="Arial" w:cs="Arial"/>
          <w:sz w:val="22"/>
          <w:szCs w:val="22"/>
        </w:rPr>
        <w:t>.</w:t>
      </w:r>
      <w:r w:rsidR="000C10FE">
        <w:rPr>
          <w:rFonts w:ascii="Arial" w:hAnsi="Arial" w:cs="Arial"/>
          <w:sz w:val="22"/>
          <w:szCs w:val="22"/>
        </w:rPr>
        <w:t xml:space="preserve"> </w:t>
      </w:r>
    </w:p>
    <w:p w:rsidR="00651974" w:rsidRDefault="00651974" w:rsidP="005805DB">
      <w:pPr>
        <w:spacing w:before="20" w:line="276" w:lineRule="auto"/>
        <w:jc w:val="both"/>
        <w:outlineLvl w:val="0"/>
        <w:rPr>
          <w:rFonts w:ascii="Arial" w:eastAsia="Arial Unicode MS" w:hAnsi="Arial Unicode MS"/>
          <w:b/>
          <w:sz w:val="26"/>
          <w:szCs w:val="26"/>
          <w:u w:color="000000"/>
          <w:lang w:val="es-ES_tradnl"/>
        </w:rPr>
      </w:pPr>
    </w:p>
    <w:p w:rsidR="00651974" w:rsidRDefault="00651974" w:rsidP="005805DB">
      <w:pPr>
        <w:spacing w:before="20" w:line="276" w:lineRule="auto"/>
        <w:jc w:val="both"/>
        <w:outlineLvl w:val="0"/>
        <w:rPr>
          <w:rFonts w:ascii="Arial" w:eastAsia="Arial Unicode MS" w:hAnsi="Arial Unicode MS"/>
          <w:b/>
          <w:sz w:val="26"/>
          <w:szCs w:val="26"/>
          <w:u w:color="000000"/>
          <w:lang w:val="es-ES_tradnl"/>
        </w:rPr>
      </w:pPr>
    </w:p>
    <w:p w:rsidR="008F2951" w:rsidRPr="00B656C2" w:rsidRDefault="005805DB" w:rsidP="00B656C2">
      <w:pPr>
        <w:pStyle w:val="Sinespaciado"/>
        <w:spacing w:line="360" w:lineRule="auto"/>
        <w:jc w:val="both"/>
        <w:rPr>
          <w:rFonts w:ascii="Arial" w:eastAsia="Arial Unicode MS" w:hAnsi="Arial" w:cs="Arial"/>
          <w:b/>
          <w:sz w:val="26"/>
          <w:szCs w:val="26"/>
          <w:u w:color="000000"/>
          <w:lang w:val="es-ES_tradnl"/>
        </w:rPr>
      </w:pPr>
      <w:r w:rsidRPr="00B656C2">
        <w:rPr>
          <w:rFonts w:ascii="Arial" w:eastAsia="Arial Unicode MS" w:hAnsi="Arial" w:cs="Arial"/>
          <w:b/>
          <w:sz w:val="26"/>
          <w:szCs w:val="26"/>
          <w:u w:color="000000"/>
          <w:lang w:val="es-ES_tradnl"/>
        </w:rPr>
        <w:t>CAPÍTULO II</w:t>
      </w:r>
    </w:p>
    <w:p w:rsidR="008F2951" w:rsidRPr="00B656C2" w:rsidRDefault="005805DB" w:rsidP="00B656C2">
      <w:pPr>
        <w:pStyle w:val="Sinespaciado"/>
        <w:spacing w:line="360" w:lineRule="auto"/>
        <w:jc w:val="both"/>
        <w:rPr>
          <w:rFonts w:ascii="Arial" w:eastAsia="Arial Unicode MS" w:hAnsi="Arial" w:cs="Arial"/>
          <w:b/>
          <w:sz w:val="26"/>
          <w:szCs w:val="26"/>
          <w:u w:color="000000"/>
          <w:lang w:val="es-ES_tradnl"/>
        </w:rPr>
      </w:pPr>
      <w:r w:rsidRPr="00B656C2">
        <w:rPr>
          <w:rFonts w:ascii="Arial" w:eastAsia="Arial Unicode MS" w:hAnsi="Arial" w:cs="Arial"/>
          <w:b/>
          <w:sz w:val="26"/>
          <w:szCs w:val="26"/>
          <w:u w:color="000000"/>
          <w:lang w:val="es-ES_tradnl"/>
        </w:rPr>
        <w:t xml:space="preserve">OBSTÁCULOS EN LAS SENTENCIAS DE LA CORTE IDH QUE   </w:t>
      </w:r>
    </w:p>
    <w:p w:rsidR="008F2951" w:rsidRPr="00B656C2" w:rsidRDefault="005805DB" w:rsidP="00B656C2">
      <w:pPr>
        <w:pStyle w:val="Sinespaciado"/>
        <w:spacing w:line="360" w:lineRule="auto"/>
        <w:jc w:val="both"/>
        <w:rPr>
          <w:rFonts w:ascii="Arial" w:eastAsia="Arial Unicode MS" w:hAnsi="Arial" w:cs="Arial"/>
          <w:b/>
          <w:sz w:val="26"/>
          <w:szCs w:val="26"/>
          <w:u w:color="000000"/>
          <w:lang w:val="es-ES_tradnl"/>
        </w:rPr>
      </w:pPr>
      <w:r w:rsidRPr="00B656C2">
        <w:rPr>
          <w:rFonts w:ascii="Arial" w:eastAsia="Arial Unicode MS" w:hAnsi="Arial" w:cs="Arial"/>
          <w:b/>
          <w:sz w:val="26"/>
          <w:szCs w:val="26"/>
          <w:u w:color="000000"/>
          <w:lang w:val="es-ES_tradnl"/>
        </w:rPr>
        <w:t xml:space="preserve">DIFICULTAN SU EJECUCIÓN.  </w:t>
      </w:r>
    </w:p>
    <w:p w:rsidR="00CA2E8C" w:rsidRPr="008F2951" w:rsidRDefault="00CA2E8C" w:rsidP="008F2951">
      <w:pPr>
        <w:spacing w:before="20" w:line="360" w:lineRule="auto"/>
        <w:jc w:val="both"/>
        <w:outlineLvl w:val="0"/>
        <w:rPr>
          <w:rFonts w:ascii="Arial" w:eastAsia="Arial Unicode MS" w:hAnsi="Arial Unicode MS"/>
          <w:sz w:val="22"/>
          <w:u w:color="000000"/>
          <w:lang w:val="es-ES_tradnl"/>
        </w:rPr>
      </w:pPr>
    </w:p>
    <w:p w:rsidR="008F2951" w:rsidRPr="00B656C2" w:rsidRDefault="005805DB" w:rsidP="00B656C2">
      <w:pPr>
        <w:pStyle w:val="Ttulo2"/>
        <w:spacing w:line="360" w:lineRule="auto"/>
        <w:jc w:val="both"/>
        <w:rPr>
          <w:rFonts w:ascii="Arial" w:eastAsia="Arial Unicode MS" w:hAnsi="Arial Unicode MS"/>
          <w:color w:val="auto"/>
          <w:sz w:val="24"/>
          <w:szCs w:val="24"/>
          <w:u w:color="000000"/>
          <w:lang w:val="es-ES_tradnl"/>
        </w:rPr>
      </w:pPr>
      <w:bookmarkStart w:id="17" w:name="_Toc356432254"/>
      <w:r w:rsidRPr="00B656C2">
        <w:rPr>
          <w:rFonts w:ascii="Arial" w:eastAsia="Arial Unicode MS" w:hAnsi="Arial Unicode MS"/>
          <w:color w:val="auto"/>
          <w:sz w:val="24"/>
          <w:szCs w:val="24"/>
          <w:u w:color="000000"/>
          <w:lang w:val="es-ES_tradnl"/>
        </w:rPr>
        <w:t>2.1.</w:t>
      </w:r>
      <w:r w:rsidRPr="00B656C2">
        <w:rPr>
          <w:rFonts w:ascii="Arial" w:eastAsia="Arial Unicode MS" w:hAnsi="Arial Unicode MS"/>
          <w:color w:val="auto"/>
          <w:sz w:val="24"/>
          <w:szCs w:val="24"/>
          <w:u w:color="000000"/>
          <w:lang w:val="es-ES_tradnl"/>
        </w:rPr>
        <w:tab/>
      </w:r>
      <w:r w:rsidR="00651974" w:rsidRPr="00B656C2">
        <w:rPr>
          <w:rFonts w:ascii="Arial" w:eastAsia="Arial Unicode MS" w:hAnsi="Arial Unicode MS"/>
          <w:color w:val="auto"/>
          <w:sz w:val="24"/>
          <w:szCs w:val="24"/>
          <w:u w:color="000000"/>
          <w:lang w:val="es-ES_tradnl"/>
        </w:rPr>
        <w:t xml:space="preserve">Uso de criterios </w:t>
      </w:r>
      <w:proofErr w:type="spellStart"/>
      <w:r w:rsidR="00651974" w:rsidRPr="00B656C2">
        <w:rPr>
          <w:rFonts w:ascii="Arial" w:eastAsia="Arial Unicode MS" w:hAnsi="Arial Unicode MS"/>
          <w:color w:val="auto"/>
          <w:sz w:val="24"/>
          <w:szCs w:val="24"/>
          <w:u w:color="000000"/>
          <w:lang w:val="es-ES_tradnl"/>
        </w:rPr>
        <w:t>reparatorios</w:t>
      </w:r>
      <w:proofErr w:type="spellEnd"/>
      <w:r w:rsidR="00651974" w:rsidRPr="00B656C2">
        <w:rPr>
          <w:rFonts w:ascii="Arial" w:eastAsia="Arial Unicode MS" w:hAnsi="Arial Unicode MS"/>
          <w:color w:val="auto"/>
          <w:sz w:val="24"/>
          <w:szCs w:val="24"/>
          <w:u w:color="000000"/>
          <w:lang w:val="es-ES_tradnl"/>
        </w:rPr>
        <w:t xml:space="preserve"> en las sentencias de la Corte IDH</w:t>
      </w:r>
      <w:bookmarkEnd w:id="17"/>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la relación que forman los diversos actores en torno a la reparación integral, la Corte tiene uno de los roles principales, siendo el órgano jurisdiccional dentro del Sistema Interamericano, su visión frente a la reparación ha ido evolucionando conforme la diversidad de casos presentados, las exigencias tanto de los peticionarios como de la sociedad civil en general y las posibilidades y voluntad de cumplimiento de los Estados que han aceptado la jurisdicción de la Corte IDH. La posición de los jueces frente a esta situación también ha ido dando forma y contenido principalmente a las medidas que se han otorgado para lograr una reparación integral. Lo cierto es que tales medidas requieren ser evaluadas buscando siempre que la </w:t>
      </w:r>
      <w:proofErr w:type="spellStart"/>
      <w:r w:rsidRPr="00B66F9D">
        <w:rPr>
          <w:rFonts w:ascii="Arial" w:eastAsia="Arial Unicode MS" w:hAnsi="Arial" w:cs="Arial"/>
          <w:sz w:val="22"/>
          <w:szCs w:val="22"/>
          <w:u w:color="000000"/>
          <w:lang w:val="es-ES_tradnl"/>
        </w:rPr>
        <w:t>victima</w:t>
      </w:r>
      <w:proofErr w:type="spellEnd"/>
      <w:r w:rsidRPr="00B66F9D">
        <w:rPr>
          <w:rFonts w:ascii="Arial" w:eastAsia="Arial Unicode MS" w:hAnsi="Arial" w:cs="Arial"/>
          <w:sz w:val="22"/>
          <w:szCs w:val="22"/>
          <w:u w:color="000000"/>
          <w:lang w:val="es-ES_tradnl"/>
        </w:rPr>
        <w:t xml:space="preserve"> sea el centro de los procesos y que las medi</w:t>
      </w:r>
      <w:r w:rsidR="00AC7F9D">
        <w:rPr>
          <w:rFonts w:ascii="Arial" w:eastAsia="Arial Unicode MS" w:hAnsi="Arial" w:cs="Arial"/>
          <w:sz w:val="22"/>
          <w:szCs w:val="22"/>
          <w:u w:color="000000"/>
          <w:lang w:val="es-ES_tradnl"/>
        </w:rPr>
        <w:t>d</w:t>
      </w:r>
      <w:r w:rsidRPr="00B66F9D">
        <w:rPr>
          <w:rFonts w:ascii="Arial" w:eastAsia="Arial Unicode MS" w:hAnsi="Arial" w:cs="Arial"/>
          <w:sz w:val="22"/>
          <w:szCs w:val="22"/>
          <w:u w:color="000000"/>
          <w:lang w:val="es-ES_tradnl"/>
        </w:rPr>
        <w:t xml:space="preserve">as ordenas realmente posean componentes que generen una reparación </w:t>
      </w:r>
      <w:r w:rsidRPr="00B66F9D">
        <w:rPr>
          <w:rFonts w:ascii="Arial" w:eastAsia="Arial Unicode MS" w:hAnsi="Arial" w:cs="Arial"/>
          <w:sz w:val="22"/>
          <w:szCs w:val="22"/>
          <w:u w:color="000000"/>
          <w:lang w:val="es-ES_tradnl"/>
        </w:rPr>
        <w:lastRenderedPageBreak/>
        <w:t>integral, observando además el grado de cumplimiento que los Estados han mostrado en las diversas sentencias donde son determinados responsables.</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Es necesario entonces que las sentencias desde su órgano emisor incluyan criterios que promuevan una reparación integral, por ello cabe observar la posición que la Corte IDH ha tenido sobre el tema, indicando si sus decisiones se ajustan a los estándares de protección internacional de los derechos humanos. Del mismo modo es importante señalar los aportes que este Tri</w:t>
      </w:r>
      <w:r w:rsidR="00B3754D">
        <w:rPr>
          <w:rFonts w:ascii="Arial" w:eastAsia="Arial Unicode MS" w:hAnsi="Arial" w:cs="Arial"/>
          <w:sz w:val="22"/>
          <w:szCs w:val="22"/>
          <w:u w:color="000000"/>
          <w:lang w:val="es-ES_tradnl"/>
        </w:rPr>
        <w:t>bunal ha hecho para mejorar el S</w:t>
      </w:r>
      <w:r w:rsidRPr="00B66F9D">
        <w:rPr>
          <w:rFonts w:ascii="Arial" w:eastAsia="Arial Unicode MS" w:hAnsi="Arial" w:cs="Arial"/>
          <w:sz w:val="22"/>
          <w:szCs w:val="22"/>
          <w:u w:color="000000"/>
          <w:lang w:val="es-ES_tradnl"/>
        </w:rPr>
        <w:t xml:space="preserve">istema </w:t>
      </w:r>
      <w:r w:rsidR="00B3754D">
        <w:rPr>
          <w:rFonts w:ascii="Arial" w:eastAsia="Arial Unicode MS" w:hAnsi="Arial" w:cs="Arial"/>
          <w:sz w:val="22"/>
          <w:szCs w:val="22"/>
          <w:u w:color="000000"/>
          <w:lang w:val="es-ES_tradnl"/>
        </w:rPr>
        <w:t xml:space="preserve">IDH </w:t>
      </w:r>
      <w:r w:rsidRPr="00B66F9D">
        <w:rPr>
          <w:rFonts w:ascii="Arial" w:eastAsia="Arial Unicode MS" w:hAnsi="Arial" w:cs="Arial"/>
          <w:sz w:val="22"/>
          <w:szCs w:val="22"/>
          <w:u w:color="000000"/>
          <w:lang w:val="es-ES_tradnl"/>
        </w:rPr>
        <w:t xml:space="preserve">tanto en la fase de sentencia como en su posterior cumplimiento.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En la o</w:t>
      </w:r>
      <w:r w:rsidR="00C1567F">
        <w:rPr>
          <w:rFonts w:ascii="Arial" w:eastAsia="Arial Unicode MS" w:hAnsi="Arial" w:cs="Arial"/>
          <w:sz w:val="22"/>
          <w:szCs w:val="22"/>
          <w:u w:color="000000"/>
          <w:lang w:val="es-ES_tradnl"/>
        </w:rPr>
        <w:t>pinión que varios actores</w:t>
      </w:r>
      <w:r w:rsidRPr="00B66F9D">
        <w:rPr>
          <w:rFonts w:ascii="Arial" w:eastAsia="Arial Unicode MS" w:hAnsi="Arial" w:cs="Arial"/>
          <w:sz w:val="22"/>
          <w:szCs w:val="22"/>
          <w:u w:color="000000"/>
          <w:lang w:val="es-ES_tradnl"/>
        </w:rPr>
        <w:t xml:space="preserve"> tienen del Sistema en cuanto al papel de la Corte sobre las reparaciones, señalan un grado importante de creatividad y sobre todo un aporte de novedosos medios de reparación que sobrepasan las visiones de lo meramente pecuniario.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Claudio Grossman, ex comisionado de la CIDH, se ha referido en términos generales al Sistema Interamericano de Derechos Humanos  señalando que este tiene una influencia importante en la materia, ello gracias a su flexibilidad creadora. Sin embargo estos atributos deben ir de la mano con el desarrollo de los demás actores dentro del medio de protección a los derechos humanos, es decir que muy poco puede hacer una sentencia con criterios reparadores si debe ser aplicada en un Estado con escaso desarrollo institucional, falta de compromiso y preocupación de la sociedad civil. Ello provoca que los Estados que más requieren ayuda del Sistema debido a las deficiencias en sus instituciones se vean menos beneficiados del mismo principalmente por presentar problemas en la etapa de cumplimiento de las sentencias</w:t>
      </w:r>
      <w:r w:rsidR="00A3354D">
        <w:rPr>
          <w:rStyle w:val="Refdenotaalpie"/>
          <w:rFonts w:ascii="Arial" w:eastAsia="Arial Unicode MS" w:hAnsi="Arial" w:cs="Arial"/>
          <w:sz w:val="22"/>
          <w:szCs w:val="22"/>
          <w:u w:color="000000"/>
          <w:lang w:val="es-ES_tradnl"/>
        </w:rPr>
        <w:footnoteReference w:id="116"/>
      </w:r>
      <w:r w:rsidRPr="00B66F9D">
        <w:rPr>
          <w:rFonts w:ascii="Arial" w:eastAsia="Arial Unicode MS" w:hAnsi="Arial" w:cs="Arial"/>
          <w:sz w:val="22"/>
          <w:szCs w:val="22"/>
          <w:u w:color="000000"/>
          <w:lang w:val="es-ES_tradnl"/>
        </w:rPr>
        <w:t xml:space="preserve">.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Otros actores como Víctor </w:t>
      </w:r>
      <w:proofErr w:type="spellStart"/>
      <w:r w:rsidRPr="00B66F9D">
        <w:rPr>
          <w:rFonts w:ascii="Arial" w:eastAsia="Arial Unicode MS" w:hAnsi="Arial" w:cs="Arial"/>
          <w:sz w:val="22"/>
          <w:szCs w:val="22"/>
          <w:u w:color="000000"/>
          <w:lang w:val="es-ES_tradnl"/>
        </w:rPr>
        <w:t>Abramovich</w:t>
      </w:r>
      <w:proofErr w:type="spellEnd"/>
      <w:r w:rsidRPr="00B66F9D">
        <w:rPr>
          <w:rFonts w:ascii="Arial" w:eastAsia="Arial Unicode MS" w:hAnsi="Arial" w:cs="Arial"/>
          <w:sz w:val="22"/>
          <w:szCs w:val="22"/>
          <w:u w:color="000000"/>
          <w:lang w:val="es-ES_tradnl"/>
        </w:rPr>
        <w:t>, ex comisionado CIDH, señalan que quienes hacen uso del Sistema y especialmente quienes acuden a la Corte tienen nuevas expectativas, esperan que los órganos no solo se encarguen del análisis de los casos sino que produzcan cambios profundos, que sus actuaciones tengan mayor efectividad y que se tienda a mejorar ciertos aspectos que generan conflictos</w:t>
      </w:r>
      <w:r w:rsidR="00A3354D">
        <w:rPr>
          <w:rStyle w:val="Refdenotaalpie"/>
          <w:rFonts w:ascii="Arial" w:eastAsia="Arial Unicode MS" w:hAnsi="Arial" w:cs="Arial"/>
          <w:sz w:val="22"/>
          <w:szCs w:val="22"/>
          <w:u w:color="000000"/>
          <w:lang w:val="es-ES_tradnl"/>
        </w:rPr>
        <w:footnoteReference w:id="117"/>
      </w:r>
      <w:r w:rsidRPr="00B66F9D">
        <w:rPr>
          <w:rFonts w:ascii="Arial" w:eastAsia="Arial Unicode MS" w:hAnsi="Arial" w:cs="Arial"/>
          <w:sz w:val="22"/>
          <w:szCs w:val="22"/>
          <w:u w:color="000000"/>
          <w:lang w:val="es-ES_tradnl"/>
        </w:rPr>
        <w:t xml:space="preserve">.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lastRenderedPageBreak/>
        <w:t xml:space="preserve">Debido a la diversidad de casos presentados a la Corte </w:t>
      </w:r>
      <w:r w:rsidR="00B3754D">
        <w:rPr>
          <w:rFonts w:ascii="Arial" w:eastAsia="Arial Unicode MS" w:hAnsi="Arial" w:cs="Arial"/>
          <w:sz w:val="22"/>
          <w:szCs w:val="22"/>
          <w:u w:color="000000"/>
          <w:lang w:val="es-ES_tradnl"/>
        </w:rPr>
        <w:t xml:space="preserve">IDH </w:t>
      </w:r>
      <w:r w:rsidRPr="00B66F9D">
        <w:rPr>
          <w:rFonts w:ascii="Arial" w:eastAsia="Arial Unicode MS" w:hAnsi="Arial" w:cs="Arial"/>
          <w:sz w:val="22"/>
          <w:szCs w:val="22"/>
          <w:u w:color="000000"/>
          <w:lang w:val="es-ES_tradnl"/>
        </w:rPr>
        <w:t>en los que se exponen complejas violaciones a los derechos humanos sobre todo en épocas de dictadur</w:t>
      </w:r>
      <w:r w:rsidR="00B3754D">
        <w:rPr>
          <w:rFonts w:ascii="Arial" w:eastAsia="Arial Unicode MS" w:hAnsi="Arial" w:cs="Arial"/>
          <w:sz w:val="22"/>
          <w:szCs w:val="22"/>
          <w:u w:color="000000"/>
          <w:lang w:val="es-ES_tradnl"/>
        </w:rPr>
        <w:t>a o conflictos armados, esta</w:t>
      </w:r>
      <w:r w:rsidRPr="00B66F9D">
        <w:rPr>
          <w:rFonts w:ascii="Arial" w:eastAsia="Arial Unicode MS" w:hAnsi="Arial" w:cs="Arial"/>
          <w:sz w:val="22"/>
          <w:szCs w:val="22"/>
          <w:u w:color="000000"/>
          <w:lang w:val="es-ES_tradnl"/>
        </w:rPr>
        <w:t xml:space="preserve"> ha encontrado varios caminos para solucionar y detener estos hechos, los cuales por su novedad no se encuentran contemplados en los marcos jurídicos usuales, ello ha generado una amplia jurisprudencia que presenta estos diverso</w:t>
      </w:r>
      <w:r w:rsidR="00B3754D">
        <w:rPr>
          <w:rFonts w:ascii="Arial" w:eastAsia="Arial Unicode MS" w:hAnsi="Arial" w:cs="Arial"/>
          <w:sz w:val="22"/>
          <w:szCs w:val="22"/>
          <w:u w:color="000000"/>
          <w:lang w:val="es-ES_tradnl"/>
        </w:rPr>
        <w:t>s medios de reparación. Por tanto,</w:t>
      </w:r>
      <w:r w:rsidRPr="00B66F9D">
        <w:rPr>
          <w:rFonts w:ascii="Arial" w:eastAsia="Arial Unicode MS" w:hAnsi="Arial" w:cs="Arial"/>
          <w:sz w:val="22"/>
          <w:szCs w:val="22"/>
          <w:u w:color="000000"/>
          <w:lang w:val="es-ES_tradnl"/>
        </w:rPr>
        <w:t xml:space="preserve"> cabe señalar que frente a esta actitud de la Corte en cuanto a la aplicación de criterios internacionales de reparación deben plantearse ciertos márgenes o limites, lo que genera desafíos al determinar el alcance que estas medias pueden llegar a tener en los casos juzgados. </w:t>
      </w:r>
    </w:p>
    <w:p w:rsidR="00AA385E" w:rsidRDefault="00AA385E" w:rsidP="00AA385E">
      <w:pPr>
        <w:spacing w:before="20" w:line="360" w:lineRule="auto"/>
        <w:ind w:firstLine="720"/>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La cualidad de la Corte </w:t>
      </w:r>
      <w:r w:rsidR="00B3754D">
        <w:rPr>
          <w:rFonts w:ascii="Arial" w:eastAsia="Arial Unicode MS" w:hAnsi="Arial" w:cs="Arial"/>
          <w:sz w:val="22"/>
          <w:szCs w:val="22"/>
          <w:u w:color="000000"/>
          <w:lang w:val="es-ES_tradnl"/>
        </w:rPr>
        <w:t xml:space="preserve">IDH </w:t>
      </w:r>
      <w:r w:rsidRPr="00B66F9D">
        <w:rPr>
          <w:rFonts w:ascii="Arial" w:eastAsia="Arial Unicode MS" w:hAnsi="Arial" w:cs="Arial"/>
          <w:sz w:val="22"/>
          <w:szCs w:val="22"/>
          <w:u w:color="000000"/>
          <w:lang w:val="es-ES_tradnl"/>
        </w:rPr>
        <w:t>de tender especia</w:t>
      </w:r>
      <w:r w:rsidR="00B3754D">
        <w:rPr>
          <w:rFonts w:ascii="Arial" w:eastAsia="Arial Unicode MS" w:hAnsi="Arial" w:cs="Arial"/>
          <w:sz w:val="22"/>
          <w:szCs w:val="22"/>
          <w:u w:color="000000"/>
          <w:lang w:val="es-ES_tradnl"/>
        </w:rPr>
        <w:t>lmente a la reparación de las ví</w:t>
      </w:r>
      <w:r w:rsidRPr="00B66F9D">
        <w:rPr>
          <w:rFonts w:ascii="Arial" w:eastAsia="Arial Unicode MS" w:hAnsi="Arial" w:cs="Arial"/>
          <w:sz w:val="22"/>
          <w:szCs w:val="22"/>
          <w:u w:color="000000"/>
          <w:lang w:val="es-ES_tradnl"/>
        </w:rPr>
        <w:t>ctimas</w:t>
      </w:r>
      <w:r w:rsidR="00B3754D">
        <w:rPr>
          <w:rFonts w:ascii="Arial" w:eastAsia="Arial Unicode MS" w:hAnsi="Arial" w:cs="Arial"/>
          <w:sz w:val="22"/>
          <w:szCs w:val="22"/>
          <w:u w:color="000000"/>
          <w:lang w:val="es-ES_tradnl"/>
        </w:rPr>
        <w:t>,</w:t>
      </w:r>
      <w:r w:rsidRPr="00B66F9D">
        <w:rPr>
          <w:rFonts w:ascii="Arial" w:eastAsia="Arial Unicode MS" w:hAnsi="Arial" w:cs="Arial"/>
          <w:sz w:val="22"/>
          <w:szCs w:val="22"/>
          <w:u w:color="000000"/>
          <w:lang w:val="es-ES_tradnl"/>
        </w:rPr>
        <w:t xml:space="preserve"> la lleva a diferenciarse de otros sistemas de protecci</w:t>
      </w:r>
      <w:r w:rsidR="00B3754D">
        <w:rPr>
          <w:rFonts w:ascii="Arial" w:eastAsia="Arial Unicode MS" w:hAnsi="Arial" w:cs="Arial"/>
          <w:sz w:val="22"/>
          <w:szCs w:val="22"/>
          <w:u w:color="000000"/>
          <w:lang w:val="es-ES_tradnl"/>
        </w:rPr>
        <w:t>ón de</w:t>
      </w:r>
      <w:r w:rsidRPr="00B66F9D">
        <w:rPr>
          <w:rFonts w:ascii="Arial" w:eastAsia="Arial Unicode MS" w:hAnsi="Arial" w:cs="Arial"/>
          <w:sz w:val="22"/>
          <w:szCs w:val="22"/>
          <w:u w:color="000000"/>
          <w:lang w:val="es-ES_tradnl"/>
        </w:rPr>
        <w:t xml:space="preserve"> derechos humanos como el Europeo</w:t>
      </w:r>
      <w:r w:rsidR="00B3754D">
        <w:rPr>
          <w:rFonts w:ascii="Arial" w:eastAsia="Arial Unicode MS" w:hAnsi="Arial" w:cs="Arial"/>
          <w:sz w:val="22"/>
          <w:szCs w:val="22"/>
          <w:u w:color="000000"/>
          <w:lang w:val="es-ES_tradnl"/>
        </w:rPr>
        <w:t>,</w:t>
      </w:r>
      <w:r w:rsidRPr="00B66F9D">
        <w:rPr>
          <w:rFonts w:ascii="Arial" w:eastAsia="Arial Unicode MS" w:hAnsi="Arial" w:cs="Arial"/>
          <w:sz w:val="22"/>
          <w:szCs w:val="22"/>
          <w:u w:color="000000"/>
          <w:lang w:val="es-ES_tradnl"/>
        </w:rPr>
        <w:t xml:space="preserve"> que si bien asume criterios </w:t>
      </w:r>
      <w:proofErr w:type="spellStart"/>
      <w:r w:rsidRPr="00B66F9D">
        <w:rPr>
          <w:rFonts w:ascii="Arial" w:eastAsia="Arial Unicode MS" w:hAnsi="Arial" w:cs="Arial"/>
          <w:sz w:val="22"/>
          <w:szCs w:val="22"/>
          <w:u w:color="000000"/>
          <w:lang w:val="es-ES_tradnl"/>
        </w:rPr>
        <w:t>reparatorios</w:t>
      </w:r>
      <w:proofErr w:type="spellEnd"/>
      <w:r w:rsidRPr="00B66F9D">
        <w:rPr>
          <w:rFonts w:ascii="Arial" w:eastAsia="Arial Unicode MS" w:hAnsi="Arial" w:cs="Arial"/>
          <w:sz w:val="22"/>
          <w:szCs w:val="22"/>
          <w:u w:color="000000"/>
          <w:lang w:val="es-ES_tradnl"/>
        </w:rPr>
        <w:t xml:space="preserve"> está más encaminado a declarar si en los casos presentados ha existido violación a los derechos humanos en el marco de sus respectivos instrumentos internacionales.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La base normativa de la actuación de la Corte </w:t>
      </w:r>
      <w:r w:rsidR="00B3754D">
        <w:rPr>
          <w:rFonts w:ascii="Arial" w:eastAsia="Arial Unicode MS" w:hAnsi="Arial" w:cs="Arial"/>
          <w:sz w:val="22"/>
          <w:szCs w:val="22"/>
          <w:u w:color="000000"/>
          <w:lang w:val="es-ES_tradnl"/>
        </w:rPr>
        <w:t>IDH en cuanto a la reparación de</w:t>
      </w:r>
      <w:r w:rsidRPr="00B66F9D">
        <w:rPr>
          <w:rFonts w:ascii="Arial" w:eastAsia="Arial Unicode MS" w:hAnsi="Arial" w:cs="Arial"/>
          <w:sz w:val="22"/>
          <w:szCs w:val="22"/>
          <w:u w:color="000000"/>
          <w:lang w:val="es-ES_tradnl"/>
        </w:rPr>
        <w:t xml:space="preserve"> violaciones a los derechos humanos emana del artículo 63.1 de la Convención Americana sobre Derechos Humanos, donde se le da la atribución de reparar  las consecuencias de la medida o situación que ha configurado la vulneración de esos derechos y el pago de una justa indemnización a la parte lesionada. Los Estados encontrados responsables están obligados a cumplir con tales medidas pues la reparación constituye uno de los principios fundamentales del Derecho Internacional contemporáneo. </w:t>
      </w:r>
    </w:p>
    <w:p w:rsidR="00AA385E" w:rsidRPr="00B66F9D" w:rsidRDefault="00AA385E"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Es importante señalar que la Corte IDH no solo se ha referido a la reparación en</w:t>
      </w:r>
      <w:r w:rsidR="00B3754D">
        <w:rPr>
          <w:rFonts w:ascii="Arial" w:eastAsia="Arial Unicode MS" w:hAnsi="Arial" w:cs="Arial"/>
          <w:sz w:val="22"/>
          <w:szCs w:val="22"/>
          <w:u w:color="000000"/>
          <w:lang w:val="es-ES_tradnl"/>
        </w:rPr>
        <w:t xml:space="preserve"> términos</w:t>
      </w:r>
      <w:r w:rsidR="0011691D">
        <w:rPr>
          <w:rFonts w:ascii="Arial" w:eastAsia="Arial Unicode MS" w:hAnsi="Arial" w:cs="Arial"/>
          <w:sz w:val="22"/>
          <w:szCs w:val="22"/>
          <w:u w:color="000000"/>
          <w:lang w:val="es-ES_tradnl"/>
        </w:rPr>
        <w:t xml:space="preserve"> cuantitativos</w:t>
      </w:r>
      <w:r w:rsidRPr="00B66F9D">
        <w:rPr>
          <w:rFonts w:ascii="Arial" w:eastAsia="Arial Unicode MS" w:hAnsi="Arial" w:cs="Arial"/>
          <w:sz w:val="22"/>
          <w:szCs w:val="22"/>
          <w:u w:color="000000"/>
          <w:lang w:val="es-ES_tradnl"/>
        </w:rPr>
        <w:t xml:space="preserve"> en todos los casos donde los Estados han sido determinados responsables, sino que la referencia a la reparación ha sido realizada en términos cualitativos con una tendencia al progreso en la protección de los derechos. La reparación ha de ser integral y así lo ha expresado la Corte </w:t>
      </w:r>
      <w:r w:rsidR="0011691D">
        <w:rPr>
          <w:rFonts w:ascii="Arial" w:eastAsia="Arial Unicode MS" w:hAnsi="Arial" w:cs="Arial"/>
          <w:sz w:val="22"/>
          <w:szCs w:val="22"/>
          <w:u w:color="000000"/>
          <w:lang w:val="es-ES_tradnl"/>
        </w:rPr>
        <w:t xml:space="preserve">IDH </w:t>
      </w:r>
      <w:r w:rsidRPr="00B66F9D">
        <w:rPr>
          <w:rFonts w:ascii="Arial" w:eastAsia="Arial Unicode MS" w:hAnsi="Arial" w:cs="Arial"/>
          <w:sz w:val="22"/>
          <w:szCs w:val="22"/>
          <w:u w:color="000000"/>
          <w:lang w:val="es-ES_tradnl"/>
        </w:rPr>
        <w:t>al ordenar medidas destinadas a hacer desaparecer los efect</w:t>
      </w:r>
      <w:r w:rsidR="0011691D">
        <w:rPr>
          <w:rFonts w:ascii="Arial" w:eastAsia="Arial Unicode MS" w:hAnsi="Arial" w:cs="Arial"/>
          <w:sz w:val="22"/>
          <w:szCs w:val="22"/>
          <w:u w:color="000000"/>
          <w:lang w:val="es-ES_tradnl"/>
        </w:rPr>
        <w:t>os de las violaciones cometidas. U</w:t>
      </w:r>
      <w:r w:rsidRPr="00B66F9D">
        <w:rPr>
          <w:rFonts w:ascii="Arial" w:eastAsia="Arial Unicode MS" w:hAnsi="Arial" w:cs="Arial"/>
          <w:sz w:val="22"/>
          <w:szCs w:val="22"/>
          <w:u w:color="000000"/>
          <w:lang w:val="es-ES_tradnl"/>
        </w:rPr>
        <w:t>n ejemplo de ello se da en la indemnización que es una de las formas más clásicas de reparación, donde se han presentado cambios reconociendo además del lucro cesante, daño emergente y daño moral; los rubros de afectación al patrimonio familiar</w:t>
      </w:r>
      <w:r w:rsidRPr="00B66F9D">
        <w:rPr>
          <w:rFonts w:ascii="Arial" w:eastAsia="Arial Unicode MS" w:hAnsi="Arial" w:cs="Arial"/>
          <w:sz w:val="22"/>
          <w:szCs w:val="22"/>
          <w:u w:color="000000"/>
          <w:vertAlign w:val="superscript"/>
          <w:lang w:val="es-ES_tradnl"/>
        </w:rPr>
        <w:footnoteReference w:id="118"/>
      </w:r>
      <w:r w:rsidRPr="00B66F9D">
        <w:rPr>
          <w:rFonts w:ascii="Arial" w:eastAsia="Arial Unicode MS" w:hAnsi="Arial" w:cs="Arial"/>
          <w:sz w:val="22"/>
          <w:szCs w:val="22"/>
          <w:u w:color="000000"/>
          <w:lang w:val="es-ES_tradnl"/>
        </w:rPr>
        <w:t>, y alteraciones al proyecto de vida</w:t>
      </w:r>
      <w:r w:rsidRPr="00B66F9D">
        <w:rPr>
          <w:rFonts w:ascii="Arial" w:eastAsia="Arial Unicode MS" w:hAnsi="Arial" w:cs="Arial"/>
          <w:sz w:val="22"/>
          <w:szCs w:val="22"/>
          <w:u w:color="000000"/>
          <w:vertAlign w:val="superscript"/>
          <w:lang w:val="es-ES_tradnl"/>
        </w:rPr>
        <w:footnoteReference w:id="119"/>
      </w:r>
      <w:r w:rsidRPr="00B66F9D">
        <w:rPr>
          <w:rFonts w:ascii="Arial" w:eastAsia="Arial Unicode MS" w:hAnsi="Arial" w:cs="Arial"/>
          <w:sz w:val="22"/>
          <w:szCs w:val="22"/>
          <w:u w:color="000000"/>
          <w:lang w:val="es-ES_tradnl"/>
        </w:rPr>
        <w:t xml:space="preserve">.   </w:t>
      </w:r>
    </w:p>
    <w:p w:rsidR="008F2951" w:rsidRPr="00B656C2" w:rsidRDefault="005805DB" w:rsidP="00934502">
      <w:pPr>
        <w:pStyle w:val="Ttulo3"/>
        <w:spacing w:line="360" w:lineRule="auto"/>
        <w:ind w:left="720" w:hanging="720"/>
        <w:jc w:val="both"/>
        <w:rPr>
          <w:rFonts w:ascii="Arial" w:eastAsia="Arial Unicode MS" w:hAnsi="Arial" w:cs="Arial"/>
          <w:b w:val="0"/>
          <w:color w:val="auto"/>
          <w:sz w:val="22"/>
          <w:u w:color="000000"/>
          <w:lang w:val="es-ES_tradnl"/>
        </w:rPr>
      </w:pPr>
      <w:bookmarkStart w:id="18" w:name="_Toc356432255"/>
      <w:r w:rsidRPr="00B656C2">
        <w:rPr>
          <w:rFonts w:ascii="Arial" w:eastAsia="Arial Unicode MS" w:hAnsi="Arial" w:cs="Arial"/>
          <w:color w:val="auto"/>
          <w:sz w:val="22"/>
          <w:u w:color="000000"/>
          <w:lang w:val="es-ES_tradnl"/>
        </w:rPr>
        <w:lastRenderedPageBreak/>
        <w:t>2.1.1.</w:t>
      </w:r>
      <w:r w:rsidRPr="00B656C2">
        <w:rPr>
          <w:rFonts w:ascii="Arial" w:eastAsia="Arial Unicode MS" w:hAnsi="Arial" w:cs="Arial"/>
          <w:color w:val="auto"/>
          <w:sz w:val="22"/>
          <w:u w:color="000000"/>
          <w:lang w:val="es-ES_tradnl"/>
        </w:rPr>
        <w:tab/>
      </w:r>
      <w:r w:rsidR="00651974" w:rsidRPr="00B656C2">
        <w:rPr>
          <w:rFonts w:ascii="Arial" w:eastAsia="Arial Unicode MS" w:hAnsi="Arial" w:cs="Arial"/>
          <w:color w:val="auto"/>
          <w:sz w:val="22"/>
          <w:u w:color="000000"/>
          <w:lang w:val="es-ES_tradnl"/>
        </w:rPr>
        <w:t xml:space="preserve">La interpretación de la </w:t>
      </w:r>
      <w:proofErr w:type="spellStart"/>
      <w:r w:rsidR="00651974" w:rsidRPr="00B656C2">
        <w:rPr>
          <w:rFonts w:ascii="Arial" w:eastAsia="Arial Unicode MS" w:hAnsi="Arial" w:cs="Arial"/>
          <w:i/>
          <w:color w:val="auto"/>
          <w:sz w:val="22"/>
          <w:u w:color="000000"/>
          <w:lang w:val="es-ES_tradnl"/>
        </w:rPr>
        <w:t>Restitutio</w:t>
      </w:r>
      <w:proofErr w:type="spellEnd"/>
      <w:r w:rsidR="00651974" w:rsidRPr="00B656C2">
        <w:rPr>
          <w:rFonts w:ascii="Arial" w:eastAsia="Arial Unicode MS" w:hAnsi="Arial" w:cs="Arial"/>
          <w:i/>
          <w:color w:val="auto"/>
          <w:sz w:val="22"/>
          <w:u w:color="000000"/>
          <w:lang w:val="es-ES_tradnl"/>
        </w:rPr>
        <w:t xml:space="preserve"> in </w:t>
      </w:r>
      <w:proofErr w:type="spellStart"/>
      <w:r w:rsidR="00651974" w:rsidRPr="00B656C2">
        <w:rPr>
          <w:rFonts w:ascii="Arial" w:eastAsia="Arial Unicode MS" w:hAnsi="Arial" w:cs="Arial"/>
          <w:i/>
          <w:color w:val="auto"/>
          <w:sz w:val="22"/>
          <w:u w:color="000000"/>
          <w:lang w:val="es-ES_tradnl"/>
        </w:rPr>
        <w:t>Integrum</w:t>
      </w:r>
      <w:proofErr w:type="spellEnd"/>
      <w:r w:rsidR="00651974" w:rsidRPr="00B656C2">
        <w:rPr>
          <w:rFonts w:ascii="Arial" w:eastAsia="Arial Unicode MS" w:hAnsi="Arial" w:cs="Arial"/>
          <w:color w:val="auto"/>
          <w:sz w:val="22"/>
          <w:u w:color="000000"/>
          <w:lang w:val="es-ES_tradnl"/>
        </w:rPr>
        <w:t xml:space="preserve"> o plena restitución en la Corte IDH y su aplicación a casos específicos</w:t>
      </w:r>
      <w:bookmarkEnd w:id="18"/>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cuanto al principio </w:t>
      </w:r>
      <w:proofErr w:type="spellStart"/>
      <w:r w:rsidRPr="00B66F9D">
        <w:rPr>
          <w:rFonts w:ascii="Arial" w:eastAsia="Arial Unicode MS" w:hAnsi="Arial" w:cs="Arial"/>
          <w:i/>
          <w:sz w:val="22"/>
          <w:szCs w:val="22"/>
          <w:u w:color="000000"/>
          <w:lang w:val="es-ES_tradnl"/>
        </w:rPr>
        <w:t>Restitutio</w:t>
      </w:r>
      <w:proofErr w:type="spellEnd"/>
      <w:r w:rsidRPr="00B66F9D">
        <w:rPr>
          <w:rFonts w:ascii="Arial" w:eastAsia="Arial Unicode MS" w:hAnsi="Arial" w:cs="Arial"/>
          <w:i/>
          <w:sz w:val="22"/>
          <w:szCs w:val="22"/>
          <w:u w:color="000000"/>
          <w:lang w:val="es-ES_tradnl"/>
        </w:rPr>
        <w:t xml:space="preserve"> in </w:t>
      </w:r>
      <w:proofErr w:type="spellStart"/>
      <w:r w:rsidRPr="00B66F9D">
        <w:rPr>
          <w:rFonts w:ascii="Arial" w:eastAsia="Arial Unicode MS" w:hAnsi="Arial" w:cs="Arial"/>
          <w:i/>
          <w:sz w:val="22"/>
          <w:szCs w:val="22"/>
          <w:u w:color="000000"/>
          <w:lang w:val="es-ES_tradnl"/>
        </w:rPr>
        <w:t>Integrum</w:t>
      </w:r>
      <w:proofErr w:type="spellEnd"/>
      <w:r w:rsidRPr="00B66F9D">
        <w:rPr>
          <w:rFonts w:ascii="Arial" w:eastAsia="Arial Unicode MS" w:hAnsi="Arial" w:cs="Arial"/>
          <w:i/>
          <w:sz w:val="22"/>
          <w:szCs w:val="22"/>
          <w:vertAlign w:val="superscript"/>
          <w:lang w:val="es-ES_tradnl"/>
        </w:rPr>
        <w:footnoteReference w:id="120"/>
      </w:r>
      <w:r w:rsidRPr="00B66F9D">
        <w:rPr>
          <w:rFonts w:ascii="Arial" w:eastAsia="Arial Unicode MS" w:hAnsi="Arial" w:cs="Arial"/>
          <w:i/>
          <w:sz w:val="22"/>
          <w:szCs w:val="22"/>
          <w:u w:color="000000"/>
          <w:lang w:val="es-ES_tradnl"/>
        </w:rPr>
        <w:t xml:space="preserve"> </w:t>
      </w:r>
      <w:r w:rsidRPr="00B66F9D">
        <w:rPr>
          <w:rFonts w:ascii="Arial" w:eastAsia="Arial Unicode MS" w:hAnsi="Arial" w:cs="Arial"/>
          <w:sz w:val="22"/>
          <w:szCs w:val="22"/>
          <w:u w:color="000000"/>
          <w:lang w:val="es-ES_tradnl"/>
        </w:rPr>
        <w:t xml:space="preserve">como fue señalado en </w:t>
      </w:r>
      <w:proofErr w:type="spellStart"/>
      <w:r w:rsidRPr="00B66F9D">
        <w:rPr>
          <w:rFonts w:ascii="Arial" w:eastAsia="Arial Unicode MS" w:hAnsi="Arial" w:cs="Arial"/>
          <w:sz w:val="22"/>
          <w:szCs w:val="22"/>
          <w:u w:color="000000"/>
          <w:lang w:val="es-ES_tradnl"/>
        </w:rPr>
        <w:t>paginas</w:t>
      </w:r>
      <w:proofErr w:type="spellEnd"/>
      <w:r w:rsidRPr="00B66F9D">
        <w:rPr>
          <w:rFonts w:ascii="Arial" w:eastAsia="Arial Unicode MS" w:hAnsi="Arial" w:cs="Arial"/>
          <w:sz w:val="22"/>
          <w:szCs w:val="22"/>
          <w:u w:color="000000"/>
          <w:lang w:val="es-ES_tradnl"/>
        </w:rPr>
        <w:t xml:space="preserve"> anteriores pretende la restitución plena de la </w:t>
      </w:r>
      <w:proofErr w:type="spellStart"/>
      <w:r w:rsidRPr="00B66F9D">
        <w:rPr>
          <w:rFonts w:ascii="Arial" w:eastAsia="Arial Unicode MS" w:hAnsi="Arial" w:cs="Arial"/>
          <w:sz w:val="22"/>
          <w:szCs w:val="22"/>
          <w:u w:color="000000"/>
          <w:lang w:val="es-ES_tradnl"/>
        </w:rPr>
        <w:t>victima</w:t>
      </w:r>
      <w:proofErr w:type="spellEnd"/>
      <w:r w:rsidRPr="00B66F9D">
        <w:rPr>
          <w:rFonts w:ascii="Arial" w:eastAsia="Arial Unicode MS" w:hAnsi="Arial" w:cs="Arial"/>
          <w:sz w:val="22"/>
          <w:szCs w:val="22"/>
          <w:u w:color="000000"/>
          <w:lang w:val="es-ES_tradnl"/>
        </w:rPr>
        <w:t xml:space="preserve"> a la situación anterior a la que se encontraba antes de que se produjeran las violaciones. Si bien en la misma Corte </w:t>
      </w:r>
      <w:r w:rsidR="000321FF">
        <w:rPr>
          <w:rFonts w:ascii="Arial" w:eastAsia="Arial Unicode MS" w:hAnsi="Arial" w:cs="Arial"/>
          <w:sz w:val="22"/>
          <w:szCs w:val="22"/>
          <w:u w:color="000000"/>
          <w:lang w:val="es-ES_tradnl"/>
        </w:rPr>
        <w:t>IDH</w:t>
      </w:r>
      <w:r w:rsidR="000321FF"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han existido opiniones encontradas, lo cierto es que este principio que guía deter</w:t>
      </w:r>
      <w:r w:rsidR="000321FF">
        <w:rPr>
          <w:rFonts w:ascii="Arial" w:eastAsia="Arial Unicode MS" w:hAnsi="Arial" w:cs="Arial"/>
          <w:sz w:val="22"/>
          <w:szCs w:val="22"/>
          <w:u w:color="000000"/>
          <w:lang w:val="es-ES_tradnl"/>
        </w:rPr>
        <w:t>minadas medidas de reparación ha sido</w:t>
      </w:r>
      <w:r w:rsidRPr="00B66F9D">
        <w:rPr>
          <w:rFonts w:ascii="Arial" w:eastAsia="Arial Unicode MS" w:hAnsi="Arial" w:cs="Arial"/>
          <w:sz w:val="22"/>
          <w:szCs w:val="22"/>
          <w:u w:color="000000"/>
          <w:lang w:val="es-ES_tradnl"/>
        </w:rPr>
        <w:t xml:space="preserve"> implementado en la mayoría de sus sentencias, el enunciado de que se debe procurar la restitución plena se encuentra al iniciar la parte pertinente a las reparaciones en las sentencias, pues supone un punto de partida desde el cual se realizarán las consideraciones pertinentes en cuanto a las medidas que deban adoptarse.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El principio </w:t>
      </w:r>
      <w:proofErr w:type="spellStart"/>
      <w:r w:rsidR="00FF247F" w:rsidRPr="00B66F9D">
        <w:rPr>
          <w:rFonts w:ascii="Arial" w:eastAsia="Arial Unicode MS" w:hAnsi="Arial" w:cs="Arial"/>
          <w:i/>
          <w:sz w:val="22"/>
          <w:szCs w:val="22"/>
          <w:u w:color="000000"/>
          <w:lang w:val="es-ES_tradnl"/>
        </w:rPr>
        <w:t>Restitutio</w:t>
      </w:r>
      <w:proofErr w:type="spellEnd"/>
      <w:r w:rsidR="00FF247F" w:rsidRPr="00B66F9D">
        <w:rPr>
          <w:rFonts w:ascii="Arial" w:eastAsia="Arial Unicode MS" w:hAnsi="Arial" w:cs="Arial"/>
          <w:i/>
          <w:sz w:val="22"/>
          <w:szCs w:val="22"/>
          <w:u w:color="000000"/>
          <w:lang w:val="es-ES_tradnl"/>
        </w:rPr>
        <w:t xml:space="preserve"> in </w:t>
      </w:r>
      <w:proofErr w:type="spellStart"/>
      <w:r w:rsidR="00FF247F" w:rsidRPr="00B66F9D">
        <w:rPr>
          <w:rFonts w:ascii="Arial" w:eastAsia="Arial Unicode MS" w:hAnsi="Arial" w:cs="Arial"/>
          <w:i/>
          <w:sz w:val="22"/>
          <w:szCs w:val="22"/>
          <w:u w:color="000000"/>
          <w:lang w:val="es-ES_tradnl"/>
        </w:rPr>
        <w:t>I</w:t>
      </w:r>
      <w:r w:rsidRPr="00B66F9D">
        <w:rPr>
          <w:rFonts w:ascii="Arial" w:eastAsia="Arial Unicode MS" w:hAnsi="Arial" w:cs="Arial"/>
          <w:i/>
          <w:sz w:val="22"/>
          <w:szCs w:val="22"/>
          <w:u w:color="000000"/>
          <w:lang w:val="es-ES_tradnl"/>
        </w:rPr>
        <w:t>ntegrum</w:t>
      </w:r>
      <w:proofErr w:type="spellEnd"/>
      <w:r w:rsidRPr="00B66F9D">
        <w:rPr>
          <w:rFonts w:ascii="Arial" w:eastAsia="Arial Unicode MS" w:hAnsi="Arial" w:cs="Arial"/>
          <w:i/>
          <w:sz w:val="22"/>
          <w:szCs w:val="22"/>
          <w:u w:color="000000"/>
          <w:lang w:val="es-ES_tradnl"/>
        </w:rPr>
        <w:t xml:space="preserve">, </w:t>
      </w:r>
      <w:r w:rsidRPr="00B66F9D">
        <w:rPr>
          <w:rFonts w:ascii="Arial" w:eastAsia="Arial Unicode MS" w:hAnsi="Arial" w:cs="Arial"/>
          <w:sz w:val="22"/>
          <w:szCs w:val="22"/>
          <w:u w:color="000000"/>
          <w:lang w:val="es-ES_tradnl"/>
        </w:rPr>
        <w:t>parece por sí solo un ideal inalcanzable  pues si no en todos los casos, es evidente que en aquellos donde se ha violado el derecho a la vida o se han desaparecido personas, volver a una situación anterior a la violación es imposible. Hay que considerar además que en toda violación a los derechos humanos existe un componente psicológico afectado en mayor o menor medida, en este caso volver a la situación anterior implicar</w:t>
      </w:r>
      <w:r w:rsidR="000321FF">
        <w:rPr>
          <w:rFonts w:ascii="Arial" w:eastAsia="Arial Unicode MS" w:hAnsi="Arial" w:cs="Arial"/>
          <w:sz w:val="22"/>
          <w:szCs w:val="22"/>
          <w:u w:color="000000"/>
          <w:lang w:val="es-ES_tradnl"/>
        </w:rPr>
        <w:t>ía borrar de la mente de las ví</w:t>
      </w:r>
      <w:r w:rsidRPr="00B66F9D">
        <w:rPr>
          <w:rFonts w:ascii="Arial" w:eastAsia="Arial Unicode MS" w:hAnsi="Arial" w:cs="Arial"/>
          <w:sz w:val="22"/>
          <w:szCs w:val="22"/>
          <w:u w:color="000000"/>
          <w:lang w:val="es-ES_tradnl"/>
        </w:rPr>
        <w:t>ctimas los hechos acontecidos.</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5805DB"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 </w:t>
      </w:r>
      <w:r w:rsidR="008F2951" w:rsidRPr="00B66F9D">
        <w:rPr>
          <w:rFonts w:ascii="Arial" w:eastAsia="Arial Unicode MS" w:hAnsi="Arial" w:cs="Arial"/>
          <w:sz w:val="22"/>
          <w:szCs w:val="22"/>
          <w:u w:color="000000"/>
          <w:lang w:val="es-ES_tradnl"/>
        </w:rPr>
        <w:t>Por otro lado, refiriéndonos a la restitución, esta puede presentarse en varios casos existiendo la posibilidad de devolver a las victimas ciertas condiciones o valores que poseían previo a la</w:t>
      </w:r>
      <w:r w:rsidR="000321FF">
        <w:rPr>
          <w:rFonts w:ascii="Arial" w:eastAsia="Arial Unicode MS" w:hAnsi="Arial" w:cs="Arial"/>
          <w:sz w:val="22"/>
          <w:szCs w:val="22"/>
          <w:u w:color="000000"/>
          <w:lang w:val="es-ES_tradnl"/>
        </w:rPr>
        <w:t xml:space="preserve"> violación de sus derechos.</w:t>
      </w:r>
      <w:r w:rsidR="008F2951" w:rsidRPr="00B66F9D">
        <w:rPr>
          <w:rFonts w:ascii="Arial" w:eastAsia="Arial Unicode MS" w:hAnsi="Arial" w:cs="Arial"/>
          <w:sz w:val="22"/>
          <w:szCs w:val="22"/>
          <w:u w:color="000000"/>
          <w:lang w:val="es-ES_tradnl"/>
        </w:rPr>
        <w:t xml:space="preserve"> </w:t>
      </w:r>
      <w:r w:rsidR="000321FF" w:rsidRPr="00B66F9D">
        <w:rPr>
          <w:rFonts w:ascii="Arial" w:eastAsia="Arial Unicode MS" w:hAnsi="Arial" w:cs="Arial"/>
          <w:sz w:val="22"/>
          <w:szCs w:val="22"/>
          <w:u w:color="000000"/>
          <w:lang w:val="es-ES_tradnl"/>
        </w:rPr>
        <w:t>Por</w:t>
      </w:r>
      <w:r w:rsidR="008F2951" w:rsidRPr="00B66F9D">
        <w:rPr>
          <w:rFonts w:ascii="Arial" w:eastAsia="Arial Unicode MS" w:hAnsi="Arial" w:cs="Arial"/>
          <w:sz w:val="22"/>
          <w:szCs w:val="22"/>
          <w:u w:color="000000"/>
          <w:lang w:val="es-ES_tradnl"/>
        </w:rPr>
        <w:t xml:space="preserve"> ejemplo</w:t>
      </w:r>
      <w:r w:rsidR="000321FF">
        <w:rPr>
          <w:rFonts w:ascii="Arial" w:eastAsia="Arial Unicode MS" w:hAnsi="Arial" w:cs="Arial"/>
          <w:sz w:val="22"/>
          <w:szCs w:val="22"/>
          <w:u w:color="000000"/>
          <w:lang w:val="es-ES_tradnl"/>
        </w:rPr>
        <w:t>,</w:t>
      </w:r>
      <w:r w:rsidR="008F2951" w:rsidRPr="00B66F9D">
        <w:rPr>
          <w:rFonts w:ascii="Arial" w:eastAsia="Arial Unicode MS" w:hAnsi="Arial" w:cs="Arial"/>
          <w:sz w:val="22"/>
          <w:szCs w:val="22"/>
          <w:u w:color="000000"/>
          <w:lang w:val="es-ES_tradnl"/>
        </w:rPr>
        <w:t xml:space="preserve"> el derecho a la libertad en detenciones ilegales, o la restitución de los bienes cuando han sido incautados y los presuntos infractores han sido sobreseídos definitivamente. Lo importante es que los jueces evalúen en los procesos la posibilidad de restituir a las victimas lo que en realidad puede ser devuelto, y a partir de la imposibilidad de hacerlo, acudir a los diferentes medios de reparación.</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Como se dijo anteriormente, la Corte IDH, ha considerado la posibilidad de restituir plenamente a las víctimas en materia de reparaciones expresando concretamente que toda violación de una obligación internacional que haya producido un daño comporta el deber de repararlo adecuadamente, y que dicha reparación requiere siempre que sea </w:t>
      </w:r>
      <w:r w:rsidRPr="00B66F9D">
        <w:rPr>
          <w:rFonts w:ascii="Arial" w:eastAsia="Arial Unicode MS" w:hAnsi="Arial" w:cs="Arial"/>
          <w:color w:val="000000"/>
          <w:sz w:val="22"/>
          <w:szCs w:val="22"/>
          <w:u w:color="000000"/>
          <w:lang w:val="es-ES" w:eastAsia="es-ES"/>
        </w:rPr>
        <w:lastRenderedPageBreak/>
        <w:t>posible, la plena restitució</w:t>
      </w:r>
      <w:r w:rsidR="007641D6" w:rsidRPr="00B66F9D">
        <w:rPr>
          <w:rFonts w:ascii="Arial" w:eastAsia="Arial Unicode MS" w:hAnsi="Arial" w:cs="Arial"/>
          <w:color w:val="000000"/>
          <w:sz w:val="22"/>
          <w:szCs w:val="22"/>
          <w:u w:color="000000"/>
          <w:lang w:val="es-ES" w:eastAsia="es-ES"/>
        </w:rPr>
        <w:t xml:space="preserve">n </w:t>
      </w:r>
      <w:proofErr w:type="spellStart"/>
      <w:r w:rsidR="007641D6" w:rsidRPr="00B66F9D">
        <w:rPr>
          <w:rFonts w:ascii="Arial" w:eastAsia="Arial Unicode MS" w:hAnsi="Arial" w:cs="Arial"/>
          <w:i/>
          <w:color w:val="000000"/>
          <w:sz w:val="22"/>
          <w:szCs w:val="22"/>
          <w:u w:color="000000"/>
          <w:lang w:val="es-ES" w:eastAsia="es-ES"/>
        </w:rPr>
        <w:t>Restitutio</w:t>
      </w:r>
      <w:proofErr w:type="spellEnd"/>
      <w:r w:rsidR="007641D6" w:rsidRPr="00B66F9D">
        <w:rPr>
          <w:rFonts w:ascii="Arial" w:eastAsia="Arial Unicode MS" w:hAnsi="Arial" w:cs="Arial"/>
          <w:i/>
          <w:color w:val="000000"/>
          <w:sz w:val="22"/>
          <w:szCs w:val="22"/>
          <w:u w:color="000000"/>
          <w:lang w:val="es-ES" w:eastAsia="es-ES"/>
        </w:rPr>
        <w:t xml:space="preserve"> in </w:t>
      </w:r>
      <w:proofErr w:type="spellStart"/>
      <w:r w:rsidR="007641D6" w:rsidRPr="00B66F9D">
        <w:rPr>
          <w:rFonts w:ascii="Arial" w:eastAsia="Arial Unicode MS" w:hAnsi="Arial" w:cs="Arial"/>
          <w:i/>
          <w:color w:val="000000"/>
          <w:sz w:val="22"/>
          <w:szCs w:val="22"/>
          <w:u w:color="000000"/>
          <w:lang w:val="es-ES" w:eastAsia="es-ES"/>
        </w:rPr>
        <w:t>Integrum</w:t>
      </w:r>
      <w:proofErr w:type="spellEnd"/>
      <w:r w:rsidRPr="00B66F9D">
        <w:rPr>
          <w:rFonts w:ascii="Arial" w:eastAsia="Arial Unicode MS" w:hAnsi="Arial" w:cs="Arial"/>
          <w:color w:val="000000"/>
          <w:sz w:val="22"/>
          <w:szCs w:val="22"/>
          <w:u w:color="000000"/>
          <w:lang w:val="es-ES" w:eastAsia="es-ES"/>
        </w:rPr>
        <w:t>, la cual consiste en el restablecimiento de la situación anterior a la violación.</w:t>
      </w:r>
      <w:r w:rsidRPr="00B66F9D">
        <w:rPr>
          <w:rFonts w:ascii="Arial" w:eastAsia="Arial Unicode MS" w:hAnsi="Arial" w:cs="Arial"/>
          <w:color w:val="000000"/>
          <w:sz w:val="22"/>
          <w:szCs w:val="22"/>
          <w:u w:color="000000"/>
          <w:vertAlign w:val="superscript"/>
          <w:lang w:val="es-ES" w:eastAsia="es-ES"/>
        </w:rPr>
        <w:footnoteReference w:id="121"/>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AA385E"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Así por ejemplo</w:t>
      </w:r>
      <w:r w:rsidR="000321FF">
        <w:rPr>
          <w:rFonts w:ascii="Arial" w:eastAsia="Arial Unicode MS" w:hAnsi="Arial" w:cs="Arial"/>
          <w:color w:val="000000"/>
          <w:sz w:val="22"/>
          <w:szCs w:val="22"/>
          <w:u w:color="000000"/>
          <w:lang w:val="es-ES" w:eastAsia="es-ES"/>
        </w:rPr>
        <w:t>,</w:t>
      </w:r>
      <w:r w:rsidRPr="00B66F9D">
        <w:rPr>
          <w:rFonts w:ascii="Arial" w:eastAsia="Arial Unicode MS" w:hAnsi="Arial" w:cs="Arial"/>
          <w:color w:val="000000"/>
          <w:sz w:val="22"/>
          <w:szCs w:val="22"/>
          <w:u w:color="000000"/>
          <w:lang w:val="es-ES" w:eastAsia="es-ES"/>
        </w:rPr>
        <w:t xml:space="preserve"> en el caso de las Masacres de </w:t>
      </w:r>
      <w:proofErr w:type="spellStart"/>
      <w:r w:rsidRPr="00B66F9D">
        <w:rPr>
          <w:rFonts w:ascii="Arial" w:eastAsia="Arial Unicode MS" w:hAnsi="Arial" w:cs="Arial"/>
          <w:color w:val="000000"/>
          <w:sz w:val="22"/>
          <w:szCs w:val="22"/>
          <w:u w:color="000000"/>
          <w:lang w:val="es-ES" w:eastAsia="es-ES"/>
        </w:rPr>
        <w:t>Ituango</w:t>
      </w:r>
      <w:proofErr w:type="spellEnd"/>
      <w:r w:rsidRPr="00B66F9D">
        <w:rPr>
          <w:rFonts w:ascii="Arial" w:eastAsia="Arial Unicode MS" w:hAnsi="Arial" w:cs="Arial"/>
          <w:color w:val="000000"/>
          <w:sz w:val="22"/>
          <w:szCs w:val="22"/>
          <w:u w:color="000000"/>
          <w:lang w:val="es-ES" w:eastAsia="es-ES"/>
        </w:rPr>
        <w:t xml:space="preserve"> contra Colombia, la Corte </w:t>
      </w:r>
      <w:r w:rsidR="000321FF">
        <w:rPr>
          <w:rFonts w:ascii="Arial" w:eastAsia="Arial Unicode MS" w:hAnsi="Arial" w:cs="Arial"/>
          <w:sz w:val="22"/>
          <w:szCs w:val="22"/>
          <w:u w:color="000000"/>
          <w:lang w:val="es-ES_tradnl"/>
        </w:rPr>
        <w:t>IDH</w:t>
      </w:r>
      <w:r w:rsidR="000321FF"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ha señalado el principio de la restituc</w:t>
      </w:r>
      <w:r w:rsidR="000321FF">
        <w:rPr>
          <w:rFonts w:ascii="Arial" w:eastAsia="Arial Unicode MS" w:hAnsi="Arial" w:cs="Arial"/>
          <w:color w:val="000000"/>
          <w:sz w:val="22"/>
          <w:szCs w:val="22"/>
          <w:u w:color="000000"/>
          <w:lang w:val="es-ES" w:eastAsia="es-ES"/>
        </w:rPr>
        <w:t>ión plena, sin embargo determinó</w:t>
      </w:r>
      <w:r w:rsidRPr="00B66F9D">
        <w:rPr>
          <w:rFonts w:ascii="Arial" w:eastAsia="Arial Unicode MS" w:hAnsi="Arial" w:cs="Arial"/>
          <w:color w:val="000000"/>
          <w:sz w:val="22"/>
          <w:szCs w:val="22"/>
          <w:u w:color="000000"/>
          <w:lang w:val="es-ES" w:eastAsia="es-ES"/>
        </w:rPr>
        <w:t xml:space="preserve"> que en este caso no es </w:t>
      </w:r>
      <w:r w:rsidR="000321FF">
        <w:rPr>
          <w:rFonts w:ascii="Arial" w:eastAsia="Arial Unicode MS" w:hAnsi="Arial" w:cs="Arial"/>
          <w:color w:val="000000"/>
          <w:sz w:val="22"/>
          <w:szCs w:val="22"/>
          <w:u w:color="000000"/>
          <w:lang w:val="es-ES" w:eastAsia="es-ES"/>
        </w:rPr>
        <w:t>posible aplicarla, por ende implementó</w:t>
      </w:r>
      <w:r w:rsidRPr="00B66F9D">
        <w:rPr>
          <w:rFonts w:ascii="Arial" w:eastAsia="Arial Unicode MS" w:hAnsi="Arial" w:cs="Arial"/>
          <w:color w:val="000000"/>
          <w:sz w:val="22"/>
          <w:szCs w:val="22"/>
          <w:u w:color="000000"/>
          <w:lang w:val="es-ES" w:eastAsia="es-ES"/>
        </w:rPr>
        <w:t xml:space="preserve"> ciertas medidas para reparar los daños ocasionados por las violaciones, procede entonces a analizar las pretensiones de las partes en cuanto a reparaciones para dictaminar las medidas pertinentes</w:t>
      </w:r>
      <w:r w:rsidR="00881637">
        <w:rPr>
          <w:rStyle w:val="Refdenotaalpie"/>
          <w:rFonts w:ascii="Arial" w:eastAsia="Arial Unicode MS" w:hAnsi="Arial" w:cs="Arial"/>
          <w:color w:val="000000"/>
          <w:sz w:val="22"/>
          <w:szCs w:val="22"/>
          <w:u w:color="000000"/>
          <w:lang w:val="es-ES" w:eastAsia="es-ES"/>
        </w:rPr>
        <w:footnoteReference w:id="122"/>
      </w:r>
      <w:r w:rsidR="00881637">
        <w:rPr>
          <w:rFonts w:ascii="Arial" w:eastAsia="Arial Unicode MS" w:hAnsi="Arial" w:cs="Arial"/>
          <w:color w:val="000000"/>
          <w:sz w:val="22"/>
          <w:szCs w:val="22"/>
          <w:u w:color="000000"/>
          <w:lang w:val="es-ES" w:eastAsia="es-ES"/>
        </w:rPr>
        <w:t>. E</w:t>
      </w:r>
      <w:r w:rsidRPr="00B66F9D">
        <w:rPr>
          <w:rFonts w:ascii="Arial" w:eastAsia="Arial Unicode MS" w:hAnsi="Arial" w:cs="Arial"/>
          <w:color w:val="000000"/>
          <w:sz w:val="22"/>
          <w:szCs w:val="22"/>
          <w:u w:color="000000"/>
          <w:lang w:val="es-ES" w:eastAsia="es-ES"/>
        </w:rPr>
        <w:t xml:space="preserve">n este caso en particular aparte de determinarse la indemnización, la Corte </w:t>
      </w:r>
      <w:r w:rsidR="000321FF">
        <w:rPr>
          <w:rFonts w:ascii="Arial" w:eastAsia="Arial Unicode MS" w:hAnsi="Arial" w:cs="Arial"/>
          <w:sz w:val="22"/>
          <w:szCs w:val="22"/>
          <w:u w:color="000000"/>
          <w:lang w:val="es-ES_tradnl"/>
        </w:rPr>
        <w:t>IDH</w:t>
      </w:r>
      <w:r w:rsidR="000321FF"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estableció otras medidas considerando el carácter colectivo de los daños ocasionados, entre ellas la investigación de los hechos para identificar, juzgar y sancionar a los responsables</w:t>
      </w:r>
      <w:r w:rsidR="00881637">
        <w:rPr>
          <w:rStyle w:val="Refdenotaalpie"/>
          <w:rFonts w:ascii="Arial" w:eastAsia="Arial Unicode MS" w:hAnsi="Arial" w:cs="Arial"/>
          <w:color w:val="000000"/>
          <w:sz w:val="22"/>
          <w:szCs w:val="22"/>
          <w:u w:color="000000"/>
          <w:lang w:val="es-ES" w:eastAsia="es-ES"/>
        </w:rPr>
        <w:footnoteReference w:id="123"/>
      </w:r>
      <w:r w:rsidRPr="00B66F9D">
        <w:rPr>
          <w:rFonts w:ascii="Arial" w:eastAsia="Arial Unicode MS" w:hAnsi="Arial" w:cs="Arial"/>
          <w:color w:val="000000"/>
          <w:sz w:val="22"/>
          <w:szCs w:val="22"/>
          <w:u w:color="000000"/>
          <w:lang w:val="es-ES" w:eastAsia="es-ES"/>
        </w:rPr>
        <w:t xml:space="preserve">; además un tratamiento adecuado a los familiares de las </w:t>
      </w:r>
      <w:proofErr w:type="spellStart"/>
      <w:r w:rsidRPr="00B66F9D">
        <w:rPr>
          <w:rFonts w:ascii="Arial" w:eastAsia="Arial Unicode MS" w:hAnsi="Arial" w:cs="Arial"/>
          <w:color w:val="000000"/>
          <w:sz w:val="22"/>
          <w:szCs w:val="22"/>
          <w:u w:color="000000"/>
          <w:lang w:val="es-ES" w:eastAsia="es-ES"/>
        </w:rPr>
        <w:t>victimas</w:t>
      </w:r>
      <w:proofErr w:type="spellEnd"/>
      <w:r w:rsidRPr="00B66F9D">
        <w:rPr>
          <w:rFonts w:ascii="Arial" w:eastAsia="Arial Unicode MS" w:hAnsi="Arial" w:cs="Arial"/>
          <w:color w:val="000000"/>
          <w:sz w:val="22"/>
          <w:szCs w:val="22"/>
          <w:u w:color="000000"/>
          <w:lang w:val="es-ES" w:eastAsia="es-ES"/>
        </w:rPr>
        <w:t xml:space="preserve"> que busque reducir sus padecimientos físicos y psicológicos, adicionalmente que el Estado garantice la seguridad de los desplazados que deseen volver a sus comunidades; una de las medidas que más impacto tuvo en este caso fue la implementación de un programa de vivienda, la Corte </w:t>
      </w:r>
      <w:r w:rsidR="000321FF">
        <w:rPr>
          <w:rFonts w:ascii="Arial" w:eastAsia="Arial Unicode MS" w:hAnsi="Arial" w:cs="Arial"/>
          <w:sz w:val="22"/>
          <w:szCs w:val="22"/>
          <w:u w:color="000000"/>
          <w:lang w:val="es-ES_tradnl"/>
        </w:rPr>
        <w:t>IDH</w:t>
      </w:r>
      <w:r w:rsidR="000321FF"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estableció que el plazo para el cumplimiento de esta medida fuese de cinco años a partir de la respectiva notificación</w:t>
      </w:r>
      <w:r w:rsidRPr="00B66F9D">
        <w:rPr>
          <w:rFonts w:ascii="Arial" w:eastAsia="Arial Unicode MS" w:hAnsi="Arial" w:cs="Arial"/>
          <w:color w:val="000000"/>
          <w:sz w:val="22"/>
          <w:szCs w:val="22"/>
          <w:vertAlign w:val="superscript"/>
          <w:lang w:val="es-ES" w:eastAsia="es-ES"/>
        </w:rPr>
        <w:footnoteReference w:id="124"/>
      </w:r>
      <w:r w:rsidRPr="00B66F9D">
        <w:rPr>
          <w:rFonts w:ascii="Arial" w:eastAsia="Arial Unicode MS" w:hAnsi="Arial" w:cs="Arial"/>
          <w:color w:val="000000"/>
          <w:sz w:val="22"/>
          <w:szCs w:val="22"/>
          <w:u w:color="000000"/>
          <w:lang w:val="es-ES" w:eastAsia="es-ES"/>
        </w:rPr>
        <w:t xml:space="preserve">            </w:t>
      </w:r>
    </w:p>
    <w:p w:rsidR="00AA385E" w:rsidRPr="00B66F9D" w:rsidRDefault="00AA385E"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sz w:val="22"/>
          <w:szCs w:val="22"/>
          <w:u w:color="000000"/>
          <w:lang w:val="es-ES_tradnl"/>
        </w:rPr>
        <w:t xml:space="preserve">En el caso </w:t>
      </w:r>
      <w:proofErr w:type="spellStart"/>
      <w:r w:rsidRPr="00B66F9D">
        <w:rPr>
          <w:rFonts w:ascii="Arial" w:eastAsia="Arial Unicode MS" w:hAnsi="Arial" w:cs="Arial"/>
          <w:sz w:val="22"/>
          <w:szCs w:val="22"/>
          <w:u w:color="000000"/>
          <w:lang w:val="es-ES_tradnl"/>
        </w:rPr>
        <w:t>Baldeón</w:t>
      </w:r>
      <w:proofErr w:type="spellEnd"/>
      <w:r w:rsidRPr="00B66F9D">
        <w:rPr>
          <w:rFonts w:ascii="Arial" w:eastAsia="Arial Unicode MS" w:hAnsi="Arial" w:cs="Arial"/>
          <w:sz w:val="22"/>
          <w:szCs w:val="22"/>
          <w:u w:color="000000"/>
          <w:lang w:val="es-ES_tradnl"/>
        </w:rPr>
        <w:t xml:space="preserve"> García contra Perú, la Corte </w:t>
      </w:r>
      <w:r w:rsidR="000321FF">
        <w:rPr>
          <w:rFonts w:ascii="Arial" w:eastAsia="Arial Unicode MS" w:hAnsi="Arial" w:cs="Arial"/>
          <w:sz w:val="22"/>
          <w:szCs w:val="22"/>
          <w:u w:color="000000"/>
          <w:lang w:val="es-ES_tradnl"/>
        </w:rPr>
        <w:t>IDH</w:t>
      </w:r>
      <w:r w:rsidR="000321FF"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consideró que a la luz de los criterios expuestos y las circunstancias del caso, era imposible aplicar la plena restitución pues entre otros se había violado el derecho a la vida del señor Bernabé </w:t>
      </w:r>
      <w:proofErr w:type="spellStart"/>
      <w:r w:rsidRPr="00B66F9D">
        <w:rPr>
          <w:rFonts w:ascii="Arial" w:eastAsia="Arial Unicode MS" w:hAnsi="Arial" w:cs="Arial"/>
          <w:sz w:val="22"/>
          <w:szCs w:val="22"/>
          <w:u w:color="000000"/>
          <w:lang w:val="es-ES_tradnl"/>
        </w:rPr>
        <w:t>Baldeón</w:t>
      </w:r>
      <w:proofErr w:type="spellEnd"/>
      <w:r w:rsidRPr="00B66F9D">
        <w:rPr>
          <w:rFonts w:ascii="Arial" w:eastAsia="Arial Unicode MS" w:hAnsi="Arial" w:cs="Arial"/>
          <w:sz w:val="22"/>
          <w:szCs w:val="22"/>
          <w:u w:color="000000"/>
          <w:lang w:val="es-ES_tradnl"/>
        </w:rPr>
        <w:t xml:space="preserve"> García</w:t>
      </w:r>
      <w:r w:rsidR="00D34475">
        <w:rPr>
          <w:rStyle w:val="Refdenotaalpie"/>
          <w:rFonts w:ascii="Arial" w:eastAsia="Arial Unicode MS" w:hAnsi="Arial" w:cs="Arial"/>
          <w:sz w:val="22"/>
          <w:szCs w:val="22"/>
          <w:u w:color="000000"/>
          <w:lang w:val="es-ES_tradnl"/>
        </w:rPr>
        <w:footnoteReference w:id="125"/>
      </w:r>
      <w:r w:rsidRPr="00B66F9D">
        <w:rPr>
          <w:rFonts w:ascii="Arial" w:eastAsia="Arial Unicode MS" w:hAnsi="Arial" w:cs="Arial"/>
          <w:sz w:val="22"/>
          <w:szCs w:val="22"/>
          <w:u w:color="000000"/>
          <w:lang w:val="es-ES_tradnl"/>
        </w:rPr>
        <w:t xml:space="preserve">. Por ello al no ser posible la plena restitución la Corte </w:t>
      </w:r>
      <w:r w:rsidR="000321FF">
        <w:rPr>
          <w:rFonts w:ascii="Arial" w:eastAsia="Arial Unicode MS" w:hAnsi="Arial" w:cs="Arial"/>
          <w:sz w:val="22"/>
          <w:szCs w:val="22"/>
          <w:u w:color="000000"/>
          <w:lang w:val="es-ES_tradnl"/>
        </w:rPr>
        <w:t>IDH</w:t>
      </w:r>
      <w:r w:rsidR="000321FF"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optó por medidas de reparación como indemnización por el daño mat</w:t>
      </w:r>
      <w:r w:rsidR="000321FF">
        <w:rPr>
          <w:rFonts w:ascii="Arial" w:eastAsia="Arial Unicode MS" w:hAnsi="Arial" w:cs="Arial"/>
          <w:sz w:val="22"/>
          <w:szCs w:val="22"/>
          <w:u w:color="000000"/>
          <w:lang w:val="es-ES_tradnl"/>
        </w:rPr>
        <w:t>erial dentro del cual se incluyó</w:t>
      </w:r>
      <w:r w:rsidRPr="00B66F9D">
        <w:rPr>
          <w:rFonts w:ascii="Arial" w:eastAsia="Arial Unicode MS" w:hAnsi="Arial" w:cs="Arial"/>
          <w:sz w:val="22"/>
          <w:szCs w:val="22"/>
          <w:u w:color="000000"/>
          <w:lang w:val="es-ES_tradnl"/>
        </w:rPr>
        <w:t xml:space="preserve"> además el daño al patrimonio familiar, además de otras medidas de reparación como la publicación de la sentencia, la obligación del Estado de investigar los hechos, el nombrar una calle, plazo o escuela en memoria del señor Bernabé  </w:t>
      </w:r>
      <w:proofErr w:type="spellStart"/>
      <w:r w:rsidRPr="00B66F9D">
        <w:rPr>
          <w:rFonts w:ascii="Arial" w:eastAsia="Arial Unicode MS" w:hAnsi="Arial" w:cs="Arial"/>
          <w:sz w:val="22"/>
          <w:szCs w:val="22"/>
          <w:u w:color="000000"/>
          <w:lang w:val="es-ES_tradnl"/>
        </w:rPr>
        <w:t>Baldeón</w:t>
      </w:r>
      <w:proofErr w:type="spellEnd"/>
      <w:r w:rsidRPr="00B66F9D">
        <w:rPr>
          <w:rFonts w:ascii="Arial" w:eastAsia="Arial Unicode MS" w:hAnsi="Arial" w:cs="Arial"/>
          <w:sz w:val="22"/>
          <w:szCs w:val="22"/>
          <w:u w:color="000000"/>
          <w:lang w:val="es-ES_tradnl"/>
        </w:rPr>
        <w:t xml:space="preserve"> García</w:t>
      </w:r>
      <w:r w:rsidR="00D34475">
        <w:rPr>
          <w:rStyle w:val="Refdenotaalpie"/>
          <w:rFonts w:ascii="Arial" w:eastAsia="Arial Unicode MS" w:hAnsi="Arial" w:cs="Arial"/>
          <w:sz w:val="22"/>
          <w:szCs w:val="22"/>
          <w:u w:color="000000"/>
          <w:lang w:val="es-ES_tradnl"/>
        </w:rPr>
        <w:footnoteReference w:id="126"/>
      </w:r>
      <w:r w:rsidRPr="00B66F9D">
        <w:rPr>
          <w:rFonts w:ascii="Arial" w:eastAsia="Arial Unicode MS" w:hAnsi="Arial" w:cs="Arial"/>
          <w:sz w:val="22"/>
          <w:szCs w:val="22"/>
          <w:u w:color="000000"/>
          <w:lang w:val="es-ES_tradnl"/>
        </w:rPr>
        <w:t xml:space="preserv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8F2951" w:rsidRDefault="008F2951" w:rsidP="00B66F9D">
      <w:pPr>
        <w:pStyle w:val="Sinespaciado"/>
        <w:spacing w:line="360" w:lineRule="auto"/>
        <w:jc w:val="both"/>
        <w:rPr>
          <w:rFonts w:eastAsia="Arial Unicode MS"/>
          <w:u w:color="000000"/>
          <w:lang w:val="es-ES_tradnl"/>
        </w:rPr>
      </w:pPr>
      <w:r w:rsidRPr="00B66F9D">
        <w:rPr>
          <w:rFonts w:ascii="Arial" w:eastAsia="Arial Unicode MS" w:hAnsi="Arial" w:cs="Arial"/>
          <w:sz w:val="22"/>
          <w:szCs w:val="22"/>
          <w:u w:color="000000"/>
          <w:lang w:val="es-ES_tradnl"/>
        </w:rPr>
        <w:t xml:space="preserve">Cabe determinar que la Corte considera el principio de </w:t>
      </w:r>
      <w:proofErr w:type="spellStart"/>
      <w:r w:rsidRPr="00B66F9D">
        <w:rPr>
          <w:rFonts w:ascii="Arial" w:eastAsia="Arial Unicode MS" w:hAnsi="Arial" w:cs="Arial"/>
          <w:i/>
          <w:sz w:val="22"/>
          <w:szCs w:val="22"/>
          <w:u w:color="000000"/>
          <w:lang w:val="es-ES_tradnl"/>
        </w:rPr>
        <w:t>Restitutio</w:t>
      </w:r>
      <w:proofErr w:type="spellEnd"/>
      <w:r w:rsidRPr="00B66F9D">
        <w:rPr>
          <w:rFonts w:ascii="Arial" w:eastAsia="Arial Unicode MS" w:hAnsi="Arial" w:cs="Arial"/>
          <w:i/>
          <w:sz w:val="22"/>
          <w:szCs w:val="22"/>
          <w:u w:color="000000"/>
          <w:lang w:val="es-ES_tradnl"/>
        </w:rPr>
        <w:t xml:space="preserve"> in </w:t>
      </w:r>
      <w:proofErr w:type="spellStart"/>
      <w:r w:rsidRPr="00B66F9D">
        <w:rPr>
          <w:rFonts w:ascii="Arial" w:eastAsia="Arial Unicode MS" w:hAnsi="Arial" w:cs="Arial"/>
          <w:i/>
          <w:sz w:val="22"/>
          <w:szCs w:val="22"/>
          <w:u w:color="000000"/>
          <w:lang w:val="es-ES_tradnl"/>
        </w:rPr>
        <w:t>Integrum</w:t>
      </w:r>
      <w:proofErr w:type="spellEnd"/>
      <w:r w:rsidRPr="00B66F9D">
        <w:rPr>
          <w:rFonts w:ascii="Arial" w:eastAsia="Arial Unicode MS" w:hAnsi="Arial" w:cs="Arial"/>
          <w:i/>
          <w:sz w:val="22"/>
          <w:szCs w:val="22"/>
          <w:u w:color="000000"/>
          <w:lang w:val="es-ES_tradnl"/>
        </w:rPr>
        <w:t xml:space="preserve"> </w:t>
      </w:r>
      <w:r w:rsidRPr="00B66F9D">
        <w:rPr>
          <w:rFonts w:ascii="Arial" w:eastAsia="Arial Unicode MS" w:hAnsi="Arial" w:cs="Arial"/>
          <w:sz w:val="22"/>
          <w:szCs w:val="22"/>
          <w:u w:color="000000"/>
          <w:lang w:val="es-ES_tradnl"/>
        </w:rPr>
        <w:t xml:space="preserve">en la resolución de sus casos sobre todo en la parte relativa a las reparaciones. Esta consideración es importante pues plantea el punto de partida del establecimiento de </w:t>
      </w:r>
      <w:r w:rsidRPr="00B66F9D">
        <w:rPr>
          <w:rFonts w:ascii="Arial" w:eastAsia="Arial Unicode MS" w:hAnsi="Arial" w:cs="Arial"/>
          <w:sz w:val="22"/>
          <w:szCs w:val="22"/>
          <w:u w:color="000000"/>
          <w:lang w:val="es-ES_tradnl"/>
        </w:rPr>
        <w:lastRenderedPageBreak/>
        <w:t>ciertas medidas de reparación, como se ha expresado, la restitución plena es imposible pero el espíritu del principio está en tratar de borrar las consecuencias y secuelas que produjeron las violaciones en las víctimas y sus familias.</w:t>
      </w:r>
      <w:r w:rsidRPr="008F2951">
        <w:rPr>
          <w:rFonts w:eastAsia="Arial Unicode MS"/>
          <w:u w:color="000000"/>
          <w:lang w:val="es-ES_tradnl"/>
        </w:rPr>
        <w:t xml:space="preserve">   </w:t>
      </w:r>
    </w:p>
    <w:p w:rsidR="005805DB" w:rsidRDefault="005805DB" w:rsidP="005805DB">
      <w:pPr>
        <w:spacing w:before="20" w:line="360" w:lineRule="auto"/>
        <w:jc w:val="both"/>
        <w:outlineLvl w:val="0"/>
        <w:rPr>
          <w:rFonts w:ascii="Arial" w:eastAsia="Arial Unicode MS" w:hAnsi="Arial Unicode MS"/>
          <w:sz w:val="22"/>
          <w:u w:color="000000"/>
          <w:lang w:val="es-ES_tradnl"/>
        </w:rPr>
      </w:pPr>
    </w:p>
    <w:p w:rsidR="008F2951" w:rsidRPr="00B656C2" w:rsidRDefault="005805DB" w:rsidP="00B656C2">
      <w:pPr>
        <w:pStyle w:val="Ttulo3"/>
        <w:spacing w:line="360" w:lineRule="auto"/>
        <w:ind w:left="720" w:hanging="720"/>
        <w:jc w:val="both"/>
        <w:rPr>
          <w:rFonts w:ascii="Arial" w:eastAsia="Arial Unicode MS" w:hAnsi="Arial" w:cs="Arial"/>
          <w:b w:val="0"/>
          <w:color w:val="auto"/>
          <w:sz w:val="22"/>
          <w:u w:color="000000"/>
          <w:lang w:val="es-ES_tradnl"/>
        </w:rPr>
      </w:pPr>
      <w:bookmarkStart w:id="19" w:name="_Toc356432256"/>
      <w:r w:rsidRPr="00B656C2">
        <w:rPr>
          <w:rFonts w:ascii="Arial" w:eastAsia="Arial Unicode MS" w:hAnsi="Arial" w:cs="Arial"/>
          <w:color w:val="auto"/>
          <w:sz w:val="22"/>
          <w:u w:color="000000"/>
          <w:lang w:val="es-ES_tradnl"/>
        </w:rPr>
        <w:t>2.1.2.</w:t>
      </w:r>
      <w:r w:rsidRPr="00B656C2">
        <w:rPr>
          <w:rFonts w:ascii="Arial" w:eastAsia="Arial Unicode MS" w:hAnsi="Arial" w:cs="Arial"/>
          <w:color w:val="auto"/>
          <w:sz w:val="22"/>
          <w:u w:color="000000"/>
          <w:lang w:val="es-ES_tradnl"/>
        </w:rPr>
        <w:tab/>
      </w:r>
      <w:r w:rsidR="00651974" w:rsidRPr="00B656C2">
        <w:rPr>
          <w:rFonts w:ascii="Arial" w:eastAsia="Arial Unicode MS" w:hAnsi="Arial" w:cs="Arial"/>
          <w:color w:val="auto"/>
          <w:sz w:val="22"/>
          <w:u w:color="000000"/>
          <w:lang w:val="es-ES_tradnl"/>
        </w:rPr>
        <w:t xml:space="preserve">Las medidas </w:t>
      </w:r>
      <w:proofErr w:type="spellStart"/>
      <w:r w:rsidR="00651974" w:rsidRPr="00B656C2">
        <w:rPr>
          <w:rFonts w:ascii="Arial" w:eastAsia="Arial Unicode MS" w:hAnsi="Arial" w:cs="Arial"/>
          <w:color w:val="auto"/>
          <w:sz w:val="22"/>
          <w:u w:color="000000"/>
          <w:lang w:val="es-ES_tradnl"/>
        </w:rPr>
        <w:t>reparatorias</w:t>
      </w:r>
      <w:proofErr w:type="spellEnd"/>
      <w:r w:rsidR="00651974" w:rsidRPr="00B656C2">
        <w:rPr>
          <w:rFonts w:ascii="Arial" w:eastAsia="Arial Unicode MS" w:hAnsi="Arial" w:cs="Arial"/>
          <w:color w:val="auto"/>
          <w:sz w:val="22"/>
          <w:u w:color="000000"/>
          <w:lang w:val="es-ES_tradnl"/>
        </w:rPr>
        <w:t xml:space="preserve"> ordenadas por la Corte IDH además de la indemnización</w:t>
      </w:r>
      <w:bookmarkEnd w:id="19"/>
      <w:r w:rsidR="008F2951" w:rsidRPr="00B656C2">
        <w:rPr>
          <w:rFonts w:ascii="Arial" w:eastAsia="Arial Unicode MS" w:hAnsi="Arial" w:cs="Arial"/>
          <w:color w:val="auto"/>
          <w:sz w:val="22"/>
          <w:u w:color="000000"/>
          <w:lang w:val="es-ES_tradnl"/>
        </w:rPr>
        <w:tab/>
      </w:r>
    </w:p>
    <w:p w:rsidR="00AA385E" w:rsidRDefault="00AA385E" w:rsidP="00AA385E">
      <w:pPr>
        <w:spacing w:line="360" w:lineRule="auto"/>
        <w:ind w:firstLine="720"/>
        <w:jc w:val="both"/>
        <w:outlineLvl w:val="0"/>
        <w:rPr>
          <w:rFonts w:ascii="Arial" w:eastAsia="Arial Unicode MS" w:hAnsi="Arial Unicode MS"/>
          <w:color w:val="000000"/>
          <w:sz w:val="22"/>
          <w:szCs w:val="20"/>
          <w:u w:color="000000"/>
          <w:lang w:val="es-ES_tradnl"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En el ámbito internacional de protección de los derechos humanos se ha evidenciado que el concepto de indemnización, resulta limitado para restaurar las diversas violaciones perpetradas, por lo que además de este medio de reparación, se ha establecido una diversa variedad de medidas dirigidas al restablecimiento de las víctimas al momento anterior al que se produjeron las violaciones</w:t>
      </w:r>
      <w:r w:rsidRPr="00B66F9D">
        <w:rPr>
          <w:rFonts w:ascii="Arial" w:eastAsia="Arial Unicode MS" w:hAnsi="Arial" w:cs="Arial"/>
          <w:sz w:val="22"/>
          <w:szCs w:val="22"/>
          <w:u w:color="000000"/>
          <w:vertAlign w:val="superscript"/>
          <w:lang w:val="es-ES" w:eastAsia="es-ES"/>
        </w:rPr>
        <w:footnoteReference w:id="127"/>
      </w:r>
      <w:r w:rsidR="0069173E">
        <w:rPr>
          <w:rFonts w:ascii="Arial" w:eastAsia="Arial Unicode MS" w:hAnsi="Arial" w:cs="Arial"/>
          <w:sz w:val="22"/>
          <w:szCs w:val="22"/>
          <w:u w:color="000000"/>
          <w:lang w:val="es-ES" w:eastAsia="es-ES"/>
        </w:rPr>
        <w:t>.</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este sentido la Corte IDH ha </w:t>
      </w:r>
      <w:proofErr w:type="spellStart"/>
      <w:r w:rsidRPr="00B66F9D">
        <w:rPr>
          <w:rFonts w:ascii="Arial" w:eastAsia="Arial Unicode MS" w:hAnsi="Arial" w:cs="Arial"/>
          <w:sz w:val="22"/>
          <w:szCs w:val="22"/>
          <w:u w:color="000000"/>
          <w:lang w:val="es-ES_tradnl"/>
        </w:rPr>
        <w:t>adoptando</w:t>
      </w:r>
      <w:proofErr w:type="spellEnd"/>
      <w:r w:rsidRPr="00B66F9D">
        <w:rPr>
          <w:rFonts w:ascii="Arial" w:eastAsia="Arial Unicode MS" w:hAnsi="Arial" w:cs="Arial"/>
          <w:sz w:val="22"/>
          <w:szCs w:val="22"/>
          <w:u w:color="000000"/>
          <w:lang w:val="es-ES_tradnl"/>
        </w:rPr>
        <w:t xml:space="preserve"> los principios internacionales de reparación estableciendo varias medidas que demuestran la clara </w:t>
      </w:r>
      <w:proofErr w:type="spellStart"/>
      <w:r w:rsidRPr="00B66F9D">
        <w:rPr>
          <w:rFonts w:ascii="Arial" w:eastAsia="Arial Unicode MS" w:hAnsi="Arial" w:cs="Arial"/>
          <w:sz w:val="22"/>
          <w:szCs w:val="22"/>
          <w:u w:color="000000"/>
          <w:lang w:val="es-ES_tradnl"/>
        </w:rPr>
        <w:t>intensión</w:t>
      </w:r>
      <w:proofErr w:type="spellEnd"/>
      <w:r w:rsidRPr="00B66F9D">
        <w:rPr>
          <w:rFonts w:ascii="Arial" w:eastAsia="Arial Unicode MS" w:hAnsi="Arial" w:cs="Arial"/>
          <w:sz w:val="22"/>
          <w:szCs w:val="22"/>
          <w:u w:color="000000"/>
          <w:lang w:val="es-ES_tradnl"/>
        </w:rPr>
        <w:t xml:space="preserve"> de asumir una protección integral, esto se evidencia sobre todo en medidas no pecuniarias. A pesar del desarrollo y evolución de este campo lo que supone aspectos positivos para las partes, genera incertidumbre y desconocimiento </w:t>
      </w:r>
      <w:r w:rsidR="00737FF1">
        <w:rPr>
          <w:rFonts w:ascii="Arial" w:eastAsia="Arial Unicode MS" w:hAnsi="Arial" w:cs="Arial"/>
          <w:sz w:val="22"/>
          <w:szCs w:val="22"/>
          <w:u w:color="000000"/>
          <w:lang w:val="es-ES_tradnl"/>
        </w:rPr>
        <w:t>sobre todo al momento de ejecutar</w:t>
      </w:r>
      <w:r w:rsidRPr="00B66F9D">
        <w:rPr>
          <w:rFonts w:ascii="Arial" w:eastAsia="Arial Unicode MS" w:hAnsi="Arial" w:cs="Arial"/>
          <w:sz w:val="22"/>
          <w:szCs w:val="22"/>
          <w:u w:color="000000"/>
          <w:lang w:val="es-ES_tradnl"/>
        </w:rPr>
        <w:t xml:space="preserve"> las medias ordenadas, existen vacíos tanto normativos como estructurales que impiden que el cumplimiento se realice de forma eficaz y pronta.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Una jurisprudencia avanzada en el campo de la reparación de violaciones de derechos humanos, no genera los cambios esperados cuando los Estados no van a la par en el cumplimiento de las sentencias, por más que estas sentencias sean un referente para las demás cortes internacionales. Principalmente las medidas de  satisfacción, rehabilitación, y garantías de no repetición son desconocidas o poco practicadas por los Estados, y su aplicación plantea verdaderos desafíos.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Algunas medidas ponen en evidencia la desatención de los Estados en ciertos sectores de la sociedad, por ejemplo cuando se presentan casos de violaciones colectivas,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 xml:space="preserve">ha dispuesto que se desarrollen programas de vivienda, salud, educación y seguridad lo que supone grandes esfuerzos para los Estados responsables y la articulación de todos sus órganos e instituciones.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Es evidente que el plantear un catálogo definitivo sobre las medidas de reparación que se implementarán en cuanto caso sea resuelto por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es inconveniente ya que las medidas deben ser determinadas según las particularidades de cada caso, por lo tanto lo que es efectivo para unos y garantiza su derecho a la reparación, no lo es para otros, es necesario entonces que se haga una evaluación de los daños provocados tomando en cuenta los aportes de las partes y los criterios de peritos.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Entre las medidas de satisfacción dispuestas por la Corte la investigación de los hechos, y el posterior juzgamiento y sanción a los responsables o la búsqueda de restos mortales y la entrega a sus familiares, presenta un alto grado de incumplimiento. En el caso Las Palmeras vs Colombia por ejemplo, en la sentencia de reparaciones del 26 de noviembre del 2002 se ordenó tanto la investigación de los hechos para sancionar a los responsables como la entrega de los restos de las </w:t>
      </w:r>
      <w:proofErr w:type="spellStart"/>
      <w:r w:rsidRPr="00B66F9D">
        <w:rPr>
          <w:rFonts w:ascii="Arial" w:eastAsia="Arial Unicode MS" w:hAnsi="Arial" w:cs="Arial"/>
          <w:sz w:val="22"/>
          <w:szCs w:val="22"/>
          <w:u w:color="000000"/>
          <w:lang w:val="es-ES_tradnl"/>
        </w:rPr>
        <w:t>victimas</w:t>
      </w:r>
      <w:proofErr w:type="spellEnd"/>
      <w:r w:rsidRPr="00B66F9D">
        <w:rPr>
          <w:rFonts w:ascii="Arial" w:eastAsia="Arial Unicode MS" w:hAnsi="Arial" w:cs="Arial"/>
          <w:sz w:val="22"/>
          <w:szCs w:val="22"/>
          <w:u w:color="000000"/>
          <w:lang w:val="es-ES_tradnl"/>
        </w:rPr>
        <w:t xml:space="preserve"> a sus familiares, sobre estas obligaciones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emitió una resolución supervisando el cumplimiento de la sentencia, en la parte declarat</w:t>
      </w:r>
      <w:r w:rsidR="003B6227">
        <w:rPr>
          <w:rFonts w:ascii="Arial" w:eastAsia="Arial Unicode MS" w:hAnsi="Arial" w:cs="Arial"/>
          <w:sz w:val="22"/>
          <w:szCs w:val="22"/>
          <w:u w:color="000000"/>
          <w:lang w:val="es-ES_tradnl"/>
        </w:rPr>
        <w:t>iva de esta resolución señaló</w:t>
      </w:r>
      <w:r w:rsidRPr="00B66F9D">
        <w:rPr>
          <w:rFonts w:ascii="Arial" w:eastAsia="Arial Unicode MS" w:hAnsi="Arial" w:cs="Arial"/>
          <w:sz w:val="22"/>
          <w:szCs w:val="22"/>
          <w:u w:color="000000"/>
          <w:lang w:val="es-ES_tradnl"/>
        </w:rPr>
        <w:t xml:space="preserve"> que mantendrá abierto el procedimiento de supervisión de cumplimiento de los puntos que se encuentran pend</w:t>
      </w:r>
      <w:r w:rsidR="00737FF1">
        <w:rPr>
          <w:rFonts w:ascii="Arial" w:eastAsia="Arial Unicode MS" w:hAnsi="Arial" w:cs="Arial"/>
          <w:sz w:val="22"/>
          <w:szCs w:val="22"/>
          <w:u w:color="000000"/>
          <w:lang w:val="es-ES_tradnl"/>
        </w:rPr>
        <w:t>ientes de acatamiento y requirió</w:t>
      </w:r>
      <w:r w:rsidRPr="00B66F9D">
        <w:rPr>
          <w:rFonts w:ascii="Arial" w:eastAsia="Arial Unicode MS" w:hAnsi="Arial" w:cs="Arial"/>
          <w:sz w:val="22"/>
          <w:szCs w:val="22"/>
          <w:u w:color="000000"/>
          <w:lang w:val="es-ES_tradnl"/>
        </w:rPr>
        <w:t xml:space="preserve"> al Estado de Colombia que adopte todas las medidas que sean necesarias para dar efectivo y pronto acatamiento</w:t>
      </w:r>
      <w:r w:rsidR="003B6227" w:rsidRPr="00B66F9D">
        <w:rPr>
          <w:rFonts w:ascii="Arial" w:eastAsia="Arial Unicode MS" w:hAnsi="Arial" w:cs="Arial"/>
          <w:sz w:val="22"/>
          <w:szCs w:val="22"/>
          <w:u w:color="000000"/>
          <w:vertAlign w:val="superscript"/>
          <w:lang w:val="es-ES_tradnl"/>
        </w:rPr>
        <w:footnoteReference w:id="128"/>
      </w:r>
      <w:r w:rsidRPr="00B66F9D">
        <w:rPr>
          <w:rFonts w:ascii="Arial" w:eastAsia="Arial Unicode MS" w:hAnsi="Arial" w:cs="Arial"/>
          <w:sz w:val="22"/>
          <w:szCs w:val="22"/>
          <w:u w:color="000000"/>
          <w:lang w:val="es-ES_tradnl"/>
        </w:rPr>
        <w:t xml:space="preserve">. En estos casos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suele otorgar un plazo para que el Estado presente un informe con las medidas adoptadas para cumplir con los puntos pendientes de la sentencia.</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Es comprensible que estas medidas requieran de tiempo para producir resultados, sin embargo en algunos casos se observa total abandono y falta de cumplimiento, donde los Estados ni siquiera ponen en marcha planes de operación o disponen a instituciones y autoridades el inicio de las respectivas diligencias.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F6613F"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Otra de las medidas de satisfacción que suele ordenar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es la construcción de monumentos en homenaje a las víctimas, esta medida también es escasamente cumplida. En puntos como este</w:t>
      </w:r>
      <w:r w:rsidR="00737FF1">
        <w:rPr>
          <w:rFonts w:ascii="Arial" w:eastAsia="Arial Unicode MS" w:hAnsi="Arial" w:cs="Arial"/>
          <w:sz w:val="22"/>
          <w:szCs w:val="22"/>
          <w:u w:color="000000"/>
          <w:lang w:val="es-ES_tradnl"/>
        </w:rPr>
        <w:t>,</w:t>
      </w:r>
      <w:r w:rsidRPr="00B66F9D">
        <w:rPr>
          <w:rFonts w:ascii="Arial" w:eastAsia="Arial Unicode MS" w:hAnsi="Arial" w:cs="Arial"/>
          <w:sz w:val="22"/>
          <w:szCs w:val="22"/>
          <w:u w:color="000000"/>
          <w:lang w:val="es-ES_tradnl"/>
        </w:rPr>
        <w:t xml:space="preserve"> generalmente se presentan dificultades en la parte de cumplimiento debido a la falta de acuerdo entre el Estado y los representantes de las </w:t>
      </w:r>
      <w:proofErr w:type="spellStart"/>
      <w:r w:rsidRPr="00B66F9D">
        <w:rPr>
          <w:rFonts w:ascii="Arial" w:eastAsia="Arial Unicode MS" w:hAnsi="Arial" w:cs="Arial"/>
          <w:sz w:val="22"/>
          <w:szCs w:val="22"/>
          <w:u w:color="000000"/>
          <w:lang w:val="es-ES_tradnl"/>
        </w:rPr>
        <w:t>victimas</w:t>
      </w:r>
      <w:proofErr w:type="spellEnd"/>
      <w:r w:rsidRPr="00B66F9D">
        <w:rPr>
          <w:rFonts w:ascii="Arial" w:eastAsia="Arial Unicode MS" w:hAnsi="Arial" w:cs="Arial"/>
          <w:sz w:val="22"/>
          <w:szCs w:val="22"/>
          <w:u w:color="000000"/>
          <w:lang w:val="es-ES_tradnl"/>
        </w:rPr>
        <w:t xml:space="preserve"> en cuanto a la ubicación de los monumentos, sus dimensiones, los materiales a </w:t>
      </w:r>
      <w:r w:rsidRPr="00B66F9D">
        <w:rPr>
          <w:rFonts w:ascii="Arial" w:eastAsia="Arial Unicode MS" w:hAnsi="Arial" w:cs="Arial"/>
          <w:sz w:val="22"/>
          <w:szCs w:val="22"/>
          <w:u w:color="000000"/>
          <w:lang w:val="es-ES_tradnl"/>
        </w:rPr>
        <w:lastRenderedPageBreak/>
        <w:t xml:space="preserve">utilizarse, los recursos económicos necesarios e incluso la falta de coordinación en la administración pública sobre cuál será la institución encargada de la construcción.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también ha considerado dentro de las medidas de satisfacción que el Estado realice un acto público de reconocimiento de responsabilidad,  esencialmente se busca que este acto cuente con la participación de altas autoridades estatales. Frente a esta medida se han </w:t>
      </w:r>
      <w:proofErr w:type="spellStart"/>
      <w:r w:rsidRPr="00B66F9D">
        <w:rPr>
          <w:rFonts w:ascii="Arial" w:eastAsia="Arial Unicode MS" w:hAnsi="Arial" w:cs="Arial"/>
          <w:sz w:val="22"/>
          <w:szCs w:val="22"/>
          <w:u w:color="000000"/>
          <w:lang w:val="es-ES_tradnl"/>
        </w:rPr>
        <w:t>presentando</w:t>
      </w:r>
      <w:proofErr w:type="spellEnd"/>
      <w:r w:rsidRPr="00B66F9D">
        <w:rPr>
          <w:rFonts w:ascii="Arial" w:eastAsia="Arial Unicode MS" w:hAnsi="Arial" w:cs="Arial"/>
          <w:sz w:val="22"/>
          <w:szCs w:val="22"/>
          <w:u w:color="000000"/>
          <w:lang w:val="es-ES_tradnl"/>
        </w:rPr>
        <w:t xml:space="preserve"> dificultades respecto a qué autoridades deben presidir dichos actos, por un lado los representantes de las victimas manifiestan que se debe contar con el presidente o en caso de su ausencia con el vicepresidente, y por otro lado el Estado plantea que la presencia de ministros o autoridades similares bastaría para dar por cumplida la medida</w:t>
      </w:r>
      <w:r w:rsidR="00C1567F">
        <w:rPr>
          <w:rFonts w:ascii="Arial" w:eastAsia="Arial Unicode MS" w:hAnsi="Arial" w:cs="Arial"/>
          <w:sz w:val="22"/>
          <w:szCs w:val="22"/>
          <w:u w:color="000000"/>
          <w:lang w:val="es-ES_tradnl"/>
        </w:rPr>
        <w:t>.</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2473BA"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el debate sobre a qué autoridad le corresponde participar en estos actos se pierde mucho tiempo que junto con el incumplimiento de otras medidas causa malestar en las victimas y se pierde la confianza en el Estado y su compromiso para cumplir con la reparación. Lo cierto es que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ha determinado que el cumplimiento de esta medida puede darse sin que sea necesaria la presencia del presidente o el vicepresidente. </w:t>
      </w:r>
    </w:p>
    <w:p w:rsidR="002473BA" w:rsidRDefault="002473BA"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En el caso 19 Comerciantes vs Colombia, el Estado realizó el acto de reconocimiento de responsabilidades, sin embargo los representantes de las víctimas señalaron que la organización del mismo no había contado con la opinión de sus representados, se exigió además la prese</w:t>
      </w:r>
      <w:r w:rsidR="00737FF1">
        <w:rPr>
          <w:rFonts w:ascii="Arial" w:eastAsia="Arial Unicode MS" w:hAnsi="Arial" w:cs="Arial"/>
          <w:sz w:val="22"/>
          <w:szCs w:val="22"/>
          <w:u w:color="000000"/>
          <w:lang w:val="es-ES_tradnl"/>
        </w:rPr>
        <w:t>ncia del Presidente o V</w:t>
      </w:r>
      <w:r w:rsidRPr="00B66F9D">
        <w:rPr>
          <w:rFonts w:ascii="Arial" w:eastAsia="Arial Unicode MS" w:hAnsi="Arial" w:cs="Arial"/>
          <w:sz w:val="22"/>
          <w:szCs w:val="22"/>
          <w:u w:color="000000"/>
          <w:lang w:val="es-ES_tradnl"/>
        </w:rPr>
        <w:t xml:space="preserve">icepresidente de Colombia.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en este caso en particular determinó que la medida se cumplió pues el acto fue presidido por la Ministra de Relaciones Exteriores</w:t>
      </w:r>
      <w:r w:rsidR="00737FF1">
        <w:rPr>
          <w:rFonts w:ascii="Arial" w:eastAsia="Arial Unicode MS" w:hAnsi="Arial" w:cs="Arial"/>
          <w:sz w:val="22"/>
          <w:szCs w:val="22"/>
          <w:u w:color="000000"/>
          <w:lang w:val="es-ES_tradnl"/>
        </w:rPr>
        <w:t>,</w:t>
      </w:r>
      <w:r w:rsidRPr="00B66F9D">
        <w:rPr>
          <w:rFonts w:ascii="Arial" w:eastAsia="Arial Unicode MS" w:hAnsi="Arial" w:cs="Arial"/>
          <w:sz w:val="22"/>
          <w:szCs w:val="22"/>
          <w:u w:color="000000"/>
          <w:lang w:val="es-ES_tradnl"/>
        </w:rPr>
        <w:t xml:space="preserve"> además de la participación de autoridades de varias instituciones públicas, adicionalmente se consideró el hecho de que el Estado solventó gastos de estadía, movilización y manutención para los familiares de las </w:t>
      </w:r>
      <w:proofErr w:type="spellStart"/>
      <w:r w:rsidRPr="00B66F9D">
        <w:rPr>
          <w:rFonts w:ascii="Arial" w:eastAsia="Arial Unicode MS" w:hAnsi="Arial" w:cs="Arial"/>
          <w:sz w:val="22"/>
          <w:szCs w:val="22"/>
          <w:u w:color="000000"/>
          <w:lang w:val="es-ES_tradnl"/>
        </w:rPr>
        <w:t>victimas</w:t>
      </w:r>
      <w:proofErr w:type="spellEnd"/>
      <w:r w:rsidRPr="00B66F9D">
        <w:rPr>
          <w:rFonts w:ascii="Arial" w:eastAsia="Arial Unicode MS" w:hAnsi="Arial" w:cs="Arial"/>
          <w:sz w:val="22"/>
          <w:szCs w:val="22"/>
          <w:u w:color="000000"/>
          <w:lang w:val="es-ES_tradnl"/>
        </w:rPr>
        <w:t xml:space="preserve"> que habitaban en zonas distantes</w:t>
      </w:r>
      <w:r w:rsidRPr="00B66F9D">
        <w:rPr>
          <w:rFonts w:ascii="Arial" w:eastAsia="Arial Unicode MS" w:hAnsi="Arial" w:cs="Arial"/>
          <w:sz w:val="22"/>
          <w:szCs w:val="22"/>
          <w:u w:color="000000"/>
          <w:vertAlign w:val="superscript"/>
          <w:lang w:val="es-ES_tradnl"/>
        </w:rPr>
        <w:footnoteReference w:id="129"/>
      </w:r>
      <w:r w:rsidRPr="00B66F9D">
        <w:rPr>
          <w:rFonts w:ascii="Arial" w:eastAsia="Arial Unicode MS" w:hAnsi="Arial" w:cs="Arial"/>
          <w:sz w:val="22"/>
          <w:szCs w:val="22"/>
          <w:u w:color="000000"/>
          <w:lang w:val="es-ES_tradnl"/>
        </w:rPr>
        <w:t xml:space="preserve">. </w:t>
      </w:r>
    </w:p>
    <w:p w:rsidR="00AA385E" w:rsidRPr="00B66F9D" w:rsidRDefault="00AA385E" w:rsidP="00B66F9D">
      <w:pPr>
        <w:pStyle w:val="Sinespaciado"/>
        <w:spacing w:line="360" w:lineRule="auto"/>
        <w:jc w:val="both"/>
        <w:rPr>
          <w:rFonts w:ascii="Arial" w:eastAsia="Arial Unicode MS" w:hAnsi="Arial" w:cs="Arial"/>
          <w:sz w:val="22"/>
          <w:szCs w:val="22"/>
          <w:u w:color="000000"/>
          <w:lang w:val="es-ES_tradnl"/>
        </w:rPr>
      </w:pPr>
    </w:p>
    <w:p w:rsidR="008F2951"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Por otro lado el aspecto más importante en esta medida es que se cuente con la participación de las víctimas y sus familiares para que de este modo recuperen su dignidad y se exprese un verdadero compromiso por proteger sus derechos vulnerados. Otro punto a tomar en cuenta es que se incluya la participación de las autoridades de las instituciones a las cuales corresponden los agentes de Estado que propiciaron la</w:t>
      </w:r>
      <w:r w:rsidR="0037320C">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lastRenderedPageBreak/>
        <w:t>responsabilidad internacional del Estado, esta particularidad en el acto de reconocimiento es muy importante para las víctimas  en el proceso de reparación</w:t>
      </w:r>
      <w:r w:rsidR="0037320C">
        <w:rPr>
          <w:rStyle w:val="Refdenotaalpie"/>
          <w:rFonts w:ascii="Arial" w:eastAsia="Arial Unicode MS" w:hAnsi="Arial" w:cs="Arial"/>
          <w:sz w:val="22"/>
          <w:szCs w:val="22"/>
          <w:u w:color="000000"/>
          <w:lang w:val="es-ES_tradnl"/>
        </w:rPr>
        <w:footnoteReference w:id="130"/>
      </w:r>
      <w:r w:rsidRPr="00B66F9D">
        <w:rPr>
          <w:rFonts w:ascii="Arial" w:eastAsia="Arial Unicode MS" w:hAnsi="Arial" w:cs="Arial"/>
          <w:sz w:val="22"/>
          <w:szCs w:val="22"/>
          <w:u w:color="000000"/>
          <w:lang w:val="es-ES_tradnl"/>
        </w:rPr>
        <w:t xml:space="preserve">.   </w:t>
      </w:r>
    </w:p>
    <w:p w:rsidR="00737FF1" w:rsidRPr="00B66F9D" w:rsidRDefault="00737FF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Además de medidas de satisfacción,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ordena medidas de rehabilitación que incluyen tratamiento médico y psicológico especializado para las víctimas y sus familiares. Si bien la Corte </w:t>
      </w:r>
      <w:r w:rsidR="00737FF1">
        <w:rPr>
          <w:rFonts w:ascii="Arial" w:eastAsia="Arial Unicode MS" w:hAnsi="Arial" w:cs="Arial"/>
          <w:sz w:val="22"/>
          <w:szCs w:val="22"/>
          <w:u w:color="000000"/>
          <w:lang w:val="es-ES_tradnl"/>
        </w:rPr>
        <w:t>IDH</w:t>
      </w:r>
      <w:r w:rsidR="00737FF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determina que el Estado debe hacerse cargo, al momento de su ejecución se presentan dificultades para  establecer si los tratamientos deben ser prestados por instituciones públicas o privadas, lo cierto es que tales tratamientos exigen un diagnóstico previo que determinará qué procedimiento será más beneficioso en cada caso y si para alcanzar los fines de la reparación integral conviene que lo realice una institución pública o privada.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624DD9"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Para que las diligencias en este tipo de medidas se realicen de forma inmediata se debe contar con procedimientos generales claros, señalar en qué condiciones se realizarán los diagnósticos y qué casos admitirán un tratamiento especializado por parte de instituciones privadas; adicionalmente si bien la Corte</w:t>
      </w:r>
      <w:r w:rsidR="00737FF1" w:rsidRPr="00737FF1">
        <w:rPr>
          <w:rFonts w:ascii="Arial" w:eastAsia="Arial Unicode MS" w:hAnsi="Arial" w:cs="Arial"/>
          <w:sz w:val="22"/>
          <w:szCs w:val="22"/>
          <w:u w:color="000000"/>
          <w:lang w:val="es-ES_tradnl"/>
        </w:rPr>
        <w:t xml:space="preserve"> </w:t>
      </w:r>
      <w:r w:rsidR="00737FF1">
        <w:rPr>
          <w:rFonts w:ascii="Arial" w:eastAsia="Arial Unicode MS" w:hAnsi="Arial" w:cs="Arial"/>
          <w:sz w:val="22"/>
          <w:szCs w:val="22"/>
          <w:u w:color="000000"/>
          <w:lang w:val="es-ES_tradnl"/>
        </w:rPr>
        <w:t>IDH</w:t>
      </w:r>
      <w:r w:rsidRPr="00B66F9D">
        <w:rPr>
          <w:rFonts w:ascii="Arial" w:eastAsia="Arial Unicode MS" w:hAnsi="Arial" w:cs="Arial"/>
          <w:sz w:val="22"/>
          <w:szCs w:val="22"/>
          <w:u w:color="000000"/>
          <w:lang w:val="es-ES_tradnl"/>
        </w:rPr>
        <w:t xml:space="preserve"> determina que estos tratamientos deben realizarse de forma inmediata, la duración de cada uno corresponderá a la necesidad de las víctimas, lo que supone la evaluación periódica de los tratamientos y la conveniencia de que se extiendan según las recomendaciones de los profesionales. </w:t>
      </w:r>
    </w:p>
    <w:p w:rsidR="00624DD9" w:rsidRDefault="00624DD9"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el caso de las Hermanas Serrano Cruz vs El Salvador, la Corte </w:t>
      </w:r>
      <w:r w:rsidR="00EA5518">
        <w:rPr>
          <w:rFonts w:ascii="Arial" w:eastAsia="Arial Unicode MS" w:hAnsi="Arial" w:cs="Arial"/>
          <w:sz w:val="22"/>
          <w:szCs w:val="22"/>
          <w:u w:color="000000"/>
          <w:lang w:val="es-ES_tradnl"/>
        </w:rPr>
        <w:t>IDH</w:t>
      </w:r>
      <w:r w:rsidR="00EA5518"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ordenó por medio de sentencia del 1 de marzo de 2005 que el Estado brinde gratuitamente atención médica especializada a los familiares de las víctimas, incluyendo los medicamentos que éstos requieran; frente a ello la Corte </w:t>
      </w:r>
      <w:r w:rsidR="00EA5518">
        <w:rPr>
          <w:rFonts w:ascii="Arial" w:eastAsia="Arial Unicode MS" w:hAnsi="Arial" w:cs="Arial"/>
          <w:sz w:val="22"/>
          <w:szCs w:val="22"/>
          <w:u w:color="000000"/>
          <w:lang w:val="es-ES_tradnl"/>
        </w:rPr>
        <w:t>IDH</w:t>
      </w:r>
      <w:r w:rsidR="00EA5518"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mediante resolución de cumplimiento de sentencia del 3 de febrero del 2010 resolvió que mantendrá abierto el procedimiento de supervisión puesto que este punto se encontraba pendiente de acatamiento por parte del Estado</w:t>
      </w:r>
      <w:r w:rsidRPr="00B66F9D">
        <w:rPr>
          <w:rFonts w:ascii="Arial" w:eastAsia="Arial Unicode MS" w:hAnsi="Arial" w:cs="Arial"/>
          <w:sz w:val="22"/>
          <w:szCs w:val="22"/>
          <w:u w:color="000000"/>
          <w:vertAlign w:val="superscript"/>
          <w:lang w:val="es-ES_tradnl"/>
        </w:rPr>
        <w:footnoteReference w:id="131"/>
      </w:r>
      <w:r w:rsidRPr="00B66F9D">
        <w:rPr>
          <w:rFonts w:ascii="Arial" w:eastAsia="Arial Unicode MS" w:hAnsi="Arial" w:cs="Arial"/>
          <w:sz w:val="22"/>
          <w:szCs w:val="22"/>
          <w:u w:color="000000"/>
          <w:lang w:val="es-ES_tradnl"/>
        </w:rPr>
        <w:t xml:space="preserv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Entre las medidas no pecuniarias que determina la Corte </w:t>
      </w:r>
      <w:r w:rsidR="00EA5518">
        <w:rPr>
          <w:rFonts w:ascii="Arial" w:eastAsia="Arial Unicode MS" w:hAnsi="Arial" w:cs="Arial"/>
          <w:sz w:val="22"/>
          <w:szCs w:val="22"/>
          <w:u w:color="000000"/>
          <w:lang w:val="es-ES_tradnl"/>
        </w:rPr>
        <w:t>IDH</w:t>
      </w:r>
      <w:r w:rsidR="00EA5518"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 xml:space="preserve">se encuentran aquellas que buscan que los hechos violatorios a los derechos humanos no se vuelvan a repetir, tales medidas por un lado tienen por objeto poner fin a circunstancias que propician que dentro de los Estados se generen vulneraciones, por ello usualmente se ordenan reformas en la </w:t>
      </w:r>
      <w:r w:rsidRPr="00B66F9D">
        <w:rPr>
          <w:rFonts w:ascii="Arial" w:eastAsia="Arial Unicode MS" w:hAnsi="Arial" w:cs="Arial"/>
          <w:sz w:val="22"/>
          <w:szCs w:val="22"/>
          <w:u w:color="000000"/>
          <w:lang w:val="es-ES" w:eastAsia="es-ES"/>
        </w:rPr>
        <w:lastRenderedPageBreak/>
        <w:t>normativa interna, así como la derogación o creación de leyes y cambios estructurales en los Estados. Estas medias tienen efectos que sobrepasan el carácter individual de las reparaciones en referencia a las víctimas y sus familiares; sus efectos son generales pues promueven mejoras en las prácticas administrativas y el planteamiento de nuevas políticas públicas, sin duda su cumplimiento constituye un reto para los Estados  pues implica la gestión y coordinación de varios sectores públicos y la participación de la ciudadanía</w:t>
      </w:r>
      <w:r w:rsidR="0041436B">
        <w:rPr>
          <w:rStyle w:val="Refdenotaalpie"/>
          <w:rFonts w:ascii="Arial" w:eastAsia="Arial Unicode MS" w:hAnsi="Arial" w:cs="Arial"/>
          <w:sz w:val="22"/>
          <w:szCs w:val="22"/>
          <w:u w:color="000000"/>
          <w:lang w:val="es-ES" w:eastAsia="es-ES"/>
        </w:rPr>
        <w:footnoteReference w:id="132"/>
      </w:r>
      <w:r w:rsidRPr="00B66F9D">
        <w:rPr>
          <w:rFonts w:ascii="Arial" w:eastAsia="Arial Unicode MS" w:hAnsi="Arial" w:cs="Arial"/>
          <w:sz w:val="22"/>
          <w:szCs w:val="22"/>
          <w:u w:color="000000"/>
          <w:lang w:val="es-ES" w:eastAsia="es-ES"/>
        </w:rPr>
        <w:t xml:space="preserve">. </w:t>
      </w:r>
    </w:p>
    <w:p w:rsidR="00AA385E" w:rsidRPr="00B66F9D" w:rsidRDefault="00AA385E"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Este tipo de medidas además promueve el desarrollo de la protección a los derechos humanos ya que evalúa ciertos aspectos que en los Estados podrían contravenir las disposiciones de instrumentos internacionales y especialmente de la Convención Americana, por ello estas medidas deben ser asumidas como una oportunidad de aportar al Sistema Interamericano y beneficiar al desarrollo regional en materia de derechos humanos.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Antes de concluir este tema, si bien no se trata de una medida de reparación como tal vale la pena hacer una referencia al valor reparador que tiene la audiencia en la Corte </w:t>
      </w:r>
      <w:r w:rsidR="00EA5518">
        <w:rPr>
          <w:rFonts w:ascii="Arial" w:eastAsia="Arial Unicode MS" w:hAnsi="Arial" w:cs="Arial"/>
          <w:sz w:val="22"/>
          <w:szCs w:val="22"/>
          <w:u w:color="000000"/>
          <w:lang w:val="es-ES_tradnl"/>
        </w:rPr>
        <w:t>IDH</w:t>
      </w:r>
      <w:r w:rsidR="00EA5518"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para las víctimas. La apertura que se otorga a las víctimas y sus familiares para expresarse en esta instancia representa la culminación de una de las metas en el camino por la búsqueda de justicia, la consideración a sus testimonios implica además el compromiso de este órgano por determinar la existencia de una violación y el estableci</w:t>
      </w:r>
      <w:r w:rsidR="0072795A">
        <w:rPr>
          <w:rFonts w:ascii="Arial" w:eastAsia="Arial Unicode MS" w:hAnsi="Arial" w:cs="Arial"/>
          <w:sz w:val="22"/>
          <w:szCs w:val="22"/>
          <w:u w:color="000000"/>
          <w:lang w:val="es-ES" w:eastAsia="es-ES"/>
        </w:rPr>
        <w:t>miento de medidas de reparación.</w:t>
      </w:r>
      <w:r w:rsidRPr="00B66F9D">
        <w:rPr>
          <w:rFonts w:ascii="Arial" w:eastAsia="Arial Unicode MS" w:hAnsi="Arial" w:cs="Arial"/>
          <w:sz w:val="22"/>
          <w:szCs w:val="22"/>
          <w:u w:color="000000"/>
          <w:lang w:val="es-ES" w:eastAsia="es-ES"/>
        </w:rPr>
        <w:t xml:space="preserve"> </w:t>
      </w:r>
      <w:r w:rsidR="0072795A" w:rsidRPr="00B66F9D">
        <w:rPr>
          <w:rFonts w:ascii="Arial" w:eastAsia="Arial Unicode MS" w:hAnsi="Arial" w:cs="Arial"/>
          <w:sz w:val="22"/>
          <w:szCs w:val="22"/>
          <w:u w:color="000000"/>
          <w:lang w:val="es-ES" w:eastAsia="es-ES"/>
        </w:rPr>
        <w:t>La</w:t>
      </w:r>
      <w:r w:rsidRPr="00B66F9D">
        <w:rPr>
          <w:rFonts w:ascii="Arial" w:eastAsia="Arial Unicode MS" w:hAnsi="Arial" w:cs="Arial"/>
          <w:sz w:val="22"/>
          <w:szCs w:val="22"/>
          <w:u w:color="000000"/>
          <w:lang w:val="es-ES" w:eastAsia="es-ES"/>
        </w:rPr>
        <w:t xml:space="preserve"> presencia de las víctimas o sus familiares en la audiencia les abre un panoram</w:t>
      </w:r>
      <w:r w:rsidR="0072795A">
        <w:rPr>
          <w:rFonts w:ascii="Arial" w:eastAsia="Arial Unicode MS" w:hAnsi="Arial" w:cs="Arial"/>
          <w:sz w:val="22"/>
          <w:szCs w:val="22"/>
          <w:u w:color="000000"/>
          <w:lang w:val="es-ES" w:eastAsia="es-ES"/>
        </w:rPr>
        <w:t>a a las actuaciones de la Corte</w:t>
      </w:r>
      <w:r w:rsidRPr="00B66F9D">
        <w:rPr>
          <w:rFonts w:ascii="Arial" w:eastAsia="Arial Unicode MS" w:hAnsi="Arial" w:cs="Arial"/>
          <w:sz w:val="22"/>
          <w:szCs w:val="22"/>
          <w:u w:color="000000"/>
          <w:lang w:val="es-ES" w:eastAsia="es-ES"/>
        </w:rPr>
        <w:t xml:space="preserve"> </w:t>
      </w:r>
      <w:r w:rsidR="00EA5518">
        <w:rPr>
          <w:rFonts w:ascii="Arial" w:eastAsia="Arial Unicode MS" w:hAnsi="Arial" w:cs="Arial"/>
          <w:sz w:val="22"/>
          <w:szCs w:val="22"/>
          <w:u w:color="000000"/>
          <w:lang w:val="es-ES_tradnl"/>
        </w:rPr>
        <w:t>IDH</w:t>
      </w:r>
      <w:r w:rsidR="00EA5518"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que ordena la participación de las diferentes part</w:t>
      </w:r>
      <w:r w:rsidR="0072795A">
        <w:rPr>
          <w:rFonts w:ascii="Arial" w:eastAsia="Arial Unicode MS" w:hAnsi="Arial" w:cs="Arial"/>
          <w:sz w:val="22"/>
          <w:szCs w:val="22"/>
          <w:u w:color="000000"/>
          <w:lang w:val="es-ES" w:eastAsia="es-ES"/>
        </w:rPr>
        <w:t>es y la intervención de peritos,</w:t>
      </w:r>
      <w:r w:rsidRPr="00B66F9D">
        <w:rPr>
          <w:rFonts w:ascii="Arial" w:eastAsia="Arial Unicode MS" w:hAnsi="Arial" w:cs="Arial"/>
          <w:sz w:val="22"/>
          <w:szCs w:val="22"/>
          <w:u w:color="000000"/>
          <w:lang w:val="es-ES" w:eastAsia="es-ES"/>
        </w:rPr>
        <w:t xml:space="preserve"> se evidencia</w:t>
      </w:r>
      <w:r w:rsidR="0072795A">
        <w:rPr>
          <w:rFonts w:ascii="Arial" w:eastAsia="Arial Unicode MS" w:hAnsi="Arial" w:cs="Arial"/>
          <w:sz w:val="22"/>
          <w:szCs w:val="22"/>
          <w:u w:color="000000"/>
          <w:lang w:val="es-ES" w:eastAsia="es-ES"/>
        </w:rPr>
        <w:t xml:space="preserve"> que en torno a las víctimas</w:t>
      </w:r>
      <w:r w:rsidRPr="00B66F9D">
        <w:rPr>
          <w:rFonts w:ascii="Arial" w:eastAsia="Arial Unicode MS" w:hAnsi="Arial" w:cs="Arial"/>
          <w:sz w:val="22"/>
          <w:szCs w:val="22"/>
          <w:u w:color="000000"/>
          <w:lang w:val="es-ES" w:eastAsia="es-ES"/>
        </w:rPr>
        <w:t xml:space="preserve"> se genera un proceso para garantizar la protección y respeto a sus derechos. El compromiso de la Corte </w:t>
      </w:r>
      <w:r w:rsidR="00EA5518">
        <w:rPr>
          <w:rFonts w:ascii="Arial" w:eastAsia="Arial Unicode MS" w:hAnsi="Arial" w:cs="Arial"/>
          <w:sz w:val="22"/>
          <w:szCs w:val="22"/>
          <w:u w:color="000000"/>
          <w:lang w:val="es-ES_tradnl"/>
        </w:rPr>
        <w:t>IDH</w:t>
      </w:r>
      <w:r w:rsidR="00EA5518"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 xml:space="preserve">es que se asegure la participación de las </w:t>
      </w:r>
      <w:proofErr w:type="spellStart"/>
      <w:r w:rsidRPr="00B66F9D">
        <w:rPr>
          <w:rFonts w:ascii="Arial" w:eastAsia="Arial Unicode MS" w:hAnsi="Arial" w:cs="Arial"/>
          <w:sz w:val="22"/>
          <w:szCs w:val="22"/>
          <w:u w:color="000000"/>
          <w:lang w:val="es-ES" w:eastAsia="es-ES"/>
        </w:rPr>
        <w:t>victimas</w:t>
      </w:r>
      <w:proofErr w:type="spellEnd"/>
      <w:r w:rsidRPr="00B66F9D">
        <w:rPr>
          <w:rFonts w:ascii="Arial" w:eastAsia="Arial Unicode MS" w:hAnsi="Arial" w:cs="Arial"/>
          <w:sz w:val="22"/>
          <w:szCs w:val="22"/>
          <w:u w:color="000000"/>
          <w:lang w:val="es-ES" w:eastAsia="es-ES"/>
        </w:rPr>
        <w:t xml:space="preserve"> en cada etapa de este proceso y no se generen circunstancias de abandono o frustración</w:t>
      </w:r>
      <w:r w:rsidR="00267743">
        <w:rPr>
          <w:rStyle w:val="Refdenotaalpie"/>
          <w:rFonts w:ascii="Arial" w:eastAsia="Arial Unicode MS" w:hAnsi="Arial" w:cs="Arial"/>
          <w:sz w:val="22"/>
          <w:szCs w:val="22"/>
          <w:u w:color="000000"/>
          <w:lang w:val="es-ES" w:eastAsia="es-ES"/>
        </w:rPr>
        <w:footnoteReference w:id="133"/>
      </w:r>
      <w:r w:rsidRPr="00B66F9D">
        <w:rPr>
          <w:rFonts w:ascii="Arial" w:eastAsia="Arial Unicode MS" w:hAnsi="Arial" w:cs="Arial"/>
          <w:sz w:val="22"/>
          <w:szCs w:val="22"/>
          <w:u w:color="000000"/>
          <w:lang w:val="es-ES" w:eastAsia="es-ES"/>
        </w:rPr>
        <w:t xml:space="preserv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8F2951" w:rsidRDefault="008F2951" w:rsidP="00B66F9D">
      <w:pPr>
        <w:pStyle w:val="Sinespaciado"/>
        <w:spacing w:line="360" w:lineRule="auto"/>
        <w:jc w:val="both"/>
        <w:rPr>
          <w:rFonts w:eastAsia="Arial Unicode MS" w:hAnsi="Arial"/>
          <w:u w:color="000000"/>
          <w:lang w:val="es-ES" w:eastAsia="es-ES"/>
        </w:rPr>
      </w:pPr>
      <w:r w:rsidRPr="00B66F9D">
        <w:rPr>
          <w:rFonts w:ascii="Arial" w:eastAsia="Arial Unicode MS" w:hAnsi="Arial" w:cs="Arial"/>
          <w:sz w:val="22"/>
          <w:szCs w:val="22"/>
          <w:u w:color="000000"/>
          <w:lang w:val="es-ES" w:eastAsia="es-ES"/>
        </w:rPr>
        <w:t>Los avances en las medidas de reparación generan retos que muestran la falta de experiencia o las variantes en la voluntad política</w:t>
      </w:r>
      <w:r w:rsidR="00EA5518">
        <w:rPr>
          <w:rFonts w:ascii="Arial" w:eastAsia="Arial Unicode MS" w:hAnsi="Arial" w:cs="Arial"/>
          <w:sz w:val="22"/>
          <w:szCs w:val="22"/>
          <w:u w:color="000000"/>
          <w:lang w:val="es-ES" w:eastAsia="es-ES"/>
        </w:rPr>
        <w:t xml:space="preserve"> de los Estados</w:t>
      </w:r>
      <w:r w:rsidRPr="00B66F9D">
        <w:rPr>
          <w:rFonts w:ascii="Arial" w:eastAsia="Arial Unicode MS" w:hAnsi="Arial" w:cs="Arial"/>
          <w:sz w:val="22"/>
          <w:szCs w:val="22"/>
          <w:u w:color="000000"/>
          <w:lang w:val="es-ES" w:eastAsia="es-ES"/>
        </w:rPr>
        <w:t xml:space="preserve">, además dificultades de coordinación y persistencia en los problemas que provocan impunidad. Los Estados </w:t>
      </w:r>
      <w:r w:rsidRPr="00B66F9D">
        <w:rPr>
          <w:rFonts w:ascii="Arial" w:eastAsia="Arial Unicode MS" w:hAnsi="Arial" w:cs="Arial"/>
          <w:sz w:val="22"/>
          <w:szCs w:val="22"/>
          <w:u w:color="000000"/>
          <w:lang w:val="es-ES" w:eastAsia="es-ES"/>
        </w:rPr>
        <w:lastRenderedPageBreak/>
        <w:t xml:space="preserve">deben adoptar mecanismos para el cumplimiento de medidas como programas de salud, cambios estructurales o legislativos, la superación de obstáculos de la justicia o la investigación en casos de desaparecidos. El cumplimiento de estas medidas incluye también un cambio en la relación con las victimas pues deben ser el eje de la reparación. </w:t>
      </w:r>
      <w:r w:rsidRPr="008F2951">
        <w:rPr>
          <w:rFonts w:eastAsia="Arial Unicode MS"/>
          <w:u w:color="000000"/>
          <w:lang w:val="es-ES" w:eastAsia="es-ES"/>
        </w:rPr>
        <w:t xml:space="preserve">            </w:t>
      </w:r>
    </w:p>
    <w:p w:rsidR="008F2951" w:rsidRPr="00B656C2" w:rsidRDefault="00651974" w:rsidP="00B656C2">
      <w:pPr>
        <w:pStyle w:val="Ttulo2"/>
        <w:spacing w:line="360" w:lineRule="auto"/>
        <w:jc w:val="both"/>
        <w:rPr>
          <w:rFonts w:ascii="Arial" w:eastAsia="Arial Unicode MS" w:hAnsi="Arial" w:cs="Arial"/>
          <w:b w:val="0"/>
          <w:color w:val="auto"/>
          <w:sz w:val="24"/>
          <w:szCs w:val="24"/>
          <w:u w:color="000000"/>
          <w:lang w:val="es-ES_tradnl"/>
        </w:rPr>
      </w:pPr>
      <w:bookmarkStart w:id="20" w:name="_Toc356432257"/>
      <w:r w:rsidRPr="00B656C2">
        <w:rPr>
          <w:rFonts w:ascii="Arial" w:eastAsia="Arial Unicode MS" w:hAnsi="Arial" w:cs="Arial"/>
          <w:color w:val="auto"/>
          <w:sz w:val="24"/>
          <w:szCs w:val="24"/>
          <w:u w:color="000000"/>
          <w:lang w:val="es-ES_tradnl"/>
        </w:rPr>
        <w:t>2.2.</w:t>
      </w:r>
      <w:r w:rsidRPr="00B656C2">
        <w:rPr>
          <w:rFonts w:ascii="Arial" w:eastAsia="Arial Unicode MS" w:hAnsi="Arial" w:cs="Arial"/>
          <w:color w:val="auto"/>
          <w:sz w:val="24"/>
          <w:szCs w:val="24"/>
          <w:u w:color="000000"/>
          <w:lang w:val="es-ES_tradnl"/>
        </w:rPr>
        <w:tab/>
        <w:t>Falta de claridad en la sentencias de la Corte IDH</w:t>
      </w:r>
      <w:bookmarkEnd w:id="20"/>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lang w:val="es-ES" w:eastAsia="es-ES"/>
        </w:rPr>
      </w:pPr>
      <w:r w:rsidRPr="00B66F9D">
        <w:rPr>
          <w:rFonts w:ascii="Arial" w:eastAsia="Arial Unicode MS" w:hAnsi="Arial" w:cs="Arial"/>
          <w:sz w:val="22"/>
          <w:szCs w:val="22"/>
          <w:lang w:val="es-ES" w:eastAsia="es-ES"/>
        </w:rPr>
        <w:t xml:space="preserve">La falta de claridad en las sentencias de la Corte </w:t>
      </w:r>
      <w:r w:rsidR="003545E5">
        <w:rPr>
          <w:rFonts w:ascii="Arial" w:eastAsia="Arial Unicode MS" w:hAnsi="Arial" w:cs="Arial"/>
          <w:sz w:val="22"/>
          <w:szCs w:val="22"/>
          <w:u w:color="000000"/>
          <w:lang w:val="es-ES_tradnl"/>
        </w:rPr>
        <w:t>IDH</w:t>
      </w:r>
      <w:r w:rsidR="003545E5" w:rsidRPr="00B66F9D">
        <w:rPr>
          <w:rFonts w:ascii="Arial" w:eastAsia="Arial Unicode MS" w:hAnsi="Arial" w:cs="Arial"/>
          <w:sz w:val="22"/>
          <w:szCs w:val="22"/>
          <w:lang w:val="es-ES" w:eastAsia="es-ES"/>
        </w:rPr>
        <w:t xml:space="preserve"> </w:t>
      </w:r>
      <w:r w:rsidRPr="00B66F9D">
        <w:rPr>
          <w:rFonts w:ascii="Arial" w:eastAsia="Arial Unicode MS" w:hAnsi="Arial" w:cs="Arial"/>
          <w:sz w:val="22"/>
          <w:szCs w:val="22"/>
          <w:lang w:val="es-ES" w:eastAsia="es-ES"/>
        </w:rPr>
        <w:t xml:space="preserve">es uno de los argumentos presentados por los Estados responsables cuando éstos son señalados por el incumplimiento de las medidas de reparación, aducen que la existencia de </w:t>
      </w:r>
      <w:proofErr w:type="spellStart"/>
      <w:r w:rsidRPr="00B66F9D">
        <w:rPr>
          <w:rFonts w:ascii="Arial" w:eastAsia="Arial Unicode MS" w:hAnsi="Arial" w:cs="Arial"/>
          <w:sz w:val="22"/>
          <w:szCs w:val="22"/>
          <w:lang w:val="es-ES" w:eastAsia="es-ES"/>
        </w:rPr>
        <w:t>vacios</w:t>
      </w:r>
      <w:proofErr w:type="spellEnd"/>
      <w:r w:rsidRPr="00B66F9D">
        <w:rPr>
          <w:rFonts w:ascii="Arial" w:eastAsia="Arial Unicode MS" w:hAnsi="Arial" w:cs="Arial"/>
          <w:sz w:val="22"/>
          <w:szCs w:val="22"/>
          <w:lang w:val="es-ES" w:eastAsia="es-ES"/>
        </w:rPr>
        <w:t xml:space="preserve"> y falta de concreción genera</w:t>
      </w:r>
      <w:r w:rsidR="00B3601B">
        <w:rPr>
          <w:rFonts w:ascii="Arial" w:eastAsia="Arial Unicode MS" w:hAnsi="Arial" w:cs="Arial"/>
          <w:sz w:val="22"/>
          <w:szCs w:val="22"/>
          <w:lang w:val="es-ES" w:eastAsia="es-ES"/>
        </w:rPr>
        <w:t>n</w:t>
      </w:r>
      <w:r w:rsidRPr="00B66F9D">
        <w:rPr>
          <w:rFonts w:ascii="Arial" w:eastAsia="Arial Unicode MS" w:hAnsi="Arial" w:cs="Arial"/>
          <w:sz w:val="22"/>
          <w:szCs w:val="22"/>
          <w:lang w:val="es-ES" w:eastAsia="es-ES"/>
        </w:rPr>
        <w:t xml:space="preserve"> dificultades para el pleno cumplimiento. Sin embargo</w:t>
      </w:r>
      <w:r w:rsidR="003545E5">
        <w:rPr>
          <w:rFonts w:ascii="Arial" w:eastAsia="Arial Unicode MS" w:hAnsi="Arial" w:cs="Arial"/>
          <w:sz w:val="22"/>
          <w:szCs w:val="22"/>
          <w:lang w:val="es-ES" w:eastAsia="es-ES"/>
        </w:rPr>
        <w:t>,</w:t>
      </w:r>
      <w:r w:rsidRPr="00B66F9D">
        <w:rPr>
          <w:rFonts w:ascii="Arial" w:eastAsia="Arial Unicode MS" w:hAnsi="Arial" w:cs="Arial"/>
          <w:sz w:val="22"/>
          <w:szCs w:val="22"/>
          <w:lang w:val="es-ES" w:eastAsia="es-ES"/>
        </w:rPr>
        <w:t xml:space="preserve"> los Estados pueden solicitar a la Corte </w:t>
      </w:r>
      <w:r w:rsidR="003545E5">
        <w:rPr>
          <w:rFonts w:ascii="Arial" w:eastAsia="Arial Unicode MS" w:hAnsi="Arial" w:cs="Arial"/>
          <w:sz w:val="22"/>
          <w:szCs w:val="22"/>
          <w:u w:color="000000"/>
          <w:lang w:val="es-ES_tradnl"/>
        </w:rPr>
        <w:t>IDH</w:t>
      </w:r>
      <w:r w:rsidR="003545E5" w:rsidRPr="00B66F9D">
        <w:rPr>
          <w:rFonts w:ascii="Arial" w:eastAsia="Arial Unicode MS" w:hAnsi="Arial" w:cs="Arial"/>
          <w:sz w:val="22"/>
          <w:szCs w:val="22"/>
          <w:lang w:val="es-ES" w:eastAsia="es-ES"/>
        </w:rPr>
        <w:t xml:space="preserve"> </w:t>
      </w:r>
      <w:r w:rsidRPr="00B66F9D">
        <w:rPr>
          <w:rFonts w:ascii="Arial" w:eastAsia="Arial Unicode MS" w:hAnsi="Arial" w:cs="Arial"/>
          <w:sz w:val="22"/>
          <w:szCs w:val="22"/>
          <w:lang w:val="es-ES" w:eastAsia="es-ES"/>
        </w:rPr>
        <w:t>la interpretación de la sentencia según lo establecido en el artículo 67 de la Convención Interamericana con el fin de que se dé precisión y se determine el alcance de las disposiciones que generan confusión</w:t>
      </w:r>
      <w:r w:rsidRPr="00B66F9D">
        <w:rPr>
          <w:rFonts w:ascii="Arial" w:eastAsia="Arial Unicode MS" w:hAnsi="Arial" w:cs="Arial"/>
          <w:sz w:val="22"/>
          <w:szCs w:val="22"/>
          <w:vertAlign w:val="superscript"/>
          <w:lang w:val="es-ES" w:eastAsia="es-ES"/>
        </w:rPr>
        <w:footnoteReference w:id="134"/>
      </w:r>
      <w:r w:rsidRPr="00B66F9D">
        <w:rPr>
          <w:rFonts w:ascii="Arial" w:eastAsia="Arial Unicode MS" w:hAnsi="Arial" w:cs="Arial"/>
          <w:sz w:val="22"/>
          <w:szCs w:val="22"/>
          <w:lang w:val="es-ES" w:eastAsia="es-ES"/>
        </w:rPr>
        <w:t xml:space="preserve">. A pesar de la existencia de este mecanismo, este argumento continúa planteándose y en ciertos casos cuando es implementado, no facilita el cumplimiento de las sentencias.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el caso </w:t>
      </w:r>
      <w:proofErr w:type="spellStart"/>
      <w:r w:rsidRPr="00B66F9D">
        <w:rPr>
          <w:rFonts w:ascii="Arial" w:eastAsia="Arial Unicode MS" w:hAnsi="Arial" w:cs="Arial"/>
          <w:sz w:val="22"/>
          <w:szCs w:val="22"/>
          <w:u w:color="000000"/>
          <w:lang w:val="es-ES_tradnl"/>
        </w:rPr>
        <w:t>Raxcacó</w:t>
      </w:r>
      <w:proofErr w:type="spellEnd"/>
      <w:r w:rsidRPr="00B66F9D">
        <w:rPr>
          <w:rFonts w:ascii="Arial" w:eastAsia="Arial Unicode MS" w:hAnsi="Arial" w:cs="Arial"/>
          <w:sz w:val="22"/>
          <w:szCs w:val="22"/>
          <w:u w:color="000000"/>
          <w:lang w:val="es-ES_tradnl"/>
        </w:rPr>
        <w:t xml:space="preserve"> Reyes vs Guatemala, el Estado interpuso una demanda de interpretación a la sentencia de fondo emitida por la Corte</w:t>
      </w:r>
      <w:r w:rsidR="003545E5" w:rsidRPr="003545E5">
        <w:rPr>
          <w:rFonts w:ascii="Arial" w:eastAsia="Arial Unicode MS" w:hAnsi="Arial" w:cs="Arial"/>
          <w:sz w:val="22"/>
          <w:szCs w:val="22"/>
          <w:u w:color="000000"/>
          <w:lang w:val="es-ES_tradnl"/>
        </w:rPr>
        <w:t xml:space="preserve"> </w:t>
      </w:r>
      <w:r w:rsidR="003545E5">
        <w:rPr>
          <w:rFonts w:ascii="Arial" w:eastAsia="Arial Unicode MS" w:hAnsi="Arial" w:cs="Arial"/>
          <w:sz w:val="22"/>
          <w:szCs w:val="22"/>
          <w:u w:color="000000"/>
          <w:lang w:val="es-ES_tradnl"/>
        </w:rPr>
        <w:t>IDH</w:t>
      </w:r>
      <w:r w:rsidRPr="00B66F9D">
        <w:rPr>
          <w:rFonts w:ascii="Arial" w:eastAsia="Arial Unicode MS" w:hAnsi="Arial" w:cs="Arial"/>
          <w:sz w:val="22"/>
          <w:szCs w:val="22"/>
          <w:u w:color="000000"/>
          <w:lang w:val="es-ES_tradnl"/>
        </w:rPr>
        <w:t xml:space="preserve">. Antes de que se hagan las consideraciones al caso, la Corte verificó que se cumplan los elementos de admisibilidad pues esta demanda puede plantearse dentro de los noventa días a partir de la notificación del fallo, además deben señalarse con precisión los aspectos de la sentencia cuya interpretación se pide, adicionalmente la demanda no puede consistir en el sometimiento de cuestiones de hecho y de derecho que ya fueron planteadas en su oportunidad procesal. En el caso, el Estado se refería al reembolso de los valores por costas y gastos, en el sentido de que estos sean entregados directamente a los representantes de las víctimas y no como ordenó la Corte </w:t>
      </w:r>
      <w:r w:rsidR="003545E5">
        <w:rPr>
          <w:rFonts w:ascii="Arial" w:eastAsia="Arial Unicode MS" w:hAnsi="Arial" w:cs="Arial"/>
          <w:sz w:val="22"/>
          <w:szCs w:val="22"/>
          <w:u w:color="000000"/>
          <w:lang w:val="es-ES_tradnl"/>
        </w:rPr>
        <w:t>IDH</w:t>
      </w:r>
      <w:r w:rsidR="003545E5"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al señor </w:t>
      </w:r>
      <w:proofErr w:type="spellStart"/>
      <w:r w:rsidRPr="00B66F9D">
        <w:rPr>
          <w:rFonts w:ascii="Arial" w:eastAsia="Arial Unicode MS" w:hAnsi="Arial" w:cs="Arial"/>
          <w:sz w:val="22"/>
          <w:szCs w:val="22"/>
          <w:u w:color="000000"/>
          <w:lang w:val="es-ES_tradnl"/>
        </w:rPr>
        <w:t>Raxcacó</w:t>
      </w:r>
      <w:proofErr w:type="spellEnd"/>
      <w:r w:rsidRPr="00B66F9D">
        <w:rPr>
          <w:rFonts w:ascii="Arial" w:eastAsia="Arial Unicode MS" w:hAnsi="Arial" w:cs="Arial"/>
          <w:sz w:val="22"/>
          <w:szCs w:val="22"/>
          <w:u w:color="000000"/>
          <w:lang w:val="es-ES_tradnl"/>
        </w:rPr>
        <w:t xml:space="preserve"> Reyes, a pesar de que la CIDH alegó que la cuestión planteada constituye una consulta en materia de cumplimiento, la Corte </w:t>
      </w:r>
      <w:r w:rsidR="003545E5">
        <w:rPr>
          <w:rFonts w:ascii="Arial" w:eastAsia="Arial Unicode MS" w:hAnsi="Arial" w:cs="Arial"/>
          <w:sz w:val="22"/>
          <w:szCs w:val="22"/>
          <w:u w:color="000000"/>
          <w:lang w:val="es-ES_tradnl"/>
        </w:rPr>
        <w:t>IDH</w:t>
      </w:r>
      <w:r w:rsidR="003545E5"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consideró que la demanda de interpretación, no buscó que se interprete el sentido o alcance de la sentencia de fondo, sino que se utilizó la demanda de interpretación como un medio para impugnar la sentencia de fondo, por lo que la demanda se desestimó por improcedente.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lastRenderedPageBreak/>
        <w:t xml:space="preserve">Como ha ocurrido en el caso anterior, es probable que los Estados requieran más experiencia respecto a la utilización de este mecanismo, a fin de que sus consultas faciliten el cumplimiento; por otro lado existe la posibilidad de que se abuse de este mecanismo sobre todo por parte de los Estados para aplazar el cumplimiento, por ello la Corte </w:t>
      </w:r>
      <w:r w:rsidR="003545E5">
        <w:rPr>
          <w:rFonts w:ascii="Arial" w:eastAsia="Arial Unicode MS" w:hAnsi="Arial" w:cs="Arial"/>
          <w:sz w:val="22"/>
          <w:szCs w:val="22"/>
          <w:u w:color="000000"/>
          <w:lang w:val="es-ES_tradnl"/>
        </w:rPr>
        <w:t>IDH</w:t>
      </w:r>
      <w:r w:rsidR="003545E5"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ha determinado que la demanda de interpretación no suspenderá la ejecución de la sentencia, lo que plantea ciertas dudas pues si el Estado legítimamente desea conocer la forma de aplicación de cierta medida que no está clara, cuál es la posibilidad de seguir con su ejecución.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Es probable que ciertos aspectos del proceso y criterios jurídicos sobre la reparación puedan influir en la mayor o menor clar</w:t>
      </w:r>
      <w:r w:rsidR="00F80379">
        <w:rPr>
          <w:rFonts w:ascii="Arial" w:eastAsia="Arial Unicode MS" w:hAnsi="Arial" w:cs="Arial"/>
          <w:sz w:val="22"/>
          <w:szCs w:val="22"/>
          <w:u w:color="000000"/>
          <w:lang w:val="es-ES" w:eastAsia="es-ES"/>
        </w:rPr>
        <w:t>idad o precisión de las medidas. E</w:t>
      </w:r>
      <w:r w:rsidRPr="00B66F9D">
        <w:rPr>
          <w:rFonts w:ascii="Arial" w:eastAsia="Arial Unicode MS" w:hAnsi="Arial" w:cs="Arial"/>
          <w:sz w:val="22"/>
          <w:szCs w:val="22"/>
          <w:u w:color="000000"/>
          <w:lang w:val="es-ES" w:eastAsia="es-ES"/>
        </w:rPr>
        <w:t>n este sentido Enroque Gil Botero</w:t>
      </w:r>
      <w:r w:rsidR="00F80379">
        <w:rPr>
          <w:rFonts w:ascii="Arial" w:eastAsia="Arial Unicode MS" w:hAnsi="Arial" w:cs="Arial"/>
          <w:sz w:val="22"/>
          <w:szCs w:val="22"/>
          <w:u w:color="000000"/>
          <w:lang w:val="es-ES" w:eastAsia="es-ES"/>
        </w:rPr>
        <w:t xml:space="preserve"> señala que en cuanto a las medidas</w:t>
      </w:r>
      <w:r w:rsidRPr="00B66F9D">
        <w:rPr>
          <w:rFonts w:ascii="Arial" w:eastAsia="Arial Unicode MS" w:hAnsi="Arial" w:cs="Arial"/>
          <w:sz w:val="22"/>
          <w:szCs w:val="22"/>
          <w:u w:color="000000"/>
          <w:lang w:val="es-ES" w:eastAsia="es-ES"/>
        </w:rPr>
        <w:t xml:space="preserve"> de reparación pecuniaria establecido por la Corte</w:t>
      </w:r>
      <w:r w:rsidR="00F80379" w:rsidRPr="00F80379">
        <w:rPr>
          <w:rFonts w:ascii="Arial" w:eastAsia="Arial Unicode MS" w:hAnsi="Arial" w:cs="Arial"/>
          <w:sz w:val="22"/>
          <w:szCs w:val="22"/>
          <w:u w:color="000000"/>
          <w:lang w:val="es-ES_tradnl"/>
        </w:rPr>
        <w:t xml:space="preserve"> </w:t>
      </w:r>
      <w:r w:rsidR="00F80379">
        <w:rPr>
          <w:rFonts w:ascii="Arial" w:eastAsia="Arial Unicode MS" w:hAnsi="Arial" w:cs="Arial"/>
          <w:sz w:val="22"/>
          <w:szCs w:val="22"/>
          <w:u w:color="000000"/>
          <w:lang w:val="es-ES_tradnl"/>
        </w:rPr>
        <w:t>IDH</w:t>
      </w:r>
      <w:r w:rsidR="00F80379">
        <w:rPr>
          <w:rFonts w:ascii="Arial" w:eastAsia="Arial Unicode MS" w:hAnsi="Arial" w:cs="Arial"/>
          <w:sz w:val="22"/>
          <w:szCs w:val="22"/>
          <w:u w:color="000000"/>
          <w:lang w:val="es-ES" w:eastAsia="es-ES"/>
        </w:rPr>
        <w:t xml:space="preserve"> se considera</w:t>
      </w:r>
      <w:r w:rsidRPr="00B66F9D">
        <w:rPr>
          <w:rFonts w:ascii="Arial" w:eastAsia="Arial Unicode MS" w:hAnsi="Arial" w:cs="Arial"/>
          <w:sz w:val="22"/>
          <w:szCs w:val="22"/>
          <w:u w:color="000000"/>
          <w:lang w:val="es-ES" w:eastAsia="es-ES"/>
        </w:rPr>
        <w:t xml:space="preserve"> </w:t>
      </w:r>
      <w:r w:rsidR="00F80379">
        <w:rPr>
          <w:rFonts w:ascii="Arial" w:eastAsia="Arial Unicode MS" w:hAnsi="Arial" w:cs="Arial"/>
          <w:sz w:val="22"/>
          <w:szCs w:val="22"/>
          <w:u w:color="000000"/>
          <w:lang w:val="es-ES" w:eastAsia="es-ES"/>
        </w:rPr>
        <w:t xml:space="preserve">además, </w:t>
      </w:r>
      <w:r w:rsidRPr="00B66F9D">
        <w:rPr>
          <w:rFonts w:ascii="Arial" w:eastAsia="Arial Unicode MS" w:hAnsi="Arial" w:cs="Arial"/>
          <w:sz w:val="22"/>
          <w:szCs w:val="22"/>
          <w:u w:color="000000"/>
          <w:lang w:val="es-ES" w:eastAsia="es-ES"/>
        </w:rPr>
        <w:t>el daño inmaterial equívocamente denominado moral y en casos puntuales se han avalado condenas por otros conceptos co</w:t>
      </w:r>
      <w:r w:rsidR="00F80379">
        <w:rPr>
          <w:rFonts w:ascii="Arial" w:eastAsia="Arial Unicode MS" w:hAnsi="Arial" w:cs="Arial"/>
          <w:sz w:val="22"/>
          <w:szCs w:val="22"/>
          <w:u w:color="000000"/>
          <w:lang w:val="es-ES" w:eastAsia="es-ES"/>
        </w:rPr>
        <w:t>mo el daño al proyecto del vida.  E</w:t>
      </w:r>
      <w:r w:rsidRPr="00B66F9D">
        <w:rPr>
          <w:rFonts w:ascii="Arial" w:eastAsia="Arial Unicode MS" w:hAnsi="Arial" w:cs="Arial"/>
          <w:sz w:val="22"/>
          <w:szCs w:val="22"/>
          <w:u w:color="000000"/>
          <w:lang w:val="es-ES" w:eastAsia="es-ES"/>
        </w:rPr>
        <w:t>l autor manifiesta que constituye un yerro conceptual en el estudio del perjuicio, que el daño al</w:t>
      </w:r>
      <w:r w:rsidR="00F80379">
        <w:rPr>
          <w:rFonts w:ascii="Arial" w:eastAsia="Arial Unicode MS" w:hAnsi="Arial" w:cs="Arial"/>
          <w:sz w:val="22"/>
          <w:szCs w:val="22"/>
          <w:u w:color="000000"/>
          <w:lang w:val="es-ES" w:eastAsia="es-ES"/>
        </w:rPr>
        <w:t xml:space="preserve"> proyecto de vida sea confundid</w:t>
      </w:r>
      <w:r w:rsidRPr="00B66F9D">
        <w:rPr>
          <w:rFonts w:ascii="Arial" w:eastAsia="Arial Unicode MS" w:hAnsi="Arial" w:cs="Arial"/>
          <w:sz w:val="22"/>
          <w:szCs w:val="22"/>
          <w:u w:color="000000"/>
          <w:lang w:val="es-ES" w:eastAsia="es-ES"/>
        </w:rPr>
        <w:t xml:space="preserve">o con el daño moral o precio del dolor, ya que en el daño al proyecto de vida   no se trata de indemnizar la tristeza o el dolor experimentado por la </w:t>
      </w:r>
      <w:proofErr w:type="spellStart"/>
      <w:r w:rsidRPr="00B66F9D">
        <w:rPr>
          <w:rFonts w:ascii="Arial" w:eastAsia="Arial Unicode MS" w:hAnsi="Arial" w:cs="Arial"/>
          <w:sz w:val="22"/>
          <w:szCs w:val="22"/>
          <w:u w:color="000000"/>
          <w:lang w:val="es-ES" w:eastAsia="es-ES"/>
        </w:rPr>
        <w:t>victima</w:t>
      </w:r>
      <w:proofErr w:type="spellEnd"/>
      <w:r w:rsidRPr="00B66F9D">
        <w:rPr>
          <w:rFonts w:ascii="Arial" w:eastAsia="Arial Unicode MS" w:hAnsi="Arial" w:cs="Arial"/>
          <w:sz w:val="22"/>
          <w:szCs w:val="22"/>
          <w:u w:color="000000"/>
          <w:lang w:val="es-ES" w:eastAsia="es-ES"/>
        </w:rPr>
        <w:t xml:space="preserve"> y tampoco de resarcir las consecuencias patrimoniales, sino que se debe compensar la mengua de las posibilidades de realizar actividades que la </w:t>
      </w:r>
      <w:proofErr w:type="spellStart"/>
      <w:r w:rsidRPr="00B66F9D">
        <w:rPr>
          <w:rFonts w:ascii="Arial" w:eastAsia="Arial Unicode MS" w:hAnsi="Arial" w:cs="Arial"/>
          <w:sz w:val="22"/>
          <w:szCs w:val="22"/>
          <w:u w:color="000000"/>
          <w:lang w:val="es-ES" w:eastAsia="es-ES"/>
        </w:rPr>
        <w:t>victima</w:t>
      </w:r>
      <w:proofErr w:type="spellEnd"/>
      <w:r w:rsidRPr="00B66F9D">
        <w:rPr>
          <w:rFonts w:ascii="Arial" w:eastAsia="Arial Unicode MS" w:hAnsi="Arial" w:cs="Arial"/>
          <w:sz w:val="22"/>
          <w:szCs w:val="22"/>
          <w:u w:color="000000"/>
          <w:lang w:val="es-ES" w:eastAsia="es-ES"/>
        </w:rPr>
        <w:t xml:space="preserve"> bien podría haber realizado o realizar, de no mediar la conducta dañina que se manifestó en su integridad corporal, ello en procura de una indemnización integral</w:t>
      </w:r>
      <w:r w:rsidRPr="00B66F9D">
        <w:rPr>
          <w:rFonts w:ascii="Arial" w:eastAsia="Arial Unicode MS" w:hAnsi="Arial" w:cs="Arial"/>
          <w:sz w:val="22"/>
          <w:szCs w:val="22"/>
          <w:u w:color="000000"/>
          <w:vertAlign w:val="superscript"/>
          <w:lang w:val="es-ES" w:eastAsia="es-ES"/>
        </w:rPr>
        <w:footnoteReference w:id="135"/>
      </w:r>
    </w:p>
    <w:p w:rsidR="00FF07E9" w:rsidRPr="00B66F9D" w:rsidRDefault="00FF07E9"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Sería entonces conveniente que la Corte </w:t>
      </w:r>
      <w:r w:rsidR="009F429F">
        <w:rPr>
          <w:rFonts w:ascii="Arial" w:eastAsia="Arial Unicode MS" w:hAnsi="Arial" w:cs="Arial"/>
          <w:sz w:val="22"/>
          <w:szCs w:val="22"/>
          <w:u w:color="000000"/>
          <w:lang w:val="es-ES_tradnl"/>
        </w:rPr>
        <w:t>IDH</w:t>
      </w:r>
      <w:r w:rsidR="009F429F"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señale las medidas de reparación para el daño al proyecto de vida de forma específica sin que integren el monto de reparación pecuniaria por daño moral, si bien ello constituye un criterio jurídico influye en el cumplimiento que den los Estados a estas medidas pues existe una mayor comprensión en cuanto a la razón de ser de las mismas, esto es importante para el cumplimiento pues si se comprende la justificación de la implementación de determinadas obligaciones, la forma de cómo ejecutarlas para alcanzar una reparación integral no se convertirá en la justificación principal para retrasar el cumplimiento o su estancamiento por falta de acuerdos.</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La etapa procesal en la que se realizan las audiencias es fundamental para que los jueces se formen un criterio global de los hechos y por tanto las disposiciones sobre </w:t>
      </w:r>
      <w:r w:rsidRPr="00B66F9D">
        <w:rPr>
          <w:rFonts w:ascii="Arial" w:eastAsia="Arial Unicode MS" w:hAnsi="Arial" w:cs="Arial"/>
          <w:sz w:val="22"/>
          <w:szCs w:val="22"/>
          <w:u w:color="000000"/>
          <w:lang w:val="es-ES" w:eastAsia="es-ES"/>
        </w:rPr>
        <w:lastRenderedPageBreak/>
        <w:t>reparación se realicen de la forma más part</w:t>
      </w:r>
      <w:r w:rsidR="009F429F">
        <w:rPr>
          <w:rFonts w:ascii="Arial" w:eastAsia="Arial Unicode MS" w:hAnsi="Arial" w:cs="Arial"/>
          <w:sz w:val="22"/>
          <w:szCs w:val="22"/>
          <w:u w:color="000000"/>
          <w:lang w:val="es-ES" w:eastAsia="es-ES"/>
        </w:rPr>
        <w:t>icular posible al caso concreto.</w:t>
      </w:r>
      <w:r w:rsidRPr="00B66F9D">
        <w:rPr>
          <w:rFonts w:ascii="Arial" w:eastAsia="Arial Unicode MS" w:hAnsi="Arial" w:cs="Arial"/>
          <w:sz w:val="22"/>
          <w:szCs w:val="22"/>
          <w:u w:color="000000"/>
          <w:lang w:val="es-ES" w:eastAsia="es-ES"/>
        </w:rPr>
        <w:t xml:space="preserve"> </w:t>
      </w:r>
      <w:r w:rsidR="009F429F" w:rsidRPr="00B66F9D">
        <w:rPr>
          <w:rFonts w:ascii="Arial" w:eastAsia="Arial Unicode MS" w:hAnsi="Arial" w:cs="Arial"/>
          <w:sz w:val="22"/>
          <w:szCs w:val="22"/>
          <w:u w:color="000000"/>
          <w:lang w:val="es-ES" w:eastAsia="es-ES"/>
        </w:rPr>
        <w:t>El</w:t>
      </w:r>
      <w:r w:rsidRPr="00B66F9D">
        <w:rPr>
          <w:rFonts w:ascii="Arial" w:eastAsia="Arial Unicode MS" w:hAnsi="Arial" w:cs="Arial"/>
          <w:sz w:val="22"/>
          <w:szCs w:val="22"/>
          <w:u w:color="000000"/>
          <w:lang w:val="es-ES" w:eastAsia="es-ES"/>
        </w:rPr>
        <w:t xml:space="preserve"> problema se presenta cuando las audiencias para resolver el fondo del asunto y para determina las reparaciones se realizan en momentos distintos, esto provoca que especialmente las intervenciones de peritos en la resolución del fondo del asunto se ajusten a este tema, presentando informes sobre la existencia de la violación y que no se hagan aportaciones especificas en cuanto a las reparaciones. La consecuencia inmediata es que queden aisladas ciertas contribuciones que pueden ayudar a configurar un contexto más claro sobre cómo reparar en un caso específico. Es recomendable entonces que las audiencias donde se analiza el fondo del asunto y las reparaciones se realicen en el mismo momento a fin de que los jueces cuenten con mayores elementos de juicio al momento de emitir sus decisiones.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Por otro lado, existen medidas complejas que requieren un alto grado de especificidad para lograr su cumplimiento, la Corte </w:t>
      </w:r>
      <w:r w:rsidR="009F429F">
        <w:rPr>
          <w:rFonts w:ascii="Arial" w:eastAsia="Arial Unicode MS" w:hAnsi="Arial" w:cs="Arial"/>
          <w:sz w:val="22"/>
          <w:szCs w:val="22"/>
          <w:u w:color="000000"/>
          <w:lang w:val="es-ES_tradnl"/>
        </w:rPr>
        <w:t>IDH</w:t>
      </w:r>
      <w:r w:rsidR="009F429F"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debe indagar sobre las condiciones jurídicas y políticas del Est</w:t>
      </w:r>
      <w:r w:rsidR="009F429F">
        <w:rPr>
          <w:rFonts w:ascii="Arial" w:eastAsia="Arial Unicode MS" w:hAnsi="Arial" w:cs="Arial"/>
          <w:sz w:val="22"/>
          <w:szCs w:val="22"/>
          <w:u w:color="000000"/>
          <w:lang w:val="es-ES" w:eastAsia="es-ES"/>
        </w:rPr>
        <w:t xml:space="preserve">ado responsable para hallar los </w:t>
      </w:r>
      <w:r w:rsidRPr="00B66F9D">
        <w:rPr>
          <w:rFonts w:ascii="Arial" w:eastAsia="Arial Unicode MS" w:hAnsi="Arial" w:cs="Arial"/>
          <w:sz w:val="22"/>
          <w:szCs w:val="22"/>
          <w:u w:color="000000"/>
          <w:lang w:val="es-ES" w:eastAsia="es-ES"/>
        </w:rPr>
        <w:t xml:space="preserve">caminos más adecuados en el cumplimiento de las medidas de reparación, la dificultad que plantea tal posibilidad se da por la falta de cercanía de los órganos del Sistema a la realidad de los Estados, lo que impide que se tenga un panorama imparcial y directo de la situación.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r w:rsidRPr="00B66F9D">
        <w:rPr>
          <w:rFonts w:ascii="Arial" w:eastAsia="Arial Unicode MS" w:hAnsi="Arial" w:cs="Arial"/>
          <w:sz w:val="22"/>
          <w:szCs w:val="22"/>
          <w:u w:color="000000"/>
          <w:lang w:val="es-ES" w:eastAsia="es-ES"/>
        </w:rPr>
        <w:t xml:space="preserve">Sin embargo al momento de evaluar el cumplimiento, solicitando informes a las partes, la Corte </w:t>
      </w:r>
      <w:r w:rsidR="009F429F">
        <w:rPr>
          <w:rFonts w:ascii="Arial" w:eastAsia="Arial Unicode MS" w:hAnsi="Arial" w:cs="Arial"/>
          <w:sz w:val="22"/>
          <w:szCs w:val="22"/>
          <w:u w:color="000000"/>
          <w:lang w:val="es-ES_tradnl"/>
        </w:rPr>
        <w:t>IDH</w:t>
      </w:r>
      <w:r w:rsidR="009F429F"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 xml:space="preserve">puede solicitar que se incluya información sobre el entorno jurídico y estructural en el que se están desenvolviendo las gestiones de reparación, ello puede llevar a tomar decisiones inmediatas para superar obstáculos en el cumplimiento, de muy poco aporte resulta que la Corte </w:t>
      </w:r>
      <w:r w:rsidR="009F429F">
        <w:rPr>
          <w:rFonts w:ascii="Arial" w:eastAsia="Arial Unicode MS" w:hAnsi="Arial" w:cs="Arial"/>
          <w:sz w:val="22"/>
          <w:szCs w:val="22"/>
          <w:u w:color="000000"/>
          <w:lang w:val="es-ES_tradnl"/>
        </w:rPr>
        <w:t>IDH</w:t>
      </w:r>
      <w:r w:rsidR="009F429F" w:rsidRPr="00B66F9D">
        <w:rPr>
          <w:rFonts w:ascii="Arial" w:eastAsia="Arial Unicode MS" w:hAnsi="Arial" w:cs="Arial"/>
          <w:sz w:val="22"/>
          <w:szCs w:val="22"/>
          <w:u w:color="000000"/>
          <w:lang w:val="es-ES" w:eastAsia="es-ES"/>
        </w:rPr>
        <w:t xml:space="preserve"> </w:t>
      </w:r>
      <w:r w:rsidRPr="00B66F9D">
        <w:rPr>
          <w:rFonts w:ascii="Arial" w:eastAsia="Arial Unicode MS" w:hAnsi="Arial" w:cs="Arial"/>
          <w:sz w:val="22"/>
          <w:szCs w:val="22"/>
          <w:u w:color="000000"/>
          <w:lang w:val="es-ES" w:eastAsia="es-ES"/>
        </w:rPr>
        <w:t>señale que existen obligaciones pendientes de cumplimiento si no se hace una evaluación de las posib</w:t>
      </w:r>
      <w:r w:rsidR="009A324A">
        <w:rPr>
          <w:rFonts w:ascii="Arial" w:eastAsia="Arial Unicode MS" w:hAnsi="Arial" w:cs="Arial"/>
          <w:sz w:val="22"/>
          <w:szCs w:val="22"/>
          <w:u w:color="000000"/>
          <w:lang w:val="es-ES" w:eastAsia="es-ES"/>
        </w:rPr>
        <w:t>ilidades que presenta el Estado</w:t>
      </w:r>
      <w:r w:rsidRPr="00B66F9D">
        <w:rPr>
          <w:rFonts w:ascii="Arial" w:eastAsia="Arial Unicode MS" w:hAnsi="Arial" w:cs="Arial"/>
          <w:sz w:val="22"/>
          <w:szCs w:val="22"/>
          <w:u w:color="000000"/>
          <w:lang w:val="es-ES" w:eastAsia="es-ES"/>
        </w:rPr>
        <w:t xml:space="preserve"> para su realización.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rPr>
      </w:pPr>
      <w:r w:rsidRPr="00B66F9D">
        <w:rPr>
          <w:rFonts w:ascii="Arial" w:eastAsia="Arial Unicode MS" w:hAnsi="Arial" w:cs="Arial"/>
          <w:sz w:val="22"/>
          <w:szCs w:val="22"/>
          <w:u w:color="000000"/>
          <w:lang w:val="es-ES"/>
        </w:rPr>
        <w:t xml:space="preserve">Si bien la falta de claridad en las medidas de reparación es un punto importante en la posibilidad de su inmediato cumplimiento, existen herramientas para pedir a la Corte </w:t>
      </w:r>
      <w:r w:rsidR="009F429F">
        <w:rPr>
          <w:rFonts w:ascii="Arial" w:eastAsia="Arial Unicode MS" w:hAnsi="Arial" w:cs="Arial"/>
          <w:sz w:val="22"/>
          <w:szCs w:val="22"/>
          <w:u w:color="000000"/>
          <w:lang w:val="es-ES_tradnl"/>
        </w:rPr>
        <w:t>IDH</w:t>
      </w:r>
      <w:r w:rsidR="009F429F" w:rsidRPr="00B66F9D">
        <w:rPr>
          <w:rFonts w:ascii="Arial" w:eastAsia="Arial Unicode MS" w:hAnsi="Arial" w:cs="Arial"/>
          <w:sz w:val="22"/>
          <w:szCs w:val="22"/>
          <w:u w:color="000000"/>
          <w:lang w:val="es-ES"/>
        </w:rPr>
        <w:t xml:space="preserve"> </w:t>
      </w:r>
      <w:r w:rsidRPr="00B66F9D">
        <w:rPr>
          <w:rFonts w:ascii="Arial" w:eastAsia="Arial Unicode MS" w:hAnsi="Arial" w:cs="Arial"/>
          <w:sz w:val="22"/>
          <w:szCs w:val="22"/>
          <w:u w:color="000000"/>
          <w:lang w:val="es-ES"/>
        </w:rPr>
        <w:t>asesoría sobre la forma de ejecutarlas, incluso antes de que la Corte dictamine determinadas medidas las partes en los momentos procesales correspondientes pueden hacer aportaciones sobre la forma y la posibilidad de cumplimiento de las mismas, lo importante es que se observe que los Estados tienen un compromiso para cumplir con la reparación integral a las víctimas y que reconocen que la</w:t>
      </w:r>
      <w:r w:rsidR="0061300E">
        <w:rPr>
          <w:rFonts w:ascii="Arial" w:eastAsia="Arial Unicode MS" w:hAnsi="Arial" w:cs="Arial"/>
          <w:sz w:val="22"/>
          <w:szCs w:val="22"/>
          <w:u w:color="000000"/>
          <w:lang w:val="es-ES"/>
        </w:rPr>
        <w:t>s</w:t>
      </w:r>
      <w:r w:rsidRPr="00B66F9D">
        <w:rPr>
          <w:rFonts w:ascii="Arial" w:eastAsia="Arial Unicode MS" w:hAnsi="Arial" w:cs="Arial"/>
          <w:sz w:val="22"/>
          <w:szCs w:val="22"/>
          <w:u w:color="000000"/>
          <w:lang w:val="es-ES"/>
        </w:rPr>
        <w:t xml:space="preserve"> sentencias de </w:t>
      </w:r>
      <w:r w:rsidR="009F429F">
        <w:rPr>
          <w:rFonts w:ascii="Arial" w:eastAsia="Arial Unicode MS" w:hAnsi="Arial" w:cs="Arial"/>
          <w:sz w:val="22"/>
          <w:szCs w:val="22"/>
          <w:u w:color="000000"/>
          <w:lang w:val="es-ES"/>
        </w:rPr>
        <w:t xml:space="preserve">la </w:t>
      </w:r>
      <w:r w:rsidRPr="00B66F9D">
        <w:rPr>
          <w:rFonts w:ascii="Arial" w:eastAsia="Arial Unicode MS" w:hAnsi="Arial" w:cs="Arial"/>
          <w:sz w:val="22"/>
          <w:szCs w:val="22"/>
          <w:u w:color="000000"/>
          <w:lang w:val="es-ES"/>
        </w:rPr>
        <w:t xml:space="preserve">Corte </w:t>
      </w:r>
      <w:r w:rsidR="009F429F">
        <w:rPr>
          <w:rFonts w:ascii="Arial" w:eastAsia="Arial Unicode MS" w:hAnsi="Arial" w:cs="Arial"/>
          <w:sz w:val="22"/>
          <w:szCs w:val="22"/>
          <w:u w:color="000000"/>
          <w:lang w:val="es-ES_tradnl"/>
        </w:rPr>
        <w:t>IDH</w:t>
      </w:r>
      <w:r w:rsidR="009F429F" w:rsidRPr="00B66F9D">
        <w:rPr>
          <w:rFonts w:ascii="Arial" w:eastAsia="Arial Unicode MS" w:hAnsi="Arial" w:cs="Arial"/>
          <w:sz w:val="22"/>
          <w:szCs w:val="22"/>
          <w:u w:color="000000"/>
          <w:lang w:val="es-ES"/>
        </w:rPr>
        <w:t xml:space="preserve"> </w:t>
      </w:r>
      <w:r w:rsidRPr="00B66F9D">
        <w:rPr>
          <w:rFonts w:ascii="Arial" w:eastAsia="Arial Unicode MS" w:hAnsi="Arial" w:cs="Arial"/>
          <w:sz w:val="22"/>
          <w:szCs w:val="22"/>
          <w:u w:color="000000"/>
          <w:lang w:val="es-ES"/>
        </w:rPr>
        <w:t xml:space="preserve">son de obligatorio cumplimiento lo que mejora las relaciones del Estado con las </w:t>
      </w:r>
      <w:proofErr w:type="spellStart"/>
      <w:r w:rsidRPr="00B66F9D">
        <w:rPr>
          <w:rFonts w:ascii="Arial" w:eastAsia="Arial Unicode MS" w:hAnsi="Arial" w:cs="Arial"/>
          <w:sz w:val="22"/>
          <w:szCs w:val="22"/>
          <w:u w:color="000000"/>
          <w:lang w:val="es-ES"/>
        </w:rPr>
        <w:t>victimas</w:t>
      </w:r>
      <w:proofErr w:type="spellEnd"/>
      <w:r w:rsidRPr="00B66F9D">
        <w:rPr>
          <w:rFonts w:ascii="Arial" w:eastAsia="Arial Unicode MS" w:hAnsi="Arial" w:cs="Arial"/>
          <w:sz w:val="22"/>
          <w:szCs w:val="22"/>
          <w:u w:color="000000"/>
          <w:lang w:val="es-ES"/>
        </w:rPr>
        <w:t xml:space="preserve"> y genera un ambiente de seguridad y respeto hacia los derechos humanos en general.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56C2" w:rsidRDefault="005805DB" w:rsidP="00B656C2">
      <w:pPr>
        <w:pStyle w:val="Sinespaciado"/>
        <w:spacing w:line="360" w:lineRule="auto"/>
        <w:ind w:left="720" w:hanging="720"/>
        <w:jc w:val="both"/>
        <w:outlineLvl w:val="2"/>
        <w:rPr>
          <w:rFonts w:ascii="Arial" w:eastAsia="Arial Unicode MS" w:hAnsi="Arial" w:cs="Arial"/>
          <w:b/>
          <w:sz w:val="22"/>
          <w:szCs w:val="22"/>
          <w:u w:color="000000"/>
          <w:lang w:val="es-ES_tradnl"/>
        </w:rPr>
      </w:pPr>
      <w:bookmarkStart w:id="21" w:name="_Toc356432258"/>
      <w:r w:rsidRPr="00B656C2">
        <w:rPr>
          <w:rFonts w:ascii="Arial" w:eastAsia="Arial Unicode MS" w:hAnsi="Arial" w:cs="Arial"/>
          <w:b/>
          <w:sz w:val="22"/>
          <w:szCs w:val="22"/>
          <w:u w:color="000000"/>
          <w:lang w:val="es-ES_tradnl"/>
        </w:rPr>
        <w:t>2.2.1.</w:t>
      </w:r>
      <w:r w:rsidRPr="00B656C2">
        <w:rPr>
          <w:rFonts w:ascii="Arial" w:eastAsia="Arial Unicode MS" w:hAnsi="Arial" w:cs="Arial"/>
          <w:b/>
          <w:sz w:val="22"/>
          <w:szCs w:val="22"/>
          <w:u w:color="000000"/>
          <w:lang w:val="es-ES_tradnl"/>
        </w:rPr>
        <w:tab/>
      </w:r>
      <w:r w:rsidR="00651974" w:rsidRPr="00B656C2">
        <w:rPr>
          <w:rFonts w:ascii="Arial" w:eastAsia="Arial Unicode MS" w:hAnsi="Arial" w:cs="Arial"/>
          <w:b/>
          <w:sz w:val="22"/>
          <w:szCs w:val="22"/>
          <w:u w:color="000000"/>
          <w:lang w:val="es-ES_tradnl"/>
        </w:rPr>
        <w:t xml:space="preserve">Indeterminación sobre la ejecución de las medidas de reparación; disposiciones de quién, cuándo y cómo debe ejecutarse la sentencia </w:t>
      </w:r>
      <w:proofErr w:type="spellStart"/>
      <w:r w:rsidR="00651974" w:rsidRPr="00B656C2">
        <w:rPr>
          <w:rFonts w:ascii="Arial" w:eastAsia="Arial Unicode MS" w:hAnsi="Arial" w:cs="Arial"/>
          <w:b/>
          <w:sz w:val="22"/>
          <w:szCs w:val="22"/>
          <w:u w:color="000000"/>
          <w:lang w:val="es-ES_tradnl"/>
        </w:rPr>
        <w:t>reparatoria</w:t>
      </w:r>
      <w:proofErr w:type="spellEnd"/>
      <w:r w:rsidR="00651974" w:rsidRPr="00B656C2">
        <w:rPr>
          <w:rFonts w:ascii="Arial" w:eastAsia="Arial Unicode MS" w:hAnsi="Arial" w:cs="Arial"/>
          <w:b/>
          <w:sz w:val="22"/>
          <w:szCs w:val="22"/>
          <w:u w:color="000000"/>
          <w:lang w:val="es-ES_tradnl"/>
        </w:rPr>
        <w:t>. Espacios para la interpretación</w:t>
      </w:r>
      <w:bookmarkEnd w:id="21"/>
      <w:r w:rsidR="00651974" w:rsidRPr="00B656C2">
        <w:rPr>
          <w:rFonts w:ascii="Arial" w:eastAsia="Arial Unicode MS" w:hAnsi="Arial" w:cs="Arial"/>
          <w:b/>
          <w:sz w:val="22"/>
          <w:szCs w:val="22"/>
          <w:u w:color="000000"/>
          <w:lang w:val="es-ES_tradnl"/>
        </w:rPr>
        <w:t xml:space="preserve"> </w:t>
      </w:r>
    </w:p>
    <w:p w:rsidR="00651974" w:rsidRPr="005805DB" w:rsidRDefault="00651974" w:rsidP="005805DB">
      <w:pPr>
        <w:spacing w:before="20" w:line="360" w:lineRule="auto"/>
        <w:ind w:left="720" w:hanging="720"/>
        <w:jc w:val="both"/>
        <w:outlineLvl w:val="0"/>
        <w:rPr>
          <w:rFonts w:ascii="Arial" w:eastAsia="Arial Unicode MS" w:hAnsi="Arial Unicode MS"/>
          <w:b/>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Algunos autores han manifestado que el grado de concreción y especificidad con que la Corte </w:t>
      </w:r>
      <w:r w:rsidR="00BB65D5">
        <w:rPr>
          <w:rFonts w:ascii="Arial" w:eastAsia="Arial Unicode MS" w:hAnsi="Arial" w:cs="Arial"/>
          <w:sz w:val="22"/>
          <w:szCs w:val="22"/>
          <w:u w:color="000000"/>
          <w:lang w:val="es-ES_tradnl"/>
        </w:rPr>
        <w:t>IDH</w:t>
      </w:r>
      <w:r w:rsidR="00BB65D5"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determine medidas de reparación facilitará  el posterior cumplimiento por parte de los Estados responsables. Es necesario plantearse si existen medidas muy amplias o generales que provocan confusión y conflictos, además de cuáles serían los aspectos particulares de las sentencias que requieren concreción, es importante además que se determine la conveniencia de que ciertas medidas sean más </w:t>
      </w:r>
      <w:proofErr w:type="spellStart"/>
      <w:r w:rsidRPr="00B66F9D">
        <w:rPr>
          <w:rFonts w:ascii="Arial" w:eastAsia="Arial Unicode MS" w:hAnsi="Arial" w:cs="Arial"/>
          <w:sz w:val="22"/>
          <w:szCs w:val="22"/>
          <w:u w:color="000000"/>
          <w:lang w:val="es-ES_tradnl"/>
        </w:rPr>
        <w:t>especificas</w:t>
      </w:r>
      <w:proofErr w:type="spellEnd"/>
      <w:r w:rsidRPr="00B66F9D">
        <w:rPr>
          <w:rFonts w:ascii="Arial" w:eastAsia="Arial Unicode MS" w:hAnsi="Arial" w:cs="Arial"/>
          <w:sz w:val="22"/>
          <w:szCs w:val="22"/>
          <w:u w:color="000000"/>
          <w:lang w:val="es-ES_tradnl"/>
        </w:rPr>
        <w:t xml:space="preserve">, o si ello le corresponde al Estado y a los representantes de las </w:t>
      </w:r>
      <w:proofErr w:type="spellStart"/>
      <w:r w:rsidRPr="00B66F9D">
        <w:rPr>
          <w:rFonts w:ascii="Arial" w:eastAsia="Arial Unicode MS" w:hAnsi="Arial" w:cs="Arial"/>
          <w:sz w:val="22"/>
          <w:szCs w:val="22"/>
          <w:u w:color="000000"/>
          <w:lang w:val="es-ES_tradnl"/>
        </w:rPr>
        <w:t>victimas</w:t>
      </w:r>
      <w:proofErr w:type="spellEnd"/>
      <w:r w:rsidRPr="00B66F9D">
        <w:rPr>
          <w:rFonts w:ascii="Arial" w:eastAsia="Arial Unicode MS" w:hAnsi="Arial" w:cs="Arial"/>
          <w:sz w:val="22"/>
          <w:szCs w:val="22"/>
          <w:u w:color="000000"/>
          <w:lang w:val="es-ES_tradnl"/>
        </w:rPr>
        <w:t xml:space="preserve"> en el proceso de cumplimiento.</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   </w:t>
      </w:r>
    </w:p>
    <w:p w:rsidR="0061300E"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Por un lado, el grado de precisión en las medidas es importante para que haya un mayor entendimiento de las partes sobre qué gestiones realizar para que se dé el cumplimiento, sin embargo no todas las medidas ordenadas por la Corte </w:t>
      </w:r>
      <w:r w:rsidR="00BB65D5">
        <w:rPr>
          <w:rFonts w:ascii="Arial" w:eastAsia="Arial Unicode MS" w:hAnsi="Arial" w:cs="Arial"/>
          <w:sz w:val="22"/>
          <w:szCs w:val="22"/>
          <w:u w:color="000000"/>
          <w:lang w:val="es-ES_tradnl"/>
        </w:rPr>
        <w:t>IDH</w:t>
      </w:r>
      <w:r w:rsidR="00BB65D5"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pueden ser expresadas con altos grados de precisión, por ejemplo en las medidas de carácter pecuniario una vez determinado el daño, la Corte </w:t>
      </w:r>
      <w:r w:rsidR="00BB65D5">
        <w:rPr>
          <w:rFonts w:ascii="Arial" w:eastAsia="Arial Unicode MS" w:hAnsi="Arial" w:cs="Arial"/>
          <w:sz w:val="22"/>
          <w:szCs w:val="22"/>
          <w:u w:color="000000"/>
          <w:lang w:val="es-ES_tradnl"/>
        </w:rPr>
        <w:t>IDH</w:t>
      </w:r>
      <w:r w:rsidR="00BB65D5"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establece un monto y además determina que debe ser pagado en dólares o su equivalente en la moneda de circulación del Estado responsable, incluso se determina la fecha que se debe tomar para fijar el tipo de cambio. </w:t>
      </w:r>
    </w:p>
    <w:p w:rsidR="0061300E" w:rsidRDefault="0061300E"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estas medidas se establece además la persona que recibirá el monto y si este debe ser cancelado en su totalidad o en partes, lo que la Corte </w:t>
      </w:r>
      <w:r w:rsidR="00BB65D5">
        <w:rPr>
          <w:rFonts w:ascii="Arial" w:eastAsia="Arial Unicode MS" w:hAnsi="Arial" w:cs="Arial"/>
          <w:sz w:val="22"/>
          <w:szCs w:val="22"/>
          <w:u w:color="000000"/>
          <w:lang w:val="es-ES_tradnl"/>
        </w:rPr>
        <w:t>IDH</w:t>
      </w:r>
      <w:r w:rsidR="00BB65D5"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no puede establecer es a qué entidad pública le corresponde realizar el pago, ya que la obli</w:t>
      </w:r>
      <w:r w:rsidR="00BB65D5">
        <w:rPr>
          <w:rFonts w:ascii="Arial" w:eastAsia="Arial Unicode MS" w:hAnsi="Arial" w:cs="Arial"/>
          <w:sz w:val="22"/>
          <w:szCs w:val="22"/>
          <w:u w:color="000000"/>
          <w:lang w:val="es-ES_tradnl"/>
        </w:rPr>
        <w:t>gación es del Estado en general.</w:t>
      </w:r>
      <w:r w:rsidRPr="00B66F9D">
        <w:rPr>
          <w:rFonts w:ascii="Arial" w:eastAsia="Arial Unicode MS" w:hAnsi="Arial" w:cs="Arial"/>
          <w:sz w:val="22"/>
          <w:szCs w:val="22"/>
          <w:u w:color="000000"/>
          <w:lang w:val="es-ES_tradnl"/>
        </w:rPr>
        <w:t xml:space="preserve"> </w:t>
      </w:r>
      <w:r w:rsidR="00BB65D5" w:rsidRPr="00B66F9D">
        <w:rPr>
          <w:rFonts w:ascii="Arial" w:eastAsia="Arial Unicode MS" w:hAnsi="Arial" w:cs="Arial"/>
          <w:sz w:val="22"/>
          <w:szCs w:val="22"/>
          <w:u w:color="000000"/>
          <w:lang w:val="es-ES_tradnl"/>
        </w:rPr>
        <w:t>En</w:t>
      </w:r>
      <w:r w:rsidRPr="00B66F9D">
        <w:rPr>
          <w:rFonts w:ascii="Arial" w:eastAsia="Arial Unicode MS" w:hAnsi="Arial" w:cs="Arial"/>
          <w:sz w:val="22"/>
          <w:szCs w:val="22"/>
          <w:u w:color="000000"/>
          <w:lang w:val="es-ES_tradnl"/>
        </w:rPr>
        <w:t xml:space="preserve"> la fase de ejecución el Estado no puede alegar falta de especificidad en este caso, lamentablemente por estos hechos se generan desacuerdos con los representantes de las víctimas. La Corte </w:t>
      </w:r>
      <w:r w:rsidR="00206211">
        <w:rPr>
          <w:rFonts w:ascii="Arial" w:eastAsia="Arial Unicode MS" w:hAnsi="Arial" w:cs="Arial"/>
          <w:sz w:val="22"/>
          <w:szCs w:val="22"/>
          <w:u w:color="000000"/>
          <w:lang w:val="es-ES_tradnl"/>
        </w:rPr>
        <w:t>IDH</w:t>
      </w:r>
      <w:r w:rsidR="0020621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tampoco puede determinar los procesos burocráticos que se requieren para que el monto sea entregado a las victimas pues cada Estado tiene sus particularidades al respecto, sin embargo se presentan casos donde existe una excesiva burocracia que detiene los procesos de cumplimiento.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Todo esto evidencia que incluso en  medidas que supondrían un cumplimiento inmediato se pueden producir confusiones, las cuales se agudizan en casos de reparación colectiva. </w:t>
      </w:r>
    </w:p>
    <w:p w:rsidR="000E59CF" w:rsidRPr="00B66F9D" w:rsidRDefault="000E59CF"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lastRenderedPageBreak/>
        <w:t xml:space="preserve">Por otro lado existen medidas de carácter general como las garantías de no repetición que tocan aspectos estructurales o normativos de los Estados, el cómo ejecutar este tipo de medidas le corresponde a los Estados ya que en su normativa interna se detallan estos procesos, por lo mismo supone una verdadera imposibilidad que la Corte </w:t>
      </w:r>
      <w:r w:rsidR="00206211">
        <w:rPr>
          <w:rFonts w:ascii="Arial" w:eastAsia="Arial Unicode MS" w:hAnsi="Arial" w:cs="Arial"/>
          <w:sz w:val="22"/>
          <w:szCs w:val="22"/>
          <w:u w:color="000000"/>
          <w:lang w:val="es-ES_tradnl"/>
        </w:rPr>
        <w:t>IDH</w:t>
      </w:r>
      <w:r w:rsidR="0020621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determine a qué institución pública le corresponde cada gestión para asegurar el cumplimiento de estas medidas. Hay que considerar en este punto que los Estados pueden ver estas medidas con carácter general como distantes pues sus efectos no están directamente relacionados con las victimas sino a reformar aspectos que afectan a toda la comunidad.  </w:t>
      </w:r>
    </w:p>
    <w:p w:rsidR="000E59CF" w:rsidRPr="00B66F9D" w:rsidRDefault="000E59CF"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Cabe mencionar que existen medidas que podrían exponerse con mayor precisión, aunque la posibilidad de presentar demandas de interpretación puede solucionar estos problemas. La Corte </w:t>
      </w:r>
      <w:r w:rsidR="00206211">
        <w:rPr>
          <w:rFonts w:ascii="Arial" w:eastAsia="Arial Unicode MS" w:hAnsi="Arial" w:cs="Arial"/>
          <w:sz w:val="22"/>
          <w:szCs w:val="22"/>
          <w:u w:color="000000"/>
          <w:lang w:val="es-ES_tradnl"/>
        </w:rPr>
        <w:t>IDH</w:t>
      </w:r>
      <w:r w:rsidR="0020621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debe actuar de manera preventiva, la mayor claridad puede establecerse no solo en qué medidas se adoptarán sino también en el cómo ejecutarlas, ello con el fin de que se reduzcan los tiempos en el cumplimiento.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Si bien la Corte </w:t>
      </w:r>
      <w:r w:rsidR="00206211">
        <w:rPr>
          <w:rFonts w:ascii="Arial" w:eastAsia="Arial Unicode MS" w:hAnsi="Arial" w:cs="Arial"/>
          <w:sz w:val="22"/>
          <w:szCs w:val="22"/>
          <w:u w:color="000000"/>
          <w:lang w:val="es-ES_tradnl"/>
        </w:rPr>
        <w:t>IDH</w:t>
      </w:r>
      <w:r w:rsidR="00206211"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es el órgano que emite las sentencias con las respectivas medidas de reparación hay que reflexionar sobre los procesos anteriores que llevaron a los jueces a tomar determinas decisiones, es así que los primeros escritos que presentan los peticionarios a los órganos del Sistema deben contar con argumentos concretos y precisos sobre todo en lo relacionados a la reparación. El papel de los representantes de las </w:t>
      </w:r>
      <w:proofErr w:type="spellStart"/>
      <w:r w:rsidRPr="00B66F9D">
        <w:rPr>
          <w:rFonts w:ascii="Arial" w:eastAsia="Arial Unicode MS" w:hAnsi="Arial" w:cs="Arial"/>
          <w:sz w:val="22"/>
          <w:szCs w:val="22"/>
          <w:u w:color="000000"/>
          <w:lang w:val="es-ES_tradnl"/>
        </w:rPr>
        <w:t>victimas</w:t>
      </w:r>
      <w:proofErr w:type="spellEnd"/>
      <w:r w:rsidRPr="00B66F9D">
        <w:rPr>
          <w:rFonts w:ascii="Arial" w:eastAsia="Arial Unicode MS" w:hAnsi="Arial" w:cs="Arial"/>
          <w:sz w:val="22"/>
          <w:szCs w:val="22"/>
          <w:u w:color="000000"/>
          <w:lang w:val="es-ES_tradnl"/>
        </w:rPr>
        <w:t xml:space="preserve"> en este punto es fundamental primeramente en la relación con sus representados para comprender qué aspectos requieren ser reparados y luego exponiéndolos ante los correspondientes órganos, esta precisión redundará en las decisiones que posteriormente tomen los jueces pues les dará una idea más clara de los daños y las medidas que deben aplicarse. No hay que olvidar que parte del mérito en la producción jurisprudencial de la Corte </w:t>
      </w:r>
      <w:r w:rsidR="00955649">
        <w:rPr>
          <w:rFonts w:ascii="Arial" w:eastAsia="Arial Unicode MS" w:hAnsi="Arial" w:cs="Arial"/>
          <w:sz w:val="22"/>
          <w:szCs w:val="22"/>
          <w:u w:color="000000"/>
          <w:lang w:val="es-ES_tradnl"/>
        </w:rPr>
        <w:t>IDH</w:t>
      </w:r>
      <w:r w:rsidR="00955649"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es de los representantes de las víctimas, pues dinamizan el Sistema y aportan con argumentos novedosos a los casos específicos.   </w:t>
      </w:r>
    </w:p>
    <w:p w:rsidR="000E59CF" w:rsidRPr="00B66F9D" w:rsidRDefault="000E59CF"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Un aspecto que en la medida de lo p</w:t>
      </w:r>
      <w:r w:rsidR="00AD7009">
        <w:rPr>
          <w:rFonts w:ascii="Arial" w:eastAsia="Arial Unicode MS" w:hAnsi="Arial" w:cs="Arial"/>
          <w:sz w:val="22"/>
          <w:szCs w:val="22"/>
          <w:u w:color="000000"/>
          <w:lang w:val="es-ES_tradnl"/>
        </w:rPr>
        <w:t>osible debe quedar</w:t>
      </w:r>
      <w:r w:rsidRPr="00B66F9D">
        <w:rPr>
          <w:rFonts w:ascii="Arial" w:eastAsia="Arial Unicode MS" w:hAnsi="Arial" w:cs="Arial"/>
          <w:sz w:val="22"/>
          <w:szCs w:val="22"/>
          <w:u w:color="000000"/>
          <w:lang w:val="es-ES_tradnl"/>
        </w:rPr>
        <w:t xml:space="preserve"> claro es el relativo a los plazos en el cumplimiento, la Corte </w:t>
      </w:r>
      <w:r w:rsidR="00955649">
        <w:rPr>
          <w:rFonts w:ascii="Arial" w:eastAsia="Arial Unicode MS" w:hAnsi="Arial" w:cs="Arial"/>
          <w:sz w:val="22"/>
          <w:szCs w:val="22"/>
          <w:u w:color="000000"/>
          <w:lang w:val="es-ES_tradnl"/>
        </w:rPr>
        <w:t>IDH</w:t>
      </w:r>
      <w:r w:rsidR="00955649"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generalmente señala de forma objetiva los plazos en que las obligaciones deben cumplirse considerando el grado de complejidad de las medidas, es por ello que no todas pueden incluir un tiempo determinado para su ejecución como aquellas destinadas a investigar sobre la verdad de los hechos y sancionar a los responsables, sin embargo la Corte </w:t>
      </w:r>
      <w:r w:rsidR="00955649">
        <w:rPr>
          <w:rFonts w:ascii="Arial" w:eastAsia="Arial Unicode MS" w:hAnsi="Arial" w:cs="Arial"/>
          <w:sz w:val="22"/>
          <w:szCs w:val="22"/>
          <w:u w:color="000000"/>
          <w:lang w:val="es-ES_tradnl"/>
        </w:rPr>
        <w:t>IDH</w:t>
      </w:r>
      <w:r w:rsidR="00955649"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señala plazos para que los Estados presenten informes sobre el avance en su cumplimiento donde deberán </w:t>
      </w:r>
      <w:r w:rsidRPr="00B66F9D">
        <w:rPr>
          <w:rFonts w:ascii="Arial" w:eastAsia="Arial Unicode MS" w:hAnsi="Arial" w:cs="Arial"/>
          <w:sz w:val="22"/>
          <w:szCs w:val="22"/>
          <w:u w:color="000000"/>
          <w:lang w:val="es-ES_tradnl"/>
        </w:rPr>
        <w:lastRenderedPageBreak/>
        <w:t>responder sobre las diligencias que se han llevado a cabo. Los plazos de todas formas podrían ampliarse previo acuerdo de las partes, esta posibilidad que en ciertos casos puede ser por causas legítimas, también puede ser utilizada de forma abusiva, sería conveniente entonces que el Estado señale de forma clara las razones que motivan dicha ampliación en el plazo y las diligencias que se han realizado y aquellas pendientes para dar cumplimiento pleno.</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Un elemento importante para que los Estados absuelvan dudas en cuanto a las medidas de reparación ordenadas puede hallarse en la jurisprudencia de la misma Corte</w:t>
      </w:r>
      <w:r w:rsidR="00955649" w:rsidRPr="00955649">
        <w:rPr>
          <w:rFonts w:ascii="Arial" w:eastAsia="Arial Unicode MS" w:hAnsi="Arial" w:cs="Arial"/>
          <w:sz w:val="22"/>
          <w:szCs w:val="22"/>
          <w:u w:color="000000"/>
          <w:lang w:val="es-ES_tradnl"/>
        </w:rPr>
        <w:t xml:space="preserve"> </w:t>
      </w:r>
      <w:r w:rsidR="00955649">
        <w:rPr>
          <w:rFonts w:ascii="Arial" w:eastAsia="Arial Unicode MS" w:hAnsi="Arial" w:cs="Arial"/>
          <w:sz w:val="22"/>
          <w:szCs w:val="22"/>
          <w:u w:color="000000"/>
          <w:lang w:val="es-ES_tradnl"/>
        </w:rPr>
        <w:t>IDH</w:t>
      </w:r>
      <w:r w:rsidRPr="00B66F9D">
        <w:rPr>
          <w:rFonts w:ascii="Arial" w:eastAsia="Arial Unicode MS" w:hAnsi="Arial" w:cs="Arial"/>
          <w:color w:val="000000"/>
          <w:sz w:val="22"/>
          <w:szCs w:val="22"/>
          <w:u w:color="000000"/>
          <w:lang w:val="es-ES" w:eastAsia="es-ES"/>
        </w:rPr>
        <w:t xml:space="preserve">, el considerar diversos casos con similares disposiciones, así como analizar resoluciones sobre el cumplimiento de las mismas puede dar luces de cómo se ha resuelto en presencia de obstáculos y desacuerdos. Por tanto es necesario que la jurisprudencia mantenga una uniformidad en sus criterios, cabe hacer un paréntesis en cuanto a los criterios de valoración del daño que ha utilizado la Corte </w:t>
      </w:r>
      <w:r w:rsidR="00955649">
        <w:rPr>
          <w:rFonts w:ascii="Arial" w:eastAsia="Arial Unicode MS" w:hAnsi="Arial" w:cs="Arial"/>
          <w:sz w:val="22"/>
          <w:szCs w:val="22"/>
          <w:u w:color="000000"/>
          <w:lang w:val="es-ES_tradnl"/>
        </w:rPr>
        <w:t>IDH</w:t>
      </w:r>
      <w:r w:rsidR="00955649"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 xml:space="preserve">en lo referente a la determinación del monto por indemnizaciones. Existen casos donde circunstancias similares envuelven la violación del mismo derecho sin embargo el monto por indemnizaciones difiere, es importante que se guarde relación entre la gravedad de los daños y el monto de las reparaciones pecuniarias además de considerar el derecho vulnerado.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El establecimiento de criterios diferentes provoca que las victimas estimen posibles discriminaciones y arbitrariedades en el pago de estos valores lo que dificultará los procesos de reparación. En general la Corte </w:t>
      </w:r>
      <w:r w:rsidR="00955649">
        <w:rPr>
          <w:rFonts w:ascii="Arial" w:eastAsia="Arial Unicode MS" w:hAnsi="Arial" w:cs="Arial"/>
          <w:sz w:val="22"/>
          <w:szCs w:val="22"/>
          <w:u w:color="000000"/>
          <w:lang w:val="es-ES_tradnl"/>
        </w:rPr>
        <w:t>IDH</w:t>
      </w:r>
      <w:r w:rsidR="00955649"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debe mantener una cierta similitud en las medidas otorgadas en base a los hechos de los casos cuando estos presentan coincidencias, ello sin perjuicio de que las medidas de reparación deban ajustarse a las particularidades de cada caso.</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Es evidente que las medidas que requieren de mayores gestiones y diligencias por parte del Estado encuentran más obstáculos para su cumplimiento y que muchas veces las disposiciones de la Corte </w:t>
      </w:r>
      <w:r w:rsidR="00955649">
        <w:rPr>
          <w:rFonts w:ascii="Arial" w:eastAsia="Arial Unicode MS" w:hAnsi="Arial" w:cs="Arial"/>
          <w:sz w:val="22"/>
          <w:szCs w:val="22"/>
          <w:u w:color="000000"/>
          <w:lang w:val="es-ES_tradnl"/>
        </w:rPr>
        <w:t>IDH</w:t>
      </w:r>
      <w:r w:rsidR="00955649"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resultan muy complejas debido al entorno normativo y político, por ello hay que recalcar en la importancia de medios de acercamiento de la Corte </w:t>
      </w:r>
      <w:r w:rsidR="00955649">
        <w:rPr>
          <w:rFonts w:ascii="Arial" w:eastAsia="Arial Unicode MS" w:hAnsi="Arial" w:cs="Arial"/>
          <w:sz w:val="22"/>
          <w:szCs w:val="22"/>
          <w:u w:color="000000"/>
          <w:lang w:val="es-ES_tradnl"/>
        </w:rPr>
        <w:t>IDH</w:t>
      </w:r>
      <w:r w:rsidR="00955649"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y de los demás órganos del Sistema Interamericano a los Estados para que puedan observar de primera mano y de forma más </w:t>
      </w:r>
      <w:r w:rsidR="00B209D9">
        <w:rPr>
          <w:rFonts w:ascii="Arial" w:eastAsia="Arial Unicode MS" w:hAnsi="Arial" w:cs="Arial"/>
          <w:sz w:val="22"/>
          <w:szCs w:val="22"/>
          <w:u w:color="000000"/>
          <w:lang w:val="es-ES_tradnl"/>
        </w:rPr>
        <w:t>directa la realidad de cada uno.</w:t>
      </w:r>
      <w:r w:rsidRPr="00B66F9D">
        <w:rPr>
          <w:rFonts w:ascii="Arial" w:eastAsia="Arial Unicode MS" w:hAnsi="Arial" w:cs="Arial"/>
          <w:sz w:val="22"/>
          <w:szCs w:val="22"/>
          <w:u w:color="000000"/>
          <w:lang w:val="es-ES_tradnl"/>
        </w:rPr>
        <w:t xml:space="preserve"> </w:t>
      </w:r>
      <w:r w:rsidR="00B209D9" w:rsidRPr="00B66F9D">
        <w:rPr>
          <w:rFonts w:ascii="Arial" w:eastAsia="Arial Unicode MS" w:hAnsi="Arial" w:cs="Arial"/>
          <w:sz w:val="22"/>
          <w:szCs w:val="22"/>
          <w:u w:color="000000"/>
          <w:lang w:val="es-ES_tradnl"/>
        </w:rPr>
        <w:t>Las</w:t>
      </w:r>
      <w:r w:rsidRPr="00B66F9D">
        <w:rPr>
          <w:rFonts w:ascii="Arial" w:eastAsia="Arial Unicode MS" w:hAnsi="Arial" w:cs="Arial"/>
          <w:sz w:val="22"/>
          <w:szCs w:val="22"/>
          <w:u w:color="000000"/>
          <w:lang w:val="es-ES_tradnl"/>
        </w:rPr>
        <w:t xml:space="preserve"> visitas técnicas son una alternativa viable para dar a la Corte </w:t>
      </w:r>
      <w:r w:rsidR="00955649">
        <w:rPr>
          <w:rFonts w:ascii="Arial" w:eastAsia="Arial Unicode MS" w:hAnsi="Arial" w:cs="Arial"/>
          <w:sz w:val="22"/>
          <w:szCs w:val="22"/>
          <w:u w:color="000000"/>
          <w:lang w:val="es-ES_tradnl"/>
        </w:rPr>
        <w:t>IDH</w:t>
      </w:r>
      <w:r w:rsidR="00955649"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elementos de juicio suficientes para ayudar a precisar las medidas que presentan mayores conflictos. Tales visitas puede</w:t>
      </w:r>
      <w:r w:rsidR="00B209D9">
        <w:rPr>
          <w:rFonts w:ascii="Arial" w:eastAsia="Arial Unicode MS" w:hAnsi="Arial" w:cs="Arial"/>
          <w:sz w:val="22"/>
          <w:szCs w:val="22"/>
          <w:u w:color="000000"/>
          <w:lang w:val="es-ES_tradnl"/>
        </w:rPr>
        <w:t>n</w:t>
      </w:r>
      <w:r w:rsidRPr="00B66F9D">
        <w:rPr>
          <w:rFonts w:ascii="Arial" w:eastAsia="Arial Unicode MS" w:hAnsi="Arial" w:cs="Arial"/>
          <w:sz w:val="22"/>
          <w:szCs w:val="22"/>
          <w:u w:color="000000"/>
          <w:lang w:val="es-ES_tradnl"/>
        </w:rPr>
        <w:t xml:space="preserve"> realizarse además en el transcurso de la etapa de cumplimiento de las </w:t>
      </w:r>
      <w:r w:rsidRPr="00B66F9D">
        <w:rPr>
          <w:rFonts w:ascii="Arial" w:eastAsia="Arial Unicode MS" w:hAnsi="Arial" w:cs="Arial"/>
          <w:sz w:val="22"/>
          <w:szCs w:val="22"/>
          <w:u w:color="000000"/>
          <w:lang w:val="es-ES_tradnl"/>
        </w:rPr>
        <w:lastRenderedPageBreak/>
        <w:t xml:space="preserve">sentencias para que exista una verificación en persona de las dificultades que envuelven el cumplimiento.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56C2" w:rsidRDefault="00651974" w:rsidP="00B656C2">
      <w:pPr>
        <w:pStyle w:val="Ttulo3"/>
        <w:spacing w:line="360" w:lineRule="auto"/>
        <w:ind w:left="720" w:hanging="720"/>
        <w:jc w:val="both"/>
        <w:rPr>
          <w:rFonts w:ascii="Arial" w:eastAsia="Arial Unicode MS" w:hAnsi="Arial" w:cs="Arial"/>
          <w:b w:val="0"/>
          <w:color w:val="auto"/>
          <w:sz w:val="22"/>
          <w:u w:color="000000"/>
          <w:lang w:val="es-ES_tradnl"/>
        </w:rPr>
      </w:pPr>
      <w:bookmarkStart w:id="22" w:name="_Toc356432259"/>
      <w:r w:rsidRPr="00B656C2">
        <w:rPr>
          <w:rFonts w:ascii="Arial" w:eastAsia="Arial Unicode MS" w:hAnsi="Arial" w:cs="Arial"/>
          <w:color w:val="auto"/>
          <w:sz w:val="22"/>
          <w:u w:color="000000"/>
          <w:lang w:val="es-ES_tradnl"/>
        </w:rPr>
        <w:t>2.2.2.</w:t>
      </w:r>
      <w:r w:rsidRPr="00B656C2">
        <w:rPr>
          <w:rFonts w:ascii="Arial" w:eastAsia="Arial Unicode MS" w:hAnsi="Arial" w:cs="Arial"/>
          <w:color w:val="auto"/>
          <w:sz w:val="22"/>
          <w:u w:color="000000"/>
          <w:lang w:val="es-ES_tradnl"/>
        </w:rPr>
        <w:tab/>
        <w:t>Procesos de negociación, concertación y diálogo entre los Estados y los representantes de las víctimas</w:t>
      </w:r>
      <w:bookmarkEnd w:id="22"/>
      <w:r w:rsidR="005805DB" w:rsidRPr="00B656C2">
        <w:rPr>
          <w:rFonts w:ascii="Arial" w:eastAsia="Arial Unicode MS" w:hAnsi="Arial" w:cs="Arial"/>
          <w:color w:val="auto"/>
          <w:sz w:val="22"/>
          <w:u w:color="000000"/>
          <w:lang w:val="es-ES_tradnl"/>
        </w:rPr>
        <w:t xml:space="preserve">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Los procesos de cumplimiento donde se requiere de negociación, concertación y diálogo entre los Estados y los representantes de las víctimas, no son necesariamente consecuencia de falta de claridad en las medidas de reparación, existen medidas que exigen dichos espacios para concretar el cumplimiento y buscar una verdadera reparación. </w:t>
      </w:r>
    </w:p>
    <w:p w:rsidR="00B66F9D" w:rsidRPr="00B66F9D" w:rsidRDefault="00B66F9D"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Llegar a acuerdos en el menor tiempo posible y con la mayor eficacia es un papel tanto de los Estados como de los representantes de las víctimas, aun encontrándose determinadas las acciones que deben tomarse, el cómo es lo que genera discrepancias y resulta en complicados procesos de negociación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La Corte IDH en sus sentencias también deja espacios donde el dialogo al momento de ejecutarlas debe hacerse presente, así por ejemplo para algunas medidas determina que deben realizarse en un plazo razonable, ello en consideración y respeto a los procesos internos de cada Estado, sin embargo este espacio queda abierto a que las partes en la ejecución discutan sobre cuál es ese plazo razonable, la falta de certeza que puede motiva</w:t>
      </w:r>
      <w:r w:rsidR="000E59CF" w:rsidRPr="00B66F9D">
        <w:rPr>
          <w:rFonts w:ascii="Arial" w:eastAsia="Arial Unicode MS" w:hAnsi="Arial" w:cs="Arial"/>
          <w:sz w:val="22"/>
          <w:szCs w:val="22"/>
          <w:u w:color="000000"/>
          <w:lang w:val="es-ES_tradnl"/>
        </w:rPr>
        <w:t>r desacuerdos impide que los repr</w:t>
      </w:r>
      <w:r w:rsidRPr="00B66F9D">
        <w:rPr>
          <w:rFonts w:ascii="Arial" w:eastAsia="Arial Unicode MS" w:hAnsi="Arial" w:cs="Arial"/>
          <w:sz w:val="22"/>
          <w:szCs w:val="22"/>
          <w:u w:color="000000"/>
          <w:lang w:val="es-ES_tradnl"/>
        </w:rPr>
        <w:t>e</w:t>
      </w:r>
      <w:r w:rsidR="000E59CF" w:rsidRPr="00B66F9D">
        <w:rPr>
          <w:rFonts w:ascii="Arial" w:eastAsia="Arial Unicode MS" w:hAnsi="Arial" w:cs="Arial"/>
          <w:sz w:val="22"/>
          <w:szCs w:val="22"/>
          <w:u w:color="000000"/>
          <w:lang w:val="es-ES_tradnl"/>
        </w:rPr>
        <w:t>se</w:t>
      </w:r>
      <w:r w:rsidRPr="00B66F9D">
        <w:rPr>
          <w:rFonts w:ascii="Arial" w:eastAsia="Arial Unicode MS" w:hAnsi="Arial" w:cs="Arial"/>
          <w:sz w:val="22"/>
          <w:szCs w:val="22"/>
          <w:u w:color="000000"/>
          <w:lang w:val="es-ES_tradnl"/>
        </w:rPr>
        <w:t xml:space="preserve">ntantes de las victimas puedan denunciar el incumplimiento por la falta de un plazo establecido.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3477B3"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casos donde ha existido desplazamiento de comunidades la Corte </w:t>
      </w:r>
      <w:r w:rsidR="00857525">
        <w:rPr>
          <w:rFonts w:ascii="Arial" w:eastAsia="Arial Unicode MS" w:hAnsi="Arial" w:cs="Arial"/>
          <w:sz w:val="22"/>
          <w:szCs w:val="22"/>
          <w:u w:color="000000"/>
          <w:lang w:val="es-ES_tradnl"/>
        </w:rPr>
        <w:t>IDH</w:t>
      </w:r>
      <w:r w:rsidR="00857525"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determina que el Estado establezca garantías de seguridad para los ex habitantes de determinado sector que</w:t>
      </w:r>
      <w:r w:rsidR="00761B2F">
        <w:rPr>
          <w:rFonts w:ascii="Arial" w:eastAsia="Arial Unicode MS" w:hAnsi="Arial" w:cs="Arial"/>
          <w:sz w:val="22"/>
          <w:szCs w:val="22"/>
          <w:u w:color="000000"/>
          <w:lang w:val="es-ES_tradnl"/>
        </w:rPr>
        <w:t xml:space="preserve"> decidan regresar, tales garantías</w:t>
      </w:r>
      <w:r w:rsidRPr="00B66F9D">
        <w:rPr>
          <w:rFonts w:ascii="Arial" w:eastAsia="Arial Unicode MS" w:hAnsi="Arial" w:cs="Arial"/>
          <w:sz w:val="22"/>
          <w:szCs w:val="22"/>
          <w:u w:color="000000"/>
          <w:lang w:val="es-ES_tradnl"/>
        </w:rPr>
        <w:t xml:space="preserve"> no son especificadas por la Corte </w:t>
      </w:r>
      <w:r w:rsidR="00761B2F">
        <w:rPr>
          <w:rFonts w:ascii="Arial" w:eastAsia="Arial Unicode MS" w:hAnsi="Arial" w:cs="Arial"/>
          <w:sz w:val="22"/>
          <w:szCs w:val="22"/>
          <w:u w:color="000000"/>
          <w:lang w:val="es-ES_tradnl"/>
        </w:rPr>
        <w:t>IDH</w:t>
      </w:r>
      <w:r w:rsidR="00761B2F"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por ello requieren pro</w:t>
      </w:r>
      <w:r w:rsidR="00B92A08">
        <w:rPr>
          <w:rFonts w:ascii="Arial" w:eastAsia="Arial Unicode MS" w:hAnsi="Arial" w:cs="Arial"/>
          <w:sz w:val="22"/>
          <w:szCs w:val="22"/>
          <w:u w:color="000000"/>
          <w:lang w:val="es-ES_tradnl"/>
        </w:rPr>
        <w:t>cesos de concertación con las ví</w:t>
      </w:r>
      <w:r w:rsidRPr="00B66F9D">
        <w:rPr>
          <w:rFonts w:ascii="Arial" w:eastAsia="Arial Unicode MS" w:hAnsi="Arial" w:cs="Arial"/>
          <w:sz w:val="22"/>
          <w:szCs w:val="22"/>
          <w:u w:color="000000"/>
          <w:lang w:val="es-ES_tradnl"/>
        </w:rPr>
        <w:t>ctimas en consideración a los riesgos que inv</w:t>
      </w:r>
      <w:r w:rsidR="00B92A08">
        <w:rPr>
          <w:rFonts w:ascii="Arial" w:eastAsia="Arial Unicode MS" w:hAnsi="Arial" w:cs="Arial"/>
          <w:sz w:val="22"/>
          <w:szCs w:val="22"/>
          <w:u w:color="000000"/>
          <w:lang w:val="es-ES_tradnl"/>
        </w:rPr>
        <w:t>olucra habitar en ciertas zonas.</w:t>
      </w:r>
      <w:r w:rsidRPr="00B66F9D">
        <w:rPr>
          <w:rFonts w:ascii="Arial" w:eastAsia="Arial Unicode MS" w:hAnsi="Arial" w:cs="Arial"/>
          <w:sz w:val="22"/>
          <w:szCs w:val="22"/>
          <w:u w:color="000000"/>
          <w:lang w:val="es-ES_tradnl"/>
        </w:rPr>
        <w:t xml:space="preserve"> </w:t>
      </w:r>
      <w:r w:rsidR="00B92A08" w:rsidRPr="00B66F9D">
        <w:rPr>
          <w:rFonts w:ascii="Arial" w:eastAsia="Arial Unicode MS" w:hAnsi="Arial" w:cs="Arial"/>
          <w:sz w:val="22"/>
          <w:szCs w:val="22"/>
          <w:u w:color="000000"/>
          <w:lang w:val="es-ES_tradnl"/>
        </w:rPr>
        <w:t>El</w:t>
      </w:r>
      <w:r w:rsidRPr="00B66F9D">
        <w:rPr>
          <w:rFonts w:ascii="Arial" w:eastAsia="Arial Unicode MS" w:hAnsi="Arial" w:cs="Arial"/>
          <w:sz w:val="22"/>
          <w:szCs w:val="22"/>
          <w:u w:color="000000"/>
          <w:lang w:val="es-ES_tradnl"/>
        </w:rPr>
        <w:t xml:space="preserve"> Estado entonces debe estar abierto a dialogar con las víctimas y sus representantes sobre las medidas que efectivamente otorguen seguridad a los habitantes y garanticen sus derechos. </w:t>
      </w:r>
    </w:p>
    <w:p w:rsidR="003477B3" w:rsidRDefault="003477B3"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En el caso de las Masacres de </w:t>
      </w:r>
      <w:proofErr w:type="spellStart"/>
      <w:r w:rsidRPr="00B66F9D">
        <w:rPr>
          <w:rFonts w:ascii="Arial" w:eastAsia="Arial Unicode MS" w:hAnsi="Arial" w:cs="Arial"/>
          <w:sz w:val="22"/>
          <w:szCs w:val="22"/>
          <w:u w:color="000000"/>
          <w:lang w:val="es-ES_tradnl"/>
        </w:rPr>
        <w:t>Ituango</w:t>
      </w:r>
      <w:proofErr w:type="spellEnd"/>
      <w:r w:rsidRPr="00B66F9D">
        <w:rPr>
          <w:rFonts w:ascii="Arial" w:eastAsia="Arial Unicode MS" w:hAnsi="Arial" w:cs="Arial"/>
          <w:sz w:val="22"/>
          <w:szCs w:val="22"/>
          <w:u w:color="000000"/>
          <w:lang w:val="es-ES_tradnl"/>
        </w:rPr>
        <w:t xml:space="preserve"> vs Colombia, la Corte </w:t>
      </w:r>
      <w:r w:rsidR="00B92A08">
        <w:rPr>
          <w:rFonts w:ascii="Arial" w:eastAsia="Arial Unicode MS" w:hAnsi="Arial" w:cs="Arial"/>
          <w:sz w:val="22"/>
          <w:szCs w:val="22"/>
          <w:u w:color="000000"/>
          <w:lang w:val="es-ES_tradnl"/>
        </w:rPr>
        <w:t>IDH</w:t>
      </w:r>
      <w:r w:rsidR="00B92A08"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dispuso que a los habitantes, que no lo han hecho aún, y decidan regresar a </w:t>
      </w:r>
      <w:proofErr w:type="spellStart"/>
      <w:r w:rsidRPr="00B66F9D">
        <w:rPr>
          <w:rFonts w:ascii="Arial" w:eastAsia="Arial Unicode MS" w:hAnsi="Arial" w:cs="Arial"/>
          <w:sz w:val="22"/>
          <w:szCs w:val="22"/>
          <w:u w:color="000000"/>
          <w:lang w:val="es-ES_tradnl"/>
        </w:rPr>
        <w:t>Ituango</w:t>
      </w:r>
      <w:proofErr w:type="spellEnd"/>
      <w:r w:rsidRPr="00B66F9D">
        <w:rPr>
          <w:rFonts w:ascii="Arial" w:eastAsia="Arial Unicode MS" w:hAnsi="Arial" w:cs="Arial"/>
          <w:sz w:val="22"/>
          <w:szCs w:val="22"/>
          <w:u w:color="000000"/>
          <w:lang w:val="es-ES_tradnl"/>
        </w:rPr>
        <w:t xml:space="preserve">, el Estado deberá </w:t>
      </w:r>
      <w:r w:rsidRPr="00B66F9D">
        <w:rPr>
          <w:rFonts w:ascii="Arial" w:eastAsia="Arial Unicode MS" w:hAnsi="Arial" w:cs="Arial"/>
          <w:sz w:val="22"/>
          <w:szCs w:val="22"/>
          <w:u w:color="000000"/>
          <w:lang w:val="es-ES_tradnl"/>
        </w:rPr>
        <w:lastRenderedPageBreak/>
        <w:t xml:space="preserve">garantizarles su seguridad, lo cual deberá incluir la supervisión de las condiciones en la forma y término que permitan garantizar dicha seguridad. En este caso en particular se debe mantener un dialogo constante pues el Estado debe supervisar que las condiciones de seguridad sean permanentes; la Corte </w:t>
      </w:r>
      <w:r w:rsidR="00B92A08">
        <w:rPr>
          <w:rFonts w:ascii="Arial" w:eastAsia="Arial Unicode MS" w:hAnsi="Arial" w:cs="Arial"/>
          <w:sz w:val="22"/>
          <w:szCs w:val="22"/>
          <w:u w:color="000000"/>
          <w:lang w:val="es-ES_tradnl"/>
        </w:rPr>
        <w:t>IDH</w:t>
      </w:r>
      <w:r w:rsidR="00B92A08"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señaló en este caso que de no existir estas condiciones el Estado deberá disponer de los recursos necesarios y suficientes para procurar que las víctimas de desplazamiento forzado puedan reasentarse en condiciones similares a las que se encontraban antes de los hechos en el lugar que ellas libre y voluntariamente indiquen</w:t>
      </w:r>
      <w:r w:rsidRPr="00B66F9D">
        <w:rPr>
          <w:rFonts w:ascii="Arial" w:eastAsia="Arial Unicode MS" w:hAnsi="Arial" w:cs="Arial"/>
          <w:sz w:val="22"/>
          <w:szCs w:val="22"/>
          <w:u w:color="000000"/>
          <w:vertAlign w:val="superscript"/>
          <w:lang w:val="es-ES_tradnl"/>
        </w:rPr>
        <w:footnoteReference w:id="136"/>
      </w:r>
      <w:r w:rsidRPr="00B66F9D">
        <w:rPr>
          <w:rFonts w:ascii="Arial" w:eastAsia="Arial Unicode MS" w:hAnsi="Arial" w:cs="Arial"/>
          <w:sz w:val="22"/>
          <w:szCs w:val="22"/>
          <w:u w:color="000000"/>
          <w:lang w:val="es-ES_tradnl"/>
        </w:rPr>
        <w:t>.</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En la ejecución de ciertas medidas como la construcción de monumentos, existen opiniones encontradas respecto de si es necesaria l</w:t>
      </w:r>
      <w:r w:rsidR="00B209D9">
        <w:rPr>
          <w:rFonts w:ascii="Arial" w:eastAsia="Arial Unicode MS" w:hAnsi="Arial" w:cs="Arial"/>
          <w:sz w:val="22"/>
          <w:szCs w:val="22"/>
          <w:u w:color="000000"/>
          <w:lang w:val="es-ES_tradnl"/>
        </w:rPr>
        <w:t>a concertación con las víctimas. P</w:t>
      </w:r>
      <w:r w:rsidRPr="00B66F9D">
        <w:rPr>
          <w:rFonts w:ascii="Arial" w:eastAsia="Arial Unicode MS" w:hAnsi="Arial" w:cs="Arial"/>
          <w:sz w:val="22"/>
          <w:szCs w:val="22"/>
          <w:u w:color="000000"/>
          <w:lang w:val="es-ES_tradnl"/>
        </w:rPr>
        <w:t xml:space="preserve">or un lado el Estado por dar inmediato cumplimiento a la medida puede iniciar la construcción, sin embargo en la ejecución pueden existir divergencias respecto de las características de los monumentos, a su ubicación y materiales empleados, en este sentido la Corte </w:t>
      </w:r>
      <w:r w:rsidR="00B92A08">
        <w:rPr>
          <w:rFonts w:ascii="Arial" w:eastAsia="Arial Unicode MS" w:hAnsi="Arial" w:cs="Arial"/>
          <w:sz w:val="22"/>
          <w:szCs w:val="22"/>
          <w:u w:color="000000"/>
          <w:lang w:val="es-ES_tradnl"/>
        </w:rPr>
        <w:t>IDH</w:t>
      </w:r>
      <w:r w:rsidR="00B92A08"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ha señalado que el lugar debe ser acordado pues el fin de esta medida es conservar viva la memoria de las víctimas y considerar sus aspiraciones, intereses y necesidades sobre todo en el caso de las reparaciones simbólicas y colectivas.</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Cabe destacar que la Corte </w:t>
      </w:r>
      <w:r w:rsidR="00B92A08">
        <w:rPr>
          <w:rFonts w:ascii="Arial" w:eastAsia="Arial Unicode MS" w:hAnsi="Arial" w:cs="Arial"/>
          <w:sz w:val="22"/>
          <w:szCs w:val="22"/>
          <w:u w:color="000000"/>
          <w:lang w:val="es-ES_tradnl"/>
        </w:rPr>
        <w:t>IDH</w:t>
      </w:r>
      <w:r w:rsidR="00B92A08"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permite que las medidas de reparación sean acordadas por las partes y son admitidas siempre que sean razonables y se cumpla con el objetivo de reparar integralmente a las víctimas, es así que de cumplirse estas condiciones la Corte </w:t>
      </w:r>
      <w:r w:rsidR="00B92A08">
        <w:rPr>
          <w:rFonts w:ascii="Arial" w:eastAsia="Arial Unicode MS" w:hAnsi="Arial" w:cs="Arial"/>
          <w:sz w:val="22"/>
          <w:szCs w:val="22"/>
          <w:u w:color="000000"/>
          <w:lang w:val="es-ES_tradnl"/>
        </w:rPr>
        <w:t>IDH</w:t>
      </w:r>
      <w:r w:rsidR="00B92A08"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debe estar abierta a estos consensos, verificando además que se garantice la plena vigencia y la protección a los derechos humanos.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Es necesario destacar el rol de los representantes de las victimas pues a más de ser quienes en un principio formulan las denuncias de las víctimas o sus familiares  y dan forma a sus propuestas, adicionalmente su papel no termina en la emisión de la sentencia, además deben acompañar a las víctimas en el proceso de cumplimiento y remitir los respectivos informes a la Corte</w:t>
      </w:r>
      <w:r w:rsidR="00B92A08" w:rsidRPr="00B92A08">
        <w:rPr>
          <w:rFonts w:ascii="Arial" w:eastAsia="Arial Unicode MS" w:hAnsi="Arial" w:cs="Arial"/>
          <w:sz w:val="22"/>
          <w:szCs w:val="22"/>
          <w:u w:color="000000"/>
          <w:lang w:val="es-ES_tradnl"/>
        </w:rPr>
        <w:t xml:space="preserve"> </w:t>
      </w:r>
      <w:r w:rsidR="00B92A08">
        <w:rPr>
          <w:rFonts w:ascii="Arial" w:eastAsia="Arial Unicode MS" w:hAnsi="Arial" w:cs="Arial"/>
          <w:sz w:val="22"/>
          <w:szCs w:val="22"/>
          <w:u w:color="000000"/>
          <w:lang w:val="es-ES_tradnl"/>
        </w:rPr>
        <w:t>IDH</w:t>
      </w:r>
      <w:r w:rsidRPr="00B66F9D">
        <w:rPr>
          <w:rFonts w:ascii="Arial" w:eastAsia="Arial Unicode MS" w:hAnsi="Arial" w:cs="Arial"/>
          <w:color w:val="000000"/>
          <w:sz w:val="22"/>
          <w:szCs w:val="22"/>
          <w:u w:color="000000"/>
          <w:lang w:val="es-ES" w:eastAsia="es-ES"/>
        </w:rPr>
        <w:t>. Constituyen el puente de comunicación entre las víctimas y el Estado, y deben tomar todas las medidas del caso cuando es evidente una falta de voluntad o discrecionalidad para cumplir con las disposiciones de la Corte</w:t>
      </w:r>
      <w:r w:rsidR="00B92A08" w:rsidRPr="00B92A08">
        <w:rPr>
          <w:rFonts w:ascii="Arial" w:eastAsia="Arial Unicode MS" w:hAnsi="Arial" w:cs="Arial"/>
          <w:sz w:val="22"/>
          <w:szCs w:val="22"/>
          <w:u w:color="000000"/>
          <w:lang w:val="es-ES_tradnl"/>
        </w:rPr>
        <w:t xml:space="preserve"> </w:t>
      </w:r>
      <w:r w:rsidR="00B92A08">
        <w:rPr>
          <w:rFonts w:ascii="Arial" w:eastAsia="Arial Unicode MS" w:hAnsi="Arial" w:cs="Arial"/>
          <w:sz w:val="22"/>
          <w:szCs w:val="22"/>
          <w:u w:color="000000"/>
          <w:lang w:val="es-ES_tradnl"/>
        </w:rPr>
        <w:t>IDH</w:t>
      </w:r>
      <w:r w:rsidRPr="00B66F9D">
        <w:rPr>
          <w:rFonts w:ascii="Arial" w:eastAsia="Arial Unicode MS" w:hAnsi="Arial" w:cs="Arial"/>
          <w:color w:val="000000"/>
          <w:sz w:val="22"/>
          <w:szCs w:val="22"/>
          <w:u w:color="000000"/>
          <w:lang w:val="es-ES" w:eastAsia="es-ES"/>
        </w:rPr>
        <w:t xml:space="preserve">. Al ser quienes usualmente tienen relación con los agentes de Estado se provocan discrepancias y generan además el aislamiento de las </w:t>
      </w:r>
      <w:proofErr w:type="spellStart"/>
      <w:r w:rsidRPr="00B66F9D">
        <w:rPr>
          <w:rFonts w:ascii="Arial" w:eastAsia="Arial Unicode MS" w:hAnsi="Arial" w:cs="Arial"/>
          <w:color w:val="000000"/>
          <w:sz w:val="22"/>
          <w:szCs w:val="22"/>
          <w:u w:color="000000"/>
          <w:lang w:val="es-ES" w:eastAsia="es-ES"/>
        </w:rPr>
        <w:t>victimas</w:t>
      </w:r>
      <w:proofErr w:type="spellEnd"/>
      <w:r w:rsidRPr="00B66F9D">
        <w:rPr>
          <w:rFonts w:ascii="Arial" w:eastAsia="Arial Unicode MS" w:hAnsi="Arial" w:cs="Arial"/>
          <w:color w:val="000000"/>
          <w:sz w:val="22"/>
          <w:szCs w:val="22"/>
          <w:u w:color="000000"/>
          <w:lang w:val="es-ES" w:eastAsia="es-ES"/>
        </w:rPr>
        <w:t xml:space="preserve"> en el proceso, </w:t>
      </w:r>
      <w:r w:rsidRPr="00B66F9D">
        <w:rPr>
          <w:rFonts w:ascii="Arial" w:eastAsia="Arial Unicode MS" w:hAnsi="Arial" w:cs="Arial"/>
          <w:color w:val="000000"/>
          <w:sz w:val="22"/>
          <w:szCs w:val="22"/>
          <w:u w:color="000000"/>
          <w:lang w:val="es-ES" w:eastAsia="es-ES"/>
        </w:rPr>
        <w:lastRenderedPageBreak/>
        <w:t>circunstancias como esta motivan a los Estados a t</w:t>
      </w:r>
      <w:r w:rsidR="00B92A08">
        <w:rPr>
          <w:rFonts w:ascii="Arial" w:eastAsia="Arial Unicode MS" w:hAnsi="Arial" w:cs="Arial"/>
          <w:color w:val="000000"/>
          <w:sz w:val="22"/>
          <w:szCs w:val="22"/>
          <w:u w:color="000000"/>
          <w:lang w:val="es-ES" w:eastAsia="es-ES"/>
        </w:rPr>
        <w:t>ener relación directa con las ví</w:t>
      </w:r>
      <w:r w:rsidRPr="00B66F9D">
        <w:rPr>
          <w:rFonts w:ascii="Arial" w:eastAsia="Arial Unicode MS" w:hAnsi="Arial" w:cs="Arial"/>
          <w:color w:val="000000"/>
          <w:sz w:val="22"/>
          <w:szCs w:val="22"/>
          <w:u w:color="000000"/>
          <w:lang w:val="es-ES" w:eastAsia="es-ES"/>
        </w:rPr>
        <w:t>ctimas considerando que sus representantes bloquean los acuerdos, sin embargo ello puede acarrear abusos de poder causados por la falta de conocimiento</w:t>
      </w:r>
      <w:r w:rsidR="00B92A08">
        <w:rPr>
          <w:rFonts w:ascii="Arial" w:eastAsia="Arial Unicode MS" w:hAnsi="Arial" w:cs="Arial"/>
          <w:color w:val="000000"/>
          <w:sz w:val="22"/>
          <w:szCs w:val="22"/>
          <w:u w:color="000000"/>
          <w:lang w:val="es-ES" w:eastAsia="es-ES"/>
        </w:rPr>
        <w:t>.</w:t>
      </w:r>
      <w:r w:rsidRPr="00B66F9D">
        <w:rPr>
          <w:rFonts w:ascii="Arial" w:eastAsia="Arial Unicode MS" w:hAnsi="Arial" w:cs="Arial"/>
          <w:color w:val="000000"/>
          <w:sz w:val="22"/>
          <w:szCs w:val="22"/>
          <w:u w:color="000000"/>
          <w:lang w:val="es-ES" w:eastAsia="es-ES"/>
        </w:rPr>
        <w:t xml:space="preserve">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Se pued</w:t>
      </w:r>
      <w:r w:rsidR="00B92A08">
        <w:rPr>
          <w:rFonts w:ascii="Arial" w:eastAsia="Arial Unicode MS" w:hAnsi="Arial" w:cs="Arial"/>
          <w:color w:val="000000"/>
          <w:sz w:val="22"/>
          <w:szCs w:val="22"/>
          <w:u w:color="000000"/>
          <w:lang w:val="es-ES" w:eastAsia="es-ES"/>
        </w:rPr>
        <w:t>en presentar casos en que las ví</w:t>
      </w:r>
      <w:r w:rsidRPr="00B66F9D">
        <w:rPr>
          <w:rFonts w:ascii="Arial" w:eastAsia="Arial Unicode MS" w:hAnsi="Arial" w:cs="Arial"/>
          <w:color w:val="000000"/>
          <w:sz w:val="22"/>
          <w:szCs w:val="22"/>
          <w:u w:color="000000"/>
          <w:lang w:val="es-ES" w:eastAsia="es-ES"/>
        </w:rPr>
        <w:t xml:space="preserve">ctimas pierdan la confianza en sus representantes y no acudan a ellos para canalizar sus propuestas en cuanto a la forma de llevar a cabo las medidas de reparación, ello puede provocar falta de información sobre la reparación pendiente y numerosas quejas de las víctimas y sus familiares.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El establecimiento de canales de diálogo y mecanismos de acercamiento del Estado con los representantes de las víctimas puede ayudar a superar eventuales confrontaciones, la existencia de vías estandarizadas facilita la comunicación y evita la pérdida de tiempo en gestiones que no generan resultados. Es conveniente que el Estado asuma una posición de apertura y acercamiento pues no hay que olvidar que existe una relación asimétrica de poder y es deseable que no se produzcan situaciones de </w:t>
      </w:r>
      <w:proofErr w:type="spellStart"/>
      <w:r w:rsidRPr="00B66F9D">
        <w:rPr>
          <w:rFonts w:ascii="Arial" w:eastAsia="Arial Unicode MS" w:hAnsi="Arial" w:cs="Arial"/>
          <w:color w:val="000000"/>
          <w:sz w:val="22"/>
          <w:szCs w:val="22"/>
          <w:u w:color="000000"/>
          <w:lang w:val="es-ES" w:eastAsia="es-ES"/>
        </w:rPr>
        <w:t>revictimizacion</w:t>
      </w:r>
      <w:proofErr w:type="spellEnd"/>
      <w:r w:rsidRPr="00B66F9D">
        <w:rPr>
          <w:rFonts w:ascii="Arial" w:eastAsia="Arial Unicode MS" w:hAnsi="Arial" w:cs="Arial"/>
          <w:color w:val="000000"/>
          <w:sz w:val="22"/>
          <w:szCs w:val="22"/>
          <w:u w:color="000000"/>
          <w:lang w:val="es-ES" w:eastAsia="es-ES"/>
        </w:rPr>
        <w:t xml:space="preserve"> por falta de acuerdos y procesos burocráticos extensos</w:t>
      </w:r>
      <w:r w:rsidR="00B92A08">
        <w:rPr>
          <w:rFonts w:ascii="Arial" w:eastAsia="Arial Unicode MS" w:hAnsi="Arial" w:cs="Arial"/>
          <w:color w:val="000000"/>
          <w:sz w:val="22"/>
          <w:szCs w:val="22"/>
          <w:u w:color="000000"/>
          <w:lang w:val="es-ES" w:eastAsia="es-ES"/>
        </w:rPr>
        <w:t>.</w:t>
      </w:r>
    </w:p>
    <w:p w:rsidR="000D7F12" w:rsidRPr="008F2951" w:rsidRDefault="000D7F12" w:rsidP="008F2951">
      <w:pPr>
        <w:spacing w:before="20" w:line="360" w:lineRule="auto"/>
        <w:jc w:val="both"/>
        <w:outlineLvl w:val="0"/>
        <w:rPr>
          <w:rFonts w:ascii="Arial" w:eastAsia="Arial Unicode MS" w:hAnsi="Arial Unicode MS"/>
          <w:sz w:val="22"/>
          <w:u w:color="000000"/>
          <w:lang w:val="es-ES"/>
        </w:rPr>
      </w:pPr>
    </w:p>
    <w:p w:rsidR="008F2951" w:rsidRPr="00B656C2" w:rsidRDefault="005805DB" w:rsidP="00783008">
      <w:pPr>
        <w:pStyle w:val="Ttulo2"/>
        <w:spacing w:line="360" w:lineRule="auto"/>
        <w:ind w:left="720" w:hanging="720"/>
        <w:jc w:val="both"/>
        <w:rPr>
          <w:rFonts w:ascii="Arial" w:eastAsia="Arial Unicode MS" w:hAnsi="Arial Unicode MS"/>
          <w:b w:val="0"/>
          <w:color w:val="auto"/>
          <w:sz w:val="24"/>
          <w:szCs w:val="24"/>
          <w:u w:color="000000"/>
          <w:lang w:val="es-ES_tradnl"/>
        </w:rPr>
      </w:pPr>
      <w:bookmarkStart w:id="23" w:name="_Toc356432260"/>
      <w:r w:rsidRPr="00B656C2">
        <w:rPr>
          <w:rFonts w:ascii="Arial" w:eastAsia="Arial Unicode MS" w:hAnsi="Arial Unicode MS"/>
          <w:color w:val="auto"/>
          <w:sz w:val="24"/>
          <w:szCs w:val="24"/>
          <w:u w:color="000000"/>
          <w:lang w:val="es-ES_tradnl"/>
        </w:rPr>
        <w:t>2.3.</w:t>
      </w:r>
      <w:r w:rsidRPr="00B656C2">
        <w:rPr>
          <w:rFonts w:ascii="Arial" w:eastAsia="Arial Unicode MS" w:hAnsi="Arial Unicode MS"/>
          <w:color w:val="auto"/>
          <w:sz w:val="24"/>
          <w:szCs w:val="24"/>
          <w:u w:color="000000"/>
          <w:lang w:val="es-ES_tradnl"/>
        </w:rPr>
        <w:tab/>
      </w:r>
      <w:r w:rsidR="00651974" w:rsidRPr="00B656C2">
        <w:rPr>
          <w:rFonts w:ascii="Arial" w:eastAsia="Arial Unicode MS" w:hAnsi="Arial Unicode MS"/>
          <w:color w:val="auto"/>
          <w:sz w:val="24"/>
          <w:szCs w:val="24"/>
          <w:u w:color="000000"/>
          <w:lang w:val="es-ES_tradnl"/>
        </w:rPr>
        <w:t>Ineficacia de medidas coercitivas de la Corte IDH frente al incumplimiento de las sentencias por parte de los Estados responsables</w:t>
      </w:r>
      <w:r w:rsidRPr="00B656C2">
        <w:rPr>
          <w:rFonts w:ascii="Arial" w:eastAsia="Arial Unicode MS" w:hAnsi="Arial Unicode MS"/>
          <w:color w:val="auto"/>
          <w:sz w:val="24"/>
          <w:szCs w:val="24"/>
          <w:u w:color="000000"/>
          <w:lang w:val="es-ES_tradnl"/>
        </w:rPr>
        <w:t>.</w:t>
      </w:r>
      <w:bookmarkEnd w:id="23"/>
      <w:r w:rsidRPr="00B656C2">
        <w:rPr>
          <w:rFonts w:ascii="Arial" w:eastAsia="Arial Unicode MS" w:hAnsi="Arial Unicode MS"/>
          <w:color w:val="auto"/>
          <w:sz w:val="24"/>
          <w:szCs w:val="24"/>
          <w:u w:color="000000"/>
          <w:lang w:val="es-ES_tradnl"/>
        </w:rPr>
        <w:t xml:space="preserve">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A pesar de que los instrumentos internacionales dispongan que las sentencias de la Corte IDH son</w:t>
      </w:r>
      <w:r w:rsidR="00B92A08">
        <w:rPr>
          <w:rFonts w:ascii="Arial" w:eastAsia="Arial Unicode MS" w:hAnsi="Arial" w:cs="Arial"/>
          <w:sz w:val="22"/>
          <w:szCs w:val="22"/>
          <w:u w:color="000000"/>
          <w:lang w:val="es-ES_tradnl"/>
        </w:rPr>
        <w:t xml:space="preserve"> obligatorias para los Estados P</w:t>
      </w:r>
      <w:r w:rsidRPr="00B66F9D">
        <w:rPr>
          <w:rFonts w:ascii="Arial" w:eastAsia="Arial Unicode MS" w:hAnsi="Arial" w:cs="Arial"/>
          <w:sz w:val="22"/>
          <w:szCs w:val="22"/>
          <w:u w:color="000000"/>
          <w:lang w:val="es-ES_tradnl"/>
        </w:rPr>
        <w:t>arte</w:t>
      </w:r>
      <w:r w:rsidR="00B92A08">
        <w:rPr>
          <w:rFonts w:ascii="Arial" w:eastAsia="Arial Unicode MS" w:hAnsi="Arial" w:cs="Arial"/>
          <w:sz w:val="22"/>
          <w:szCs w:val="22"/>
          <w:u w:color="000000"/>
          <w:lang w:val="es-ES_tradnl"/>
        </w:rPr>
        <w:t>s</w:t>
      </w:r>
      <w:r w:rsidRPr="00B66F9D">
        <w:rPr>
          <w:rFonts w:ascii="Arial" w:eastAsia="Arial Unicode MS" w:hAnsi="Arial" w:cs="Arial"/>
          <w:sz w:val="22"/>
          <w:szCs w:val="22"/>
          <w:u w:color="000000"/>
          <w:lang w:val="es-ES_tradnl"/>
        </w:rPr>
        <w:t xml:space="preserve"> de la Convención Americana  sobre  Derechos Humanos, y que hayan ratificado la competencia contenciosa del Tribunal</w:t>
      </w:r>
      <w:r w:rsidRPr="00B66F9D">
        <w:rPr>
          <w:rFonts w:ascii="Arial" w:eastAsia="Arial Unicode MS" w:hAnsi="Arial" w:cs="Arial"/>
          <w:sz w:val="22"/>
          <w:szCs w:val="22"/>
          <w:u w:color="000000"/>
          <w:vertAlign w:val="superscript"/>
          <w:lang w:val="es-ES_tradnl"/>
        </w:rPr>
        <w:footnoteReference w:id="137"/>
      </w:r>
      <w:r w:rsidRPr="00B66F9D">
        <w:rPr>
          <w:rFonts w:ascii="Arial" w:eastAsia="Arial Unicode MS" w:hAnsi="Arial" w:cs="Arial"/>
          <w:sz w:val="22"/>
          <w:szCs w:val="22"/>
          <w:u w:color="000000"/>
          <w:lang w:val="es-ES_tradnl"/>
        </w:rPr>
        <w:t xml:space="preserve">, es evidente un alto grado de cumplimiento parcial, si bien ciertas medidas son realizadas de forma breve y eficaz, persisten problemas para alcanzar el cumplimiento pleno de las sentencias.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La obligación de cumplir las sentencias de la Corte IDH emana de la misma Convención Americana por lo que los Estados suscriptores deben realizar todas las acciones posibles para respetar dicho instrumento y los principios del derecho internacional. Las normas contemplan sanciones cuando se produce su incumplimiento, por ello varios autores se han referido a una falta mecanismos coercitivos en los instrumentos de protección a los derechos humanos de la región,  el Sistema Interamericano no cuenta con tales </w:t>
      </w:r>
      <w:r w:rsidRPr="00B66F9D">
        <w:rPr>
          <w:rFonts w:ascii="Arial" w:eastAsia="Arial Unicode MS" w:hAnsi="Arial" w:cs="Arial"/>
          <w:sz w:val="22"/>
          <w:szCs w:val="22"/>
          <w:u w:color="000000"/>
          <w:lang w:val="es-ES_tradnl"/>
        </w:rPr>
        <w:lastRenderedPageBreak/>
        <w:t>mecanismos por lo tanto la presencia de un importante nivel de incumplimiento. Ciertos actores del Sistema claman por vías efectivas para enfrentar el incumplimiento pues supone una debilidad real y actual, especialmente los representantes de las victimas manifiestan que deben transitar un largo camino acompañados en todo momento de las dificultades que generan la falta de voluntad de los Estados responsables.</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Uno de los principales objetivos de Sistema sobre todo a través de la Corte </w:t>
      </w:r>
      <w:r w:rsidR="00BE1603">
        <w:rPr>
          <w:rFonts w:ascii="Arial" w:eastAsia="Arial Unicode MS" w:hAnsi="Arial" w:cs="Arial"/>
          <w:sz w:val="22"/>
          <w:szCs w:val="22"/>
          <w:u w:color="000000"/>
          <w:lang w:val="es-ES_tradnl"/>
        </w:rPr>
        <w:t>IDH</w:t>
      </w:r>
      <w:r w:rsidR="00BE1603"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 xml:space="preserve">es lograr que se sancione a los responsables de las violaciones a los derechos humanos, sin embargo este es uno de los aspectos de las sentencias que </w:t>
      </w:r>
      <w:proofErr w:type="spellStart"/>
      <w:r w:rsidRPr="00B66F9D">
        <w:rPr>
          <w:rFonts w:ascii="Arial" w:eastAsia="Arial Unicode MS" w:hAnsi="Arial" w:cs="Arial"/>
          <w:color w:val="000000"/>
          <w:sz w:val="22"/>
          <w:szCs w:val="22"/>
          <w:u w:color="000000"/>
          <w:lang w:val="es-ES" w:eastAsia="es-ES"/>
        </w:rPr>
        <w:t>mas</w:t>
      </w:r>
      <w:proofErr w:type="spellEnd"/>
      <w:r w:rsidRPr="00B66F9D">
        <w:rPr>
          <w:rFonts w:ascii="Arial" w:eastAsia="Arial Unicode MS" w:hAnsi="Arial" w:cs="Arial"/>
          <w:color w:val="000000"/>
          <w:sz w:val="22"/>
          <w:szCs w:val="22"/>
          <w:u w:color="000000"/>
          <w:lang w:val="es-ES" w:eastAsia="es-ES"/>
        </w:rPr>
        <w:t xml:space="preserve"> alto incumplimiento tiene, la sanción no solo es una medida de satisfacción para las víctimas y sus familiares sino que conlleva en acabar con la impunidad en la región.</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Varios autores coinciden en la inconveniencia de que la ejecución de las sentencias se realice por medio de las normas de los ordenamientos jurídicos internos</w:t>
      </w:r>
      <w:r w:rsidRPr="00B66F9D">
        <w:rPr>
          <w:rFonts w:ascii="Arial" w:eastAsia="Arial Unicode MS" w:hAnsi="Arial" w:cs="Arial"/>
          <w:sz w:val="22"/>
          <w:szCs w:val="22"/>
          <w:u w:color="000000"/>
          <w:vertAlign w:val="superscript"/>
          <w:lang w:val="es-ES_tradnl"/>
        </w:rPr>
        <w:footnoteReference w:id="138"/>
      </w:r>
      <w:r w:rsidRPr="00B66F9D">
        <w:rPr>
          <w:rFonts w:ascii="Arial" w:eastAsia="Arial Unicode MS" w:hAnsi="Arial" w:cs="Arial"/>
          <w:sz w:val="22"/>
          <w:szCs w:val="22"/>
          <w:u w:color="000000"/>
          <w:lang w:val="es-ES_tradnl"/>
        </w:rPr>
        <w:t>, sin embargo esta circunstancia que ha sido avalada por la misma Corte</w:t>
      </w:r>
      <w:r w:rsidR="00BE1603" w:rsidRPr="00BE1603">
        <w:rPr>
          <w:rFonts w:ascii="Arial" w:eastAsia="Arial Unicode MS" w:hAnsi="Arial" w:cs="Arial"/>
          <w:sz w:val="22"/>
          <w:szCs w:val="22"/>
          <w:u w:color="000000"/>
          <w:lang w:val="es-ES_tradnl"/>
        </w:rPr>
        <w:t xml:space="preserve"> </w:t>
      </w:r>
      <w:r w:rsidR="00BE1603">
        <w:rPr>
          <w:rFonts w:ascii="Arial" w:eastAsia="Arial Unicode MS" w:hAnsi="Arial" w:cs="Arial"/>
          <w:sz w:val="22"/>
          <w:szCs w:val="22"/>
          <w:u w:color="000000"/>
          <w:lang w:val="es-ES_tradnl"/>
        </w:rPr>
        <w:t>IDH</w:t>
      </w:r>
      <w:r w:rsidRPr="00B66F9D">
        <w:rPr>
          <w:rFonts w:ascii="Arial" w:eastAsia="Arial Unicode MS" w:hAnsi="Arial" w:cs="Arial"/>
          <w:sz w:val="22"/>
          <w:szCs w:val="22"/>
          <w:u w:color="000000"/>
          <w:lang w:val="es-ES_tradnl"/>
        </w:rPr>
        <w:t>. Los inconvenientes surgen cuando los ordenamientos internos no poseen normas específicas para la ejecución de las medidas, si acaso contemplan normas para la ejecución de medidas pecuniarias, ya que incluso en lo relativo a indemnizaciones pueden presentarse diferencias entre lo dispuesto por en el ordenamiento interno y lo ordenado por la Corte IDH.</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_tradnl" w:eastAsia="es-ES"/>
        </w:rPr>
        <w:t>Se puede suponer un grado de incumplimiento ya que a pesar de que los casos se resuelvan en la Corte IDH</w:t>
      </w:r>
      <w:r w:rsidRPr="00B66F9D">
        <w:rPr>
          <w:rFonts w:ascii="Arial" w:eastAsia="Arial Unicode MS" w:hAnsi="Arial" w:cs="Arial"/>
          <w:color w:val="000000"/>
          <w:sz w:val="22"/>
          <w:szCs w:val="22"/>
          <w:u w:color="000000"/>
          <w:lang w:val="es-ES" w:eastAsia="es-ES"/>
        </w:rPr>
        <w:t xml:space="preserve">, terminan regresando al sistema interno de los Estados responsables </w:t>
      </w:r>
      <w:r w:rsidR="00693881" w:rsidRPr="00B66F9D">
        <w:rPr>
          <w:rFonts w:ascii="Arial" w:eastAsia="Arial Unicode MS" w:hAnsi="Arial" w:cs="Arial"/>
          <w:color w:val="000000"/>
          <w:sz w:val="22"/>
          <w:szCs w:val="22"/>
          <w:u w:color="000000"/>
          <w:lang w:val="es-ES" w:eastAsia="es-ES"/>
        </w:rPr>
        <w:t>donde</w:t>
      </w:r>
      <w:r w:rsidR="00693881">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precisamente se originaron las violaciones, de ahí la necesidad de que se cuente con garantías para el efectivo cumplimiento de las sentencias.</w:t>
      </w:r>
    </w:p>
    <w:p w:rsidR="000D7F12" w:rsidRPr="00B66F9D" w:rsidRDefault="000D7F12" w:rsidP="00B66F9D">
      <w:pPr>
        <w:pStyle w:val="Sinespaciado"/>
        <w:spacing w:line="360" w:lineRule="auto"/>
        <w:jc w:val="both"/>
        <w:rPr>
          <w:rFonts w:ascii="Arial" w:eastAsia="Arial Unicode MS" w:hAnsi="Arial" w:cs="Arial"/>
          <w:sz w:val="22"/>
          <w:szCs w:val="22"/>
          <w:u w:color="000000"/>
          <w:lang w:val="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
        </w:rPr>
        <w:t xml:space="preserve">Si bien cuando las sentencias vuelven a los Estados y su ejecución se realiza por medio de sus ordenamientos jurídicos, hasta qué punto estas sentencias son asimiladas como sentencias internas, de ser el caso se puede suponer que los recursos internos para obligar el cumplimiento de sentencias internas pueden ser utilizados para </w:t>
      </w:r>
      <w:r w:rsidRPr="00B66F9D">
        <w:rPr>
          <w:rFonts w:ascii="Arial" w:eastAsia="Arial Unicode MS" w:hAnsi="Arial" w:cs="Arial"/>
          <w:sz w:val="22"/>
          <w:szCs w:val="22"/>
          <w:u w:color="000000"/>
          <w:lang w:val="es-ES_tradnl"/>
        </w:rPr>
        <w:t xml:space="preserve">ejecutar el cumplimiento de una sentencia de carácter internacional, ello puede suponer un mecanismo para facilitar el cumplimiento, sin embargo siempre es evidente la necesidad de la voluntad estatal.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lastRenderedPageBreak/>
        <w:t>El problema del incumplimiento no pasa inadvertido por la Corte</w:t>
      </w:r>
      <w:r w:rsidR="00253CBF" w:rsidRPr="00253CBF">
        <w:rPr>
          <w:rFonts w:ascii="Arial" w:eastAsia="Arial Unicode MS" w:hAnsi="Arial" w:cs="Arial"/>
          <w:sz w:val="22"/>
          <w:szCs w:val="22"/>
          <w:u w:color="000000"/>
          <w:lang w:val="es-ES_tradnl"/>
        </w:rPr>
        <w:t xml:space="preserve"> </w:t>
      </w:r>
      <w:r w:rsidR="00253CBF">
        <w:rPr>
          <w:rFonts w:ascii="Arial" w:eastAsia="Arial Unicode MS" w:hAnsi="Arial" w:cs="Arial"/>
          <w:sz w:val="22"/>
          <w:szCs w:val="22"/>
          <w:u w:color="000000"/>
          <w:lang w:val="es-ES_tradnl"/>
        </w:rPr>
        <w:t>IDH</w:t>
      </w:r>
      <w:r w:rsidRPr="00B66F9D">
        <w:rPr>
          <w:rFonts w:ascii="Arial" w:eastAsia="Arial Unicode MS" w:hAnsi="Arial" w:cs="Arial"/>
          <w:sz w:val="22"/>
          <w:szCs w:val="22"/>
          <w:u w:color="000000"/>
          <w:lang w:val="es-ES_tradnl"/>
        </w:rPr>
        <w:t>, que ve el asunto con preocupación. Las reflexiones concurren generalmente al mismo punto, en el que ciertas medidas persisten en una falta de cumplimiento y justamente son esas las medidas que generarían cambios significativos en los Estados, tanto para evitar que se cometan nuevas violaciones como para fortalecer el Sistema y su consecuente protección a los derechos humanos, y sobre todo para poner freno a la impunidad que tiene consecuencias más graves dentro del tejido social.</w:t>
      </w:r>
    </w:p>
    <w:p w:rsidR="00253CBF" w:rsidRPr="00B66F9D" w:rsidRDefault="00253CBF" w:rsidP="00B66F9D">
      <w:pPr>
        <w:pStyle w:val="Sinespaciado"/>
        <w:spacing w:line="360" w:lineRule="auto"/>
        <w:jc w:val="both"/>
        <w:rPr>
          <w:rFonts w:ascii="Arial" w:eastAsia="Arial Unicode MS" w:hAnsi="Arial" w:cs="Arial"/>
          <w:sz w:val="22"/>
          <w:szCs w:val="22"/>
          <w:u w:color="000000"/>
          <w:lang w:val="es-ES_tradnl"/>
        </w:rPr>
      </w:pPr>
    </w:p>
    <w:p w:rsidR="008F2951"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De manera general, en la actualidad los mecanismos para estimular y en cierto sentido ejercer presión para el cumplimiento de las sentencias por parte de la Corte </w:t>
      </w:r>
      <w:r w:rsidR="00253CBF">
        <w:rPr>
          <w:rFonts w:ascii="Arial" w:eastAsia="Arial Unicode MS" w:hAnsi="Arial" w:cs="Arial"/>
          <w:sz w:val="22"/>
          <w:szCs w:val="22"/>
          <w:u w:color="000000"/>
          <w:lang w:val="es-ES_tradnl"/>
        </w:rPr>
        <w:t>IDH</w:t>
      </w:r>
      <w:r w:rsidR="00253CBF"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 xml:space="preserve">son:  </w:t>
      </w:r>
    </w:p>
    <w:p w:rsidR="00C1567F" w:rsidRPr="00B66F9D" w:rsidRDefault="00C1567F" w:rsidP="00B66F9D">
      <w:pPr>
        <w:pStyle w:val="Sinespaciado"/>
        <w:spacing w:line="360" w:lineRule="auto"/>
        <w:jc w:val="both"/>
        <w:rPr>
          <w:rFonts w:ascii="Arial" w:eastAsia="Arial Unicode MS" w:hAnsi="Arial" w:cs="Arial"/>
          <w:sz w:val="22"/>
          <w:szCs w:val="22"/>
          <w:u w:color="000000"/>
          <w:lang w:val="es-ES_tradnl"/>
        </w:rPr>
      </w:pPr>
    </w:p>
    <w:p w:rsidR="008F2951" w:rsidRPr="00C1567F" w:rsidRDefault="008F2951" w:rsidP="00C1567F">
      <w:pPr>
        <w:pStyle w:val="Sinespaciado"/>
        <w:spacing w:line="360" w:lineRule="auto"/>
        <w:ind w:firstLine="720"/>
        <w:jc w:val="both"/>
        <w:rPr>
          <w:rFonts w:ascii="Arial" w:eastAsia="Arial Unicode MS" w:hAnsi="Arial" w:cs="Arial"/>
          <w:sz w:val="20"/>
          <w:szCs w:val="20"/>
          <w:u w:color="000000"/>
          <w:lang w:val="es-ES_tradnl"/>
        </w:rPr>
      </w:pPr>
      <w:r w:rsidRPr="00C1567F">
        <w:rPr>
          <w:rFonts w:ascii="Arial" w:eastAsia="Arial Unicode MS" w:hAnsi="Arial" w:cs="Arial"/>
          <w:sz w:val="20"/>
          <w:szCs w:val="20"/>
          <w:u w:color="000000"/>
          <w:lang w:val="es-ES_tradnl"/>
        </w:rPr>
        <w:t>La legitimidad y fuerza moral de las actuaciones del sistema</w:t>
      </w:r>
    </w:p>
    <w:p w:rsidR="008F2951" w:rsidRPr="00C1567F" w:rsidRDefault="008F2951" w:rsidP="00C1567F">
      <w:pPr>
        <w:pStyle w:val="Sinespaciado"/>
        <w:spacing w:line="360" w:lineRule="auto"/>
        <w:ind w:firstLine="720"/>
        <w:jc w:val="both"/>
        <w:rPr>
          <w:rFonts w:ascii="Arial" w:eastAsia="Arial Unicode MS" w:hAnsi="Arial" w:cs="Arial"/>
          <w:sz w:val="20"/>
          <w:szCs w:val="20"/>
          <w:u w:color="000000"/>
          <w:lang w:val="es-ES_tradnl"/>
        </w:rPr>
      </w:pPr>
      <w:r w:rsidRPr="00C1567F">
        <w:rPr>
          <w:rFonts w:ascii="Arial" w:eastAsia="Arial Unicode MS" w:hAnsi="Arial" w:cs="Arial"/>
          <w:sz w:val="20"/>
          <w:szCs w:val="20"/>
          <w:u w:color="000000"/>
          <w:lang w:val="es-ES_tradnl"/>
        </w:rPr>
        <w:t>La obligación jurídica internacional de las sentencias</w:t>
      </w:r>
    </w:p>
    <w:p w:rsidR="008F2951" w:rsidRPr="00C1567F" w:rsidRDefault="008F2951" w:rsidP="00C1567F">
      <w:pPr>
        <w:pStyle w:val="Sinespaciado"/>
        <w:spacing w:line="360" w:lineRule="auto"/>
        <w:ind w:firstLine="720"/>
        <w:jc w:val="both"/>
        <w:rPr>
          <w:rFonts w:ascii="Arial" w:eastAsia="Arial Unicode MS" w:hAnsi="Arial" w:cs="Arial"/>
          <w:sz w:val="20"/>
          <w:szCs w:val="20"/>
          <w:u w:color="000000"/>
          <w:lang w:val="es-ES_tradnl"/>
        </w:rPr>
      </w:pPr>
      <w:r w:rsidRPr="00C1567F">
        <w:rPr>
          <w:rFonts w:ascii="Arial" w:eastAsia="Arial Unicode MS" w:hAnsi="Arial" w:cs="Arial"/>
          <w:sz w:val="20"/>
          <w:szCs w:val="20"/>
          <w:u w:color="000000"/>
          <w:lang w:val="es-ES_tradnl"/>
        </w:rPr>
        <w:t>La supervisión del cumplimiento por parte de la Corte</w:t>
      </w:r>
    </w:p>
    <w:p w:rsidR="008F2951" w:rsidRPr="00B66F9D" w:rsidRDefault="008F2951" w:rsidP="00C1567F">
      <w:pPr>
        <w:pStyle w:val="Sinespaciado"/>
        <w:spacing w:line="360" w:lineRule="auto"/>
        <w:ind w:left="720"/>
        <w:jc w:val="both"/>
        <w:rPr>
          <w:rFonts w:ascii="Arial" w:eastAsia="Arial Unicode MS" w:hAnsi="Arial" w:cs="Arial"/>
          <w:sz w:val="22"/>
          <w:szCs w:val="22"/>
          <w:u w:color="000000"/>
          <w:lang w:val="es-ES_tradnl"/>
        </w:rPr>
      </w:pPr>
      <w:r w:rsidRPr="00C1567F">
        <w:rPr>
          <w:rFonts w:ascii="Arial" w:eastAsia="Arial Unicode MS" w:hAnsi="Arial" w:cs="Arial"/>
          <w:sz w:val="20"/>
          <w:szCs w:val="20"/>
          <w:u w:color="000000"/>
          <w:lang w:val="es-ES_tradnl"/>
        </w:rPr>
        <w:t>La derivación anual a la Asamblea de la OEA, de los casos en los que se determina incumplimiento de los Estados para que se tomen decisiones políticas</w:t>
      </w:r>
      <w:r w:rsidRPr="00C1567F">
        <w:rPr>
          <w:rFonts w:ascii="Arial" w:eastAsia="Arial Unicode MS" w:hAnsi="Arial" w:cs="Arial"/>
          <w:sz w:val="20"/>
          <w:szCs w:val="20"/>
          <w:u w:color="000000"/>
          <w:vertAlign w:val="superscript"/>
          <w:lang w:val="es-ES_tradnl"/>
        </w:rPr>
        <w:footnoteReference w:id="139"/>
      </w:r>
      <w:r w:rsidRPr="00B66F9D">
        <w:rPr>
          <w:rFonts w:ascii="Arial" w:eastAsia="Arial Unicode MS" w:hAnsi="Arial" w:cs="Arial"/>
          <w:sz w:val="22"/>
          <w:szCs w:val="22"/>
          <w:u w:color="000000"/>
          <w:lang w:val="es-ES_tradnl"/>
        </w:rPr>
        <w:t xml:space="preserve">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En cuanto a la legitimidad y fuerza moral de las actuaciones del Sistema, cabe recalcar que dichos atributos se van retroalimentando conforme las actuaciones de los órganos en el Sistema y la evaluación que la opinión pública haga respecto de los casos conocidos por tales órganos, un evidente historial de incumplimiento degenerará la confianza en el Sistema y su legitimidad y fuerza moral dejarán de ser aspectos de presión para el cumplimiento.</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La consecuencia más grave que trae el incumplimiento es la derivación del caso a la Asamblea de la OEA, sin embargo este mecanismo tambié</w:t>
      </w:r>
      <w:r w:rsidR="00253CBF">
        <w:rPr>
          <w:rFonts w:ascii="Arial" w:eastAsia="Arial Unicode MS" w:hAnsi="Arial" w:cs="Arial"/>
          <w:color w:val="000000"/>
          <w:sz w:val="22"/>
          <w:szCs w:val="22"/>
          <w:u w:color="000000"/>
          <w:lang w:val="es-ES" w:eastAsia="es-ES"/>
        </w:rPr>
        <w:t>n presenta ciertas deficiencias.</w:t>
      </w:r>
      <w:r w:rsidRPr="00B66F9D">
        <w:rPr>
          <w:rFonts w:ascii="Arial" w:eastAsia="Arial Unicode MS" w:hAnsi="Arial" w:cs="Arial"/>
          <w:color w:val="000000"/>
          <w:sz w:val="22"/>
          <w:szCs w:val="22"/>
          <w:u w:color="000000"/>
          <w:lang w:val="es-ES" w:eastAsia="es-ES"/>
        </w:rPr>
        <w:t xml:space="preserve"> </w:t>
      </w:r>
      <w:r w:rsidR="00253CBF" w:rsidRPr="00B66F9D">
        <w:rPr>
          <w:rFonts w:ascii="Arial" w:eastAsia="Arial Unicode MS" w:hAnsi="Arial" w:cs="Arial"/>
          <w:color w:val="000000"/>
          <w:sz w:val="22"/>
          <w:szCs w:val="22"/>
          <w:u w:color="000000"/>
          <w:lang w:val="es-ES" w:eastAsia="es-ES"/>
        </w:rPr>
        <w:t>Al</w:t>
      </w:r>
      <w:r w:rsidRPr="00B66F9D">
        <w:rPr>
          <w:rFonts w:ascii="Arial" w:eastAsia="Arial Unicode MS" w:hAnsi="Arial" w:cs="Arial"/>
          <w:color w:val="000000"/>
          <w:sz w:val="22"/>
          <w:szCs w:val="22"/>
          <w:u w:color="000000"/>
          <w:lang w:val="es-ES" w:eastAsia="es-ES"/>
        </w:rPr>
        <w:t xml:space="preserve"> respecto el Juez Manuel Ventura Robles en Voto Razonado en el caso </w:t>
      </w:r>
      <w:proofErr w:type="spellStart"/>
      <w:r w:rsidRPr="00B66F9D">
        <w:rPr>
          <w:rFonts w:ascii="Arial" w:eastAsia="Arial Unicode MS" w:hAnsi="Arial" w:cs="Arial"/>
          <w:color w:val="000000"/>
          <w:sz w:val="22"/>
          <w:szCs w:val="22"/>
          <w:u w:color="000000"/>
          <w:lang w:val="es-ES" w:eastAsia="es-ES"/>
        </w:rPr>
        <w:t>Caesar</w:t>
      </w:r>
      <w:proofErr w:type="spellEnd"/>
      <w:r w:rsidRPr="00B66F9D">
        <w:rPr>
          <w:rFonts w:ascii="Arial" w:eastAsia="Arial Unicode MS" w:hAnsi="Arial" w:cs="Arial"/>
          <w:color w:val="000000"/>
          <w:sz w:val="22"/>
          <w:szCs w:val="22"/>
          <w:u w:color="000000"/>
          <w:lang w:val="es-ES" w:eastAsia="es-ES"/>
        </w:rPr>
        <w:t xml:space="preserve"> vs. Trinidad y Tobago, ha expresado la necesidad de establecer en la Organización de los Estados Americanos un grupo de trabajo permanente dedicado a supervisar el cumplimiento, por p</w:t>
      </w:r>
      <w:r w:rsidR="00253CBF">
        <w:rPr>
          <w:rFonts w:ascii="Arial" w:eastAsia="Arial Unicode MS" w:hAnsi="Arial" w:cs="Arial"/>
          <w:color w:val="000000"/>
          <w:sz w:val="22"/>
          <w:szCs w:val="22"/>
          <w:u w:color="000000"/>
          <w:lang w:val="es-ES" w:eastAsia="es-ES"/>
        </w:rPr>
        <w:t>arte de los Estados Partes</w:t>
      </w:r>
      <w:r w:rsidRPr="00B66F9D">
        <w:rPr>
          <w:rFonts w:ascii="Arial" w:eastAsia="Arial Unicode MS" w:hAnsi="Arial" w:cs="Arial"/>
          <w:color w:val="000000"/>
          <w:sz w:val="22"/>
          <w:szCs w:val="22"/>
          <w:u w:color="000000"/>
          <w:lang w:val="es-ES" w:eastAsia="es-ES"/>
        </w:rPr>
        <w:t xml:space="preserve"> en la Convención Americana sobre Derechos Humanos, de las sentencias y medidas provisionales que dicta la Corte Interamericana de Derechos Humanos</w:t>
      </w:r>
      <w:r w:rsidRPr="00B66F9D">
        <w:rPr>
          <w:rFonts w:ascii="Arial" w:eastAsia="Arial Unicode MS" w:hAnsi="Arial" w:cs="Arial"/>
          <w:color w:val="000000"/>
          <w:sz w:val="22"/>
          <w:szCs w:val="22"/>
          <w:vertAlign w:val="superscript"/>
          <w:lang w:val="es-ES" w:eastAsia="es-ES"/>
        </w:rPr>
        <w:footnoteReference w:id="140"/>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lastRenderedPageBreak/>
        <w:t xml:space="preserve">A pesar de las evidentes consecuencias sobre todo en el ámbito político, la derivación y presentación de los casos de incumplimiento ante la OEA no ha sido un mecanismo efectivo hasta la fecha.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Varios autores señalan sin embargo que las sanciones políticas para los Estados que incumplen las sentencias no pueden ser tomadas a la ligera ya que sus efectos pueden presentarse de forma eventual en consideración a un marcado historial de incumplimiento de los Estados parte. Si bien pueden ser mecanismos menos perfectos que los estrictamente judiciales, pero nada desdeñables</w:t>
      </w:r>
      <w:r w:rsidRPr="00B66F9D">
        <w:rPr>
          <w:rFonts w:ascii="Arial" w:eastAsia="Arial Unicode MS" w:hAnsi="Arial" w:cs="Arial"/>
          <w:sz w:val="22"/>
          <w:szCs w:val="22"/>
          <w:u w:color="000000"/>
          <w:vertAlign w:val="superscript"/>
          <w:lang w:val="es-ES_tradnl"/>
        </w:rPr>
        <w:footnoteReference w:id="141"/>
      </w:r>
      <w:r w:rsidR="00253CBF">
        <w:rPr>
          <w:rFonts w:ascii="Arial" w:eastAsia="Arial Unicode MS" w:hAnsi="Arial" w:cs="Arial"/>
          <w:sz w:val="22"/>
          <w:szCs w:val="22"/>
          <w:u w:color="000000"/>
          <w:lang w:val="es-ES_tradnl"/>
        </w:rPr>
        <w:t>.</w:t>
      </w:r>
      <w:r w:rsidRPr="00B66F9D">
        <w:rPr>
          <w:rFonts w:ascii="Arial" w:eastAsia="Arial Unicode MS" w:hAnsi="Arial" w:cs="Arial"/>
          <w:sz w:val="22"/>
          <w:szCs w:val="22"/>
          <w:u w:color="000000"/>
          <w:lang w:val="es-ES_tradnl"/>
        </w:rPr>
        <w:t xml:space="preserve">  </w:t>
      </w: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El Sistema se juega su legitimidad y nombre al permitir un amplio margen de incumplimiento y consecuente impunidad, el debate sobre este tema debe iniciarse inmediatamente para buscar la forma de implementar mecanismos de presión para el cumplimiento, el futuro del Sistema puede quedar en entredicho si no se asumen posturas y se toman </w:t>
      </w:r>
      <w:r w:rsidR="00253CBF" w:rsidRPr="00B66F9D">
        <w:rPr>
          <w:rFonts w:ascii="Arial" w:eastAsia="Arial Unicode MS" w:hAnsi="Arial" w:cs="Arial"/>
          <w:sz w:val="22"/>
          <w:szCs w:val="22"/>
          <w:u w:color="000000"/>
          <w:lang w:val="es-ES_tradnl"/>
        </w:rPr>
        <w:t>decision</w:t>
      </w:r>
      <w:r w:rsidR="00253CBF">
        <w:rPr>
          <w:rFonts w:ascii="Arial" w:eastAsia="Arial Unicode MS" w:hAnsi="Arial" w:cs="Arial"/>
          <w:sz w:val="22"/>
          <w:szCs w:val="22"/>
          <w:u w:color="000000"/>
          <w:lang w:val="es-ES_tradnl"/>
        </w:rPr>
        <w:t>es</w:t>
      </w:r>
      <w:r w:rsidRPr="00B66F9D">
        <w:rPr>
          <w:rFonts w:ascii="Arial" w:eastAsia="Arial Unicode MS" w:hAnsi="Arial" w:cs="Arial"/>
          <w:sz w:val="22"/>
          <w:szCs w:val="22"/>
          <w:u w:color="000000"/>
          <w:lang w:val="es-ES_tradnl"/>
        </w:rPr>
        <w:t xml:space="preserve"> al respecto.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La Corte </w:t>
      </w:r>
      <w:r w:rsidR="00253CBF">
        <w:rPr>
          <w:rFonts w:ascii="Arial" w:eastAsia="Arial Unicode MS" w:hAnsi="Arial" w:cs="Arial"/>
          <w:sz w:val="22"/>
          <w:szCs w:val="22"/>
          <w:u w:color="000000"/>
          <w:lang w:val="es-ES_tradnl"/>
        </w:rPr>
        <w:t>IDH</w:t>
      </w:r>
      <w:r w:rsidR="00253CBF"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no se ha quedado impávida frente al hecho del incumplimiento, la falta de mecanismos de coerción en el Sistema ha generado que busque sus propias vías para evaluar el cumplimiento y analizar las posibles dificultades para su ejecución, mecanismos como convocar a audiencias de cumplimiento, permite que las partes presenten su argumentos frente al proceso de ejecución y se solucionen obstáculos de manera eficaz.</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_tradnl" w:eastAsia="es-ES"/>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A pesar de que la Corte </w:t>
      </w:r>
      <w:r w:rsidR="00253CBF">
        <w:rPr>
          <w:rFonts w:ascii="Arial" w:eastAsia="Arial Unicode MS" w:hAnsi="Arial" w:cs="Arial"/>
          <w:sz w:val="22"/>
          <w:szCs w:val="22"/>
          <w:u w:color="000000"/>
          <w:lang w:val="es-ES_tradnl"/>
        </w:rPr>
        <w:t>IDH</w:t>
      </w:r>
      <w:r w:rsidR="00253CBF"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 xml:space="preserve">haya implementado mecanismos para supervisar el cumplimiento de sus sentencias, dedicando cierto tiempo en su periodo de sesiones exclusivamente a este fin, la supervisión en garantía de la protección de los derechos humanos le corresponde al conjunto de Estados suscriptores al Pacto de San José, un ejercicio colectivo de evaluación en cuanto al cumplimiento de las sentencias de la Corte </w:t>
      </w:r>
      <w:r w:rsidR="00253CBF">
        <w:rPr>
          <w:rFonts w:ascii="Arial" w:eastAsia="Arial Unicode MS" w:hAnsi="Arial" w:cs="Arial"/>
          <w:sz w:val="22"/>
          <w:szCs w:val="22"/>
          <w:u w:color="000000"/>
          <w:lang w:val="es-ES_tradnl"/>
        </w:rPr>
        <w:t>IDH</w:t>
      </w:r>
      <w:r w:rsidR="00253CBF"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 xml:space="preserve">facilitaría la implementación de cambios al Sistema y la posibilidad de adecuar mecanismos más eficaces para lograr el pleno cumplimiento.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La Corte </w:t>
      </w:r>
      <w:r w:rsidR="00253CBF">
        <w:rPr>
          <w:rFonts w:ascii="Arial" w:eastAsia="Arial Unicode MS" w:hAnsi="Arial" w:cs="Arial"/>
          <w:sz w:val="22"/>
          <w:szCs w:val="22"/>
          <w:u w:color="000000"/>
          <w:lang w:val="es-ES_tradnl"/>
        </w:rPr>
        <w:t>IDH</w:t>
      </w:r>
      <w:r w:rsidR="00253CBF"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 xml:space="preserve">goza de credibilidad dentro del </w:t>
      </w:r>
      <w:r w:rsidR="00253CBF">
        <w:rPr>
          <w:rFonts w:ascii="Arial" w:eastAsia="Arial Unicode MS" w:hAnsi="Arial" w:cs="Arial"/>
          <w:color w:val="000000"/>
          <w:sz w:val="22"/>
          <w:szCs w:val="22"/>
          <w:u w:color="000000"/>
          <w:lang w:val="es-ES" w:eastAsia="es-ES"/>
        </w:rPr>
        <w:t>Sistema y frente a los Estados P</w:t>
      </w:r>
      <w:r w:rsidRPr="00B66F9D">
        <w:rPr>
          <w:rFonts w:ascii="Arial" w:eastAsia="Arial Unicode MS" w:hAnsi="Arial" w:cs="Arial"/>
          <w:color w:val="000000"/>
          <w:sz w:val="22"/>
          <w:szCs w:val="22"/>
          <w:u w:color="000000"/>
          <w:lang w:val="es-ES" w:eastAsia="es-ES"/>
        </w:rPr>
        <w:t>arte</w:t>
      </w:r>
      <w:r w:rsidR="00253CBF">
        <w:rPr>
          <w:rFonts w:ascii="Arial" w:eastAsia="Arial Unicode MS" w:hAnsi="Arial" w:cs="Arial"/>
          <w:color w:val="000000"/>
          <w:sz w:val="22"/>
          <w:szCs w:val="22"/>
          <w:u w:color="000000"/>
          <w:lang w:val="es-ES" w:eastAsia="es-ES"/>
        </w:rPr>
        <w:t>s</w:t>
      </w:r>
      <w:r w:rsidRPr="00B66F9D">
        <w:rPr>
          <w:rFonts w:ascii="Arial" w:eastAsia="Arial Unicode MS" w:hAnsi="Arial" w:cs="Arial"/>
          <w:color w:val="000000"/>
          <w:sz w:val="22"/>
          <w:szCs w:val="22"/>
          <w:u w:color="000000"/>
          <w:lang w:val="es-ES" w:eastAsia="es-ES"/>
        </w:rPr>
        <w:t xml:space="preserve">, Claudio Grossman, señala que su impacto ha sido positivo, además que ha ido ganando legitimidad. Sin embargo esa credibilidad puede estar en cuestión cuando sus decisiones </w:t>
      </w:r>
      <w:r w:rsidRPr="00B66F9D">
        <w:rPr>
          <w:rFonts w:ascii="Arial" w:eastAsia="Arial Unicode MS" w:hAnsi="Arial" w:cs="Arial"/>
          <w:color w:val="000000"/>
          <w:sz w:val="22"/>
          <w:szCs w:val="22"/>
          <w:u w:color="000000"/>
          <w:lang w:val="es-ES" w:eastAsia="es-ES"/>
        </w:rPr>
        <w:lastRenderedPageBreak/>
        <w:t>no se cumplen</w:t>
      </w:r>
      <w:r w:rsidR="00934502">
        <w:rPr>
          <w:rStyle w:val="Refdenotaalpie"/>
          <w:rFonts w:ascii="Arial" w:eastAsia="Arial Unicode MS" w:hAnsi="Arial" w:cs="Arial"/>
          <w:color w:val="000000"/>
          <w:sz w:val="22"/>
          <w:szCs w:val="22"/>
          <w:u w:color="000000"/>
          <w:lang w:val="es-ES" w:eastAsia="es-ES"/>
        </w:rPr>
        <w:footnoteReference w:id="142"/>
      </w:r>
      <w:r w:rsidRPr="00B66F9D">
        <w:rPr>
          <w:rFonts w:ascii="Arial" w:eastAsia="Arial Unicode MS" w:hAnsi="Arial" w:cs="Arial"/>
          <w:color w:val="000000"/>
          <w:sz w:val="22"/>
          <w:szCs w:val="22"/>
          <w:u w:color="000000"/>
          <w:lang w:val="es-ES" w:eastAsia="es-ES"/>
        </w:rPr>
        <w:t xml:space="preserve">. El incumplimiento no solo afecta al caso específico, también debilita a la norma y al derecho como tal. </w:t>
      </w: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p>
    <w:p w:rsidR="008F2951" w:rsidRPr="00B66F9D" w:rsidRDefault="008F2951" w:rsidP="00B66F9D">
      <w:pPr>
        <w:pStyle w:val="Sinespaciado"/>
        <w:spacing w:line="360" w:lineRule="auto"/>
        <w:jc w:val="both"/>
        <w:rPr>
          <w:rFonts w:ascii="Arial" w:eastAsia="Arial Unicode MS" w:hAnsi="Arial" w:cs="Arial"/>
          <w:color w:val="000000"/>
          <w:sz w:val="22"/>
          <w:szCs w:val="22"/>
          <w:u w:color="000000"/>
          <w:lang w:val="es-ES" w:eastAsia="es-ES"/>
        </w:rPr>
      </w:pPr>
      <w:r w:rsidRPr="00B66F9D">
        <w:rPr>
          <w:rFonts w:ascii="Arial" w:eastAsia="Arial Unicode MS" w:hAnsi="Arial" w:cs="Arial"/>
          <w:color w:val="000000"/>
          <w:sz w:val="22"/>
          <w:szCs w:val="22"/>
          <w:u w:color="000000"/>
          <w:lang w:val="es-ES" w:eastAsia="es-ES"/>
        </w:rPr>
        <w:t xml:space="preserve">Un tema vital para el funcionamiento del Sistema y la Corte </w:t>
      </w:r>
      <w:r w:rsidR="00253CBF">
        <w:rPr>
          <w:rFonts w:ascii="Arial" w:eastAsia="Arial Unicode MS" w:hAnsi="Arial" w:cs="Arial"/>
          <w:sz w:val="22"/>
          <w:szCs w:val="22"/>
          <w:u w:color="000000"/>
          <w:lang w:val="es-ES_tradnl"/>
        </w:rPr>
        <w:t>IDH</w:t>
      </w:r>
      <w:r w:rsidR="00253CBF"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además para lograr sus objetivos</w:t>
      </w:r>
      <w:r w:rsidR="00253CBF">
        <w:rPr>
          <w:rFonts w:ascii="Arial" w:eastAsia="Arial Unicode MS" w:hAnsi="Arial" w:cs="Arial"/>
          <w:color w:val="000000"/>
          <w:sz w:val="22"/>
          <w:szCs w:val="22"/>
          <w:u w:color="000000"/>
          <w:lang w:val="es-ES" w:eastAsia="es-ES"/>
        </w:rPr>
        <w:t>,</w:t>
      </w:r>
      <w:r w:rsidRPr="00B66F9D">
        <w:rPr>
          <w:rFonts w:ascii="Arial" w:eastAsia="Arial Unicode MS" w:hAnsi="Arial" w:cs="Arial"/>
          <w:color w:val="000000"/>
          <w:sz w:val="22"/>
          <w:szCs w:val="22"/>
          <w:u w:color="000000"/>
          <w:lang w:val="es-ES" w:eastAsia="es-ES"/>
        </w:rPr>
        <w:t xml:space="preserve"> es la necesidad de mayores recursos, ello influye directamente en las posibilidades de mantener ciertos mecanismos de seguimiento de las sentencias, personal e infraestructura son esenciales pues inciden en el volumen y calidad de trabajo que pueda manejarse en la fase de cumplimiento que es donde la eficacia del Sistema y la reparación a las victimas deben lograr sus objetivos.</w:t>
      </w:r>
      <w:r w:rsidR="00253CBF">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 xml:space="preserve">Los aspectos estructurales de funcionamiento de la Corte </w:t>
      </w:r>
      <w:r w:rsidR="00253CBF">
        <w:rPr>
          <w:rFonts w:ascii="Arial" w:eastAsia="Arial Unicode MS" w:hAnsi="Arial" w:cs="Arial"/>
          <w:sz w:val="22"/>
          <w:szCs w:val="22"/>
          <w:u w:color="000000"/>
          <w:lang w:val="es-ES_tradnl"/>
        </w:rPr>
        <w:t>IDH</w:t>
      </w:r>
      <w:r w:rsidR="00253CBF" w:rsidRPr="00B66F9D">
        <w:rPr>
          <w:rFonts w:ascii="Arial" w:eastAsia="Arial Unicode MS" w:hAnsi="Arial" w:cs="Arial"/>
          <w:color w:val="000000"/>
          <w:sz w:val="22"/>
          <w:szCs w:val="22"/>
          <w:u w:color="000000"/>
          <w:lang w:val="es-ES" w:eastAsia="es-ES"/>
        </w:rPr>
        <w:t xml:space="preserve"> </w:t>
      </w:r>
      <w:r w:rsidRPr="00B66F9D">
        <w:rPr>
          <w:rFonts w:ascii="Arial" w:eastAsia="Arial Unicode MS" w:hAnsi="Arial" w:cs="Arial"/>
          <w:color w:val="000000"/>
          <w:sz w:val="22"/>
          <w:szCs w:val="22"/>
          <w:u w:color="000000"/>
          <w:lang w:val="es-ES" w:eastAsia="es-ES"/>
        </w:rPr>
        <w:t>y sobre todo su presupuesto operativo deben ser evaluados y reconsiderados, el grado de consenso en estos temas refleja la voluntad política de los Estados en el fortalecimiento del Sistema.</w:t>
      </w:r>
    </w:p>
    <w:p w:rsidR="00A75361" w:rsidRPr="008F2951" w:rsidRDefault="00A75361" w:rsidP="008F2951">
      <w:pPr>
        <w:spacing w:line="360" w:lineRule="auto"/>
        <w:jc w:val="both"/>
        <w:rPr>
          <w:rFonts w:ascii="Arial" w:eastAsia="Arial Unicode MS" w:hAnsi="Arial Unicode MS"/>
          <w:color w:val="000000"/>
          <w:sz w:val="22"/>
          <w:szCs w:val="20"/>
          <w:u w:color="000000"/>
          <w:lang w:val="es-ES" w:eastAsia="es-ES"/>
        </w:rPr>
      </w:pPr>
    </w:p>
    <w:p w:rsidR="008F2951" w:rsidRPr="00B656C2" w:rsidRDefault="006358CC" w:rsidP="00B656C2">
      <w:pPr>
        <w:pStyle w:val="Ttulo3"/>
        <w:spacing w:line="360" w:lineRule="auto"/>
        <w:ind w:left="720" w:hanging="720"/>
        <w:jc w:val="both"/>
        <w:rPr>
          <w:rFonts w:ascii="Arial" w:eastAsia="Arial Unicode MS" w:hAnsi="Arial" w:cs="Arial"/>
          <w:b w:val="0"/>
          <w:color w:val="auto"/>
          <w:sz w:val="22"/>
          <w:u w:color="000000"/>
          <w:lang w:val="es-ES_tradnl"/>
        </w:rPr>
      </w:pPr>
      <w:bookmarkStart w:id="24" w:name="_Toc356432261"/>
      <w:r w:rsidRPr="00B656C2">
        <w:rPr>
          <w:rFonts w:ascii="Arial" w:eastAsia="Arial Unicode MS" w:hAnsi="Arial" w:cs="Arial"/>
          <w:color w:val="auto"/>
          <w:sz w:val="22"/>
          <w:u w:color="000000"/>
          <w:lang w:val="es-ES_tradnl"/>
        </w:rPr>
        <w:t>2.3.1.</w:t>
      </w:r>
      <w:r w:rsidRPr="00B656C2">
        <w:rPr>
          <w:rFonts w:ascii="Arial" w:eastAsia="Arial Unicode MS" w:hAnsi="Arial" w:cs="Arial"/>
          <w:color w:val="auto"/>
          <w:sz w:val="22"/>
          <w:u w:color="000000"/>
          <w:lang w:val="es-ES_tradnl"/>
        </w:rPr>
        <w:tab/>
      </w:r>
      <w:r w:rsidR="00651974" w:rsidRPr="00B656C2">
        <w:rPr>
          <w:rFonts w:ascii="Arial" w:eastAsia="Arial Unicode MS" w:hAnsi="Arial" w:cs="Arial"/>
          <w:color w:val="auto"/>
          <w:sz w:val="22"/>
          <w:u w:color="000000"/>
          <w:lang w:val="es-ES_tradnl"/>
        </w:rPr>
        <w:t>Obligación de las partes de remitir a la Corte IDH informes de cumplimiento de sentencias y audiencias de seguimiento</w:t>
      </w:r>
      <w:bookmarkEnd w:id="24"/>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La Corte IDH ha innovado en mecanismos de seguimiento en el proceso de ejecución de sus sentencias a fin de evaluar el cumplimiento pleno de todas las medidas ordenadas. Uno de estos mecanismos de seguimiento es la petición de informes de cumplimiento a las partes, especialmente a los Estados responsables para posteriormente emitir resoluciones sobre la base de dichos informes conjuntamente con los criterios de la Comisión IDH. Tales resoluciones tienen por objeto emitir una respuesta oficial sobre los avances en el cumplimiento de las sentencias, estableciendo así aquellas que efectivamente han sido cumplidas, además aquellas medidas pendientes y las gestiones y diligencias que ha realizado el Estado para su cumplimiento y llamar la atención de las autoridades estatales respecto de aquellas medidas incumplidas que han quedado desatendidas. Los informes recogen los puntos de vista de las partes por lo que se pueden deter</w:t>
      </w:r>
      <w:r w:rsidR="00934502">
        <w:rPr>
          <w:rFonts w:ascii="Arial" w:eastAsia="Arial Unicode MS" w:hAnsi="Arial" w:cs="Arial"/>
          <w:sz w:val="22"/>
          <w:szCs w:val="22"/>
          <w:u w:color="000000"/>
          <w:lang w:val="es-ES_tradnl"/>
        </w:rPr>
        <w:t>minar obstáculos, controversias</w:t>
      </w:r>
      <w:r w:rsidRPr="00A75361">
        <w:rPr>
          <w:rFonts w:ascii="Arial" w:eastAsia="Arial Unicode MS" w:hAnsi="Arial" w:cs="Arial"/>
          <w:sz w:val="22"/>
          <w:szCs w:val="22"/>
          <w:u w:color="000000"/>
          <w:lang w:val="es-ES_tradnl"/>
        </w:rPr>
        <w:t xml:space="preserve"> y dudas acerca de la ejecución de determinadas medidas, 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al respecto señala el camino que debe seguirse además del alcance de las medidas y cuándo y cómo estas se considerarían cumplidas. Sobre el grado de cumplimiento y haciendo uso de los informes presentados por las partes, 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también publica informes donde constan sus resoluciones sobre el </w:t>
      </w:r>
      <w:r w:rsidRPr="00A75361">
        <w:rPr>
          <w:rFonts w:ascii="Arial" w:eastAsia="Arial Unicode MS" w:hAnsi="Arial" w:cs="Arial"/>
          <w:sz w:val="22"/>
          <w:szCs w:val="22"/>
          <w:u w:color="000000"/>
          <w:lang w:val="es-ES_tradnl"/>
        </w:rPr>
        <w:lastRenderedPageBreak/>
        <w:t>cumplimiento, ello como mecanismo de presión hacia los Estados responsables, sin embargo este mecanismo se usa en escaza medida.</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Dentro de los puntos resolutivos de las sentencias, 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dispone que dentro del plazo de un año a partir de la notificación de la sentencia el Estado debe rendir al Tribunal un informe sobre las medidas adoptadas para darle cumplimiento, además señala que conforme a lo establecido en la Convención Americana sobre Derechos Humanos, supervisará el cumplimiento íntegro de las sentencias y dará por concluido los respectivos casos una vez que el Estados hayan dado cabal ejecución a lo dispuesto en las mismas. Con ello manifiesta que es competente para seguir el proceso de cumplimiento, el caso no se archivará a menos que se hayan cumplido todas y cada una de las obligaciones impuestas en las sentencias.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A pesar de las obligaciones que constan en las sentencias emitidas por la Corte</w:t>
      </w:r>
      <w:r w:rsidR="00934502" w:rsidRPr="00934502">
        <w:rPr>
          <w:rFonts w:ascii="Arial" w:eastAsia="Arial Unicode MS" w:hAnsi="Arial" w:cs="Arial"/>
          <w:sz w:val="22"/>
          <w:szCs w:val="22"/>
          <w:u w:color="000000"/>
          <w:lang w:val="es-ES_tradnl"/>
        </w:rPr>
        <w:t xml:space="preserve"> </w:t>
      </w:r>
      <w:r w:rsidR="00934502" w:rsidRPr="00A75361">
        <w:rPr>
          <w:rFonts w:ascii="Arial" w:eastAsia="Arial Unicode MS" w:hAnsi="Arial" w:cs="Arial"/>
          <w:sz w:val="22"/>
          <w:szCs w:val="22"/>
          <w:u w:color="000000"/>
          <w:lang w:val="es-ES_tradnl"/>
        </w:rPr>
        <w:t>IDH</w:t>
      </w:r>
      <w:r w:rsidRPr="00A75361">
        <w:rPr>
          <w:rFonts w:ascii="Arial" w:eastAsia="Arial Unicode MS" w:hAnsi="Arial" w:cs="Arial"/>
          <w:sz w:val="22"/>
          <w:szCs w:val="22"/>
          <w:u w:color="000000"/>
          <w:lang w:val="es-ES_tradnl"/>
        </w:rPr>
        <w:t xml:space="preserve">, los Estados suelen faltar en la remisión de informes de cumplimiento, ello ocurre cuando no se han hecho avances al respecto, </w:t>
      </w:r>
      <w:r w:rsidR="00934502">
        <w:rPr>
          <w:rFonts w:ascii="Arial" w:eastAsia="Arial Unicode MS" w:hAnsi="Arial" w:cs="Arial"/>
          <w:sz w:val="22"/>
          <w:szCs w:val="22"/>
          <w:u w:color="000000"/>
          <w:lang w:val="es-ES_tradnl"/>
        </w:rPr>
        <w:t xml:space="preserve">y </w:t>
      </w:r>
      <w:r w:rsidRPr="00A75361">
        <w:rPr>
          <w:rFonts w:ascii="Arial" w:eastAsia="Arial Unicode MS" w:hAnsi="Arial" w:cs="Arial"/>
          <w:sz w:val="22"/>
          <w:szCs w:val="22"/>
          <w:u w:color="000000"/>
          <w:lang w:val="es-ES_tradnl"/>
        </w:rPr>
        <w:t xml:space="preserve">por otro lado, por dar cumplimiento a esta obligación se remiten informes incompletos e imprecisos, obligando a 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a solicitar el envío inmediato de los informes o su corrección.</w:t>
      </w:r>
    </w:p>
    <w:p w:rsidR="00934502" w:rsidRPr="00A75361" w:rsidRDefault="00934502"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En el transcurso de un año se</w:t>
      </w:r>
      <w:r w:rsidR="00934502">
        <w:rPr>
          <w:rFonts w:ascii="Arial" w:eastAsia="Arial Unicode MS" w:hAnsi="Arial" w:cs="Arial"/>
          <w:sz w:val="22"/>
          <w:szCs w:val="22"/>
          <w:u w:color="000000"/>
          <w:lang w:val="es-ES_tradnl"/>
        </w:rPr>
        <w:t xml:space="preserve"> pueden lograr avances respecto</w:t>
      </w:r>
      <w:r w:rsidRPr="00A75361">
        <w:rPr>
          <w:rFonts w:ascii="Arial" w:eastAsia="Arial Unicode MS" w:hAnsi="Arial" w:cs="Arial"/>
          <w:sz w:val="22"/>
          <w:szCs w:val="22"/>
          <w:u w:color="000000"/>
          <w:lang w:val="es-ES_tradnl"/>
        </w:rPr>
        <w:t xml:space="preserve"> de ciertas medidas como las pecuniarias, sin embargo existen medidas que evidentemente requieren de mayor tiempo para su ejecución, a pesar de ello los Estados deben remitir sus informes sobre los avances acerca de estas medidas. 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suele establecer plazos para el cumplimiento de determinadas medidas las cuales superan el año luego de la respectiva notificación, es por ello que su cumplimiento tarda y en especial los representantes de las víctimas se ven obligados a esperar que los plazos culminen para remitir sus observaciones a la Corte</w:t>
      </w:r>
      <w:r w:rsidR="00934502" w:rsidRPr="00934502">
        <w:rPr>
          <w:rFonts w:ascii="Arial" w:eastAsia="Arial Unicode MS" w:hAnsi="Arial" w:cs="Arial"/>
          <w:sz w:val="22"/>
          <w:szCs w:val="22"/>
          <w:u w:color="000000"/>
          <w:lang w:val="es-ES_tradnl"/>
        </w:rPr>
        <w:t xml:space="preserve"> </w:t>
      </w:r>
      <w:r w:rsidR="00934502" w:rsidRPr="00A75361">
        <w:rPr>
          <w:rFonts w:ascii="Arial" w:eastAsia="Arial Unicode MS" w:hAnsi="Arial" w:cs="Arial"/>
          <w:sz w:val="22"/>
          <w:szCs w:val="22"/>
          <w:u w:color="000000"/>
          <w:lang w:val="es-ES_tradnl"/>
        </w:rPr>
        <w:t>IDH</w:t>
      </w:r>
      <w:r w:rsidRPr="00A75361">
        <w:rPr>
          <w:rFonts w:ascii="Arial" w:eastAsia="Arial Unicode MS" w:hAnsi="Arial" w:cs="Arial"/>
          <w:sz w:val="22"/>
          <w:szCs w:val="22"/>
          <w:u w:color="000000"/>
          <w:lang w:val="es-ES_tradnl"/>
        </w:rPr>
        <w:t xml:space="preserve">. Evidentemente es difícil hallar una forma objetiva para determinar si el Estado está haciendo avances en el cumplimiento de medidas complejas, por lo que esperar a que se concluyan los plazos es la forma más directa de establecer el incumplimiento.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Como ya se ha establecido, el papel</w:t>
      </w:r>
      <w:r w:rsidR="00934502">
        <w:rPr>
          <w:rFonts w:ascii="Arial" w:eastAsia="Arial Unicode MS" w:hAnsi="Arial" w:cs="Arial"/>
          <w:sz w:val="22"/>
          <w:szCs w:val="22"/>
          <w:u w:color="000000"/>
          <w:lang w:val="es-ES_tradnl"/>
        </w:rPr>
        <w:t xml:space="preserve"> de los representantes de las ví</w:t>
      </w:r>
      <w:r w:rsidRPr="00A75361">
        <w:rPr>
          <w:rFonts w:ascii="Arial" w:eastAsia="Arial Unicode MS" w:hAnsi="Arial" w:cs="Arial"/>
          <w:sz w:val="22"/>
          <w:szCs w:val="22"/>
          <w:u w:color="000000"/>
          <w:lang w:val="es-ES_tradnl"/>
        </w:rPr>
        <w:t xml:space="preserve">ctimas es crucial en la etapa de ejecución de las sentencias, en este punto deben remitir informes de cumplimiento a 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señalando principalmente las medidas que están pendientes y las dificultades que se han presentado al implementar otras, es necesario que dichos informes estén dotados de claridad, concreción y detalle pues suponen información </w:t>
      </w:r>
      <w:r w:rsidRPr="00A75361">
        <w:rPr>
          <w:rFonts w:ascii="Arial" w:eastAsia="Arial Unicode MS" w:hAnsi="Arial" w:cs="Arial"/>
          <w:sz w:val="22"/>
          <w:szCs w:val="22"/>
          <w:u w:color="000000"/>
          <w:lang w:val="es-ES_tradnl"/>
        </w:rPr>
        <w:lastRenderedPageBreak/>
        <w:t xml:space="preserve">importante para que 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evalúe el estado de cumplimiento de lo ordenado por ella.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también puede solicitar informes a otras fuentes que remitan datos relevantes sobre el cumplimiento, así como solicitar informes de peritos.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Corte </w:t>
      </w:r>
      <w:r w:rsidR="00934502"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señala que su atribución para supervisar el cumplimiento de las sentencias se encuentra sustentada en la Convención Americana sobre Derechos Humanos en los artículos: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- 33. Que establece que la Corte IDH es competente para conocer de los asuntos relacionados con el cumplimiento de los compromisos contraídos por los Estados Partes en esta Convención.</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- 62.1 y 62.3. En relación a la declaración de reconocimiento de competencia de la Corte de los Estados parte.</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- 65. Sobre el informe anual de labores que presentará la Corte a la Asamblea General de la OEA, señalando de manera especial los casos en que un Estado no haya dado cumplimiento a sus fallos.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- 67. Sobre la posibilidad de que la Corte interprete sus fallos a solicitud de las partes en caso desacuerdo sobre su sentido o alcance.</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- 68.1 Relativo al compromiso de los Estados parte a cumplir con las decisiones de la Corte.</w:t>
      </w:r>
    </w:p>
    <w:p w:rsidR="006358CC" w:rsidRPr="00A75361" w:rsidRDefault="006358CC"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Además en el Estatuto de la Corte IDH en los artículos: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- 24. Relativo a las audiencias, deliberaciones y decisiones de la Corte.</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- 30. Sobre el informe anual que remitirá  la Corte a la Asamblea General de la OEA, señalando los casos en que un Estado no haya cumplido con sus fallos     </w:t>
      </w:r>
    </w:p>
    <w:p w:rsidR="006358CC" w:rsidRPr="00A75361" w:rsidRDefault="006358CC"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La atribución de supervisar el cumplimiento de las sentencias se basa también en los siguientes artículos de su Reglamento:</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- 31. Relativo a las resoluciones de la Corte</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- 69. Sobre la supervisión de cumplimiento de las sentencias y otras decisiones del Tribunal.</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086600" w:rsidRDefault="008F2951" w:rsidP="00A75361">
      <w:pPr>
        <w:pStyle w:val="Sinespaciado"/>
        <w:spacing w:line="360" w:lineRule="auto"/>
        <w:jc w:val="both"/>
        <w:rPr>
          <w:rFonts w:ascii="Arial" w:eastAsia="Arial Unicode MS" w:hAnsi="Arial" w:cs="Arial"/>
          <w:sz w:val="22"/>
          <w:szCs w:val="22"/>
          <w:u w:color="000000"/>
          <w:lang w:val="es-ES"/>
        </w:rPr>
      </w:pPr>
      <w:r w:rsidRPr="00A75361">
        <w:rPr>
          <w:rFonts w:ascii="Arial" w:eastAsia="Arial Unicode MS" w:hAnsi="Arial" w:cs="Arial"/>
          <w:sz w:val="22"/>
          <w:szCs w:val="22"/>
          <w:u w:color="000000"/>
          <w:lang w:val="es-ES"/>
        </w:rPr>
        <w:t xml:space="preserve">En las resoluciones de cumplimiento, la Corte </w:t>
      </w:r>
      <w:r w:rsidR="00934502" w:rsidRPr="00A75361">
        <w:rPr>
          <w:rFonts w:ascii="Arial" w:eastAsia="Arial Unicode MS" w:hAnsi="Arial" w:cs="Arial"/>
          <w:sz w:val="22"/>
          <w:szCs w:val="22"/>
          <w:u w:color="000000"/>
          <w:lang w:val="es-ES_tradnl"/>
        </w:rPr>
        <w:t>IDH</w:t>
      </w:r>
      <w:r w:rsidR="00934502" w:rsidRPr="00A75361">
        <w:rPr>
          <w:rFonts w:ascii="Arial" w:eastAsia="Arial Unicode MS" w:hAnsi="Arial" w:cs="Arial"/>
          <w:sz w:val="22"/>
          <w:szCs w:val="22"/>
          <w:u w:color="000000"/>
          <w:lang w:val="es-ES"/>
        </w:rPr>
        <w:t xml:space="preserve"> </w:t>
      </w:r>
      <w:r w:rsidRPr="00A75361">
        <w:rPr>
          <w:rFonts w:ascii="Arial" w:eastAsia="Arial Unicode MS" w:hAnsi="Arial" w:cs="Arial"/>
          <w:sz w:val="22"/>
          <w:szCs w:val="22"/>
          <w:u w:color="000000"/>
          <w:lang w:val="es-ES"/>
        </w:rPr>
        <w:t xml:space="preserve">hace referencia a los puntos resolutivos de la sentencia que establecen las medidas de reparación, también se toman </w:t>
      </w:r>
      <w:r w:rsidRPr="00A75361">
        <w:rPr>
          <w:rFonts w:ascii="Arial" w:eastAsia="Arial Unicode MS" w:hAnsi="Arial" w:cs="Arial"/>
          <w:sz w:val="22"/>
          <w:szCs w:val="22"/>
          <w:u w:color="000000"/>
          <w:lang w:val="es-ES"/>
        </w:rPr>
        <w:lastRenderedPageBreak/>
        <w:t xml:space="preserve">en cuenta las anteriores resoluciones que dieron cuenta de las medidas cumplidas y aquellas pendientes de cumplimiento. </w:t>
      </w:r>
    </w:p>
    <w:p w:rsidR="00086600" w:rsidRDefault="00086600" w:rsidP="00A75361">
      <w:pPr>
        <w:pStyle w:val="Sinespaciado"/>
        <w:spacing w:line="360" w:lineRule="auto"/>
        <w:jc w:val="both"/>
        <w:rPr>
          <w:rFonts w:ascii="Arial" w:eastAsia="Arial Unicode MS" w:hAnsi="Arial" w:cs="Arial"/>
          <w:sz w:val="22"/>
          <w:szCs w:val="22"/>
          <w:u w:color="000000"/>
          <w:lang w:val="es-ES"/>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
        </w:rPr>
      </w:pPr>
      <w:r w:rsidRPr="00A75361">
        <w:rPr>
          <w:rFonts w:ascii="Arial" w:eastAsia="Arial Unicode MS" w:hAnsi="Arial" w:cs="Arial"/>
          <w:sz w:val="22"/>
          <w:szCs w:val="22"/>
          <w:u w:color="000000"/>
          <w:lang w:val="es-ES"/>
        </w:rPr>
        <w:t xml:space="preserve">En el caso </w:t>
      </w:r>
      <w:proofErr w:type="spellStart"/>
      <w:r w:rsidRPr="00A75361">
        <w:rPr>
          <w:rFonts w:ascii="Arial" w:eastAsia="Arial Unicode MS" w:hAnsi="Arial" w:cs="Arial"/>
          <w:sz w:val="22"/>
          <w:szCs w:val="22"/>
          <w:u w:color="000000"/>
          <w:lang w:val="es-ES"/>
        </w:rPr>
        <w:t>Kimel</w:t>
      </w:r>
      <w:proofErr w:type="spellEnd"/>
      <w:r w:rsidRPr="00A75361">
        <w:rPr>
          <w:rFonts w:ascii="Arial" w:eastAsia="Arial Unicode MS" w:hAnsi="Arial" w:cs="Arial"/>
          <w:sz w:val="22"/>
          <w:szCs w:val="22"/>
          <w:u w:color="000000"/>
          <w:lang w:val="es-ES"/>
        </w:rPr>
        <w:t xml:space="preserve"> vs Argentina, en la resolución de la Corte </w:t>
      </w:r>
      <w:r w:rsidR="00934502" w:rsidRPr="00A75361">
        <w:rPr>
          <w:rFonts w:ascii="Arial" w:eastAsia="Arial Unicode MS" w:hAnsi="Arial" w:cs="Arial"/>
          <w:sz w:val="22"/>
          <w:szCs w:val="22"/>
          <w:u w:color="000000"/>
          <w:lang w:val="es-ES_tradnl"/>
        </w:rPr>
        <w:t>IDH</w:t>
      </w:r>
      <w:r w:rsidR="00934502" w:rsidRPr="00A75361">
        <w:rPr>
          <w:rFonts w:ascii="Arial" w:eastAsia="Arial Unicode MS" w:hAnsi="Arial" w:cs="Arial"/>
          <w:sz w:val="22"/>
          <w:szCs w:val="22"/>
          <w:u w:color="000000"/>
          <w:lang w:val="es-ES"/>
        </w:rPr>
        <w:t xml:space="preserve"> </w:t>
      </w:r>
      <w:r w:rsidRPr="00A75361">
        <w:rPr>
          <w:rFonts w:ascii="Arial" w:eastAsia="Arial Unicode MS" w:hAnsi="Arial" w:cs="Arial"/>
          <w:sz w:val="22"/>
          <w:szCs w:val="22"/>
          <w:u w:color="000000"/>
          <w:lang w:val="es-ES"/>
        </w:rPr>
        <w:t xml:space="preserve">de 5 de febrero del 2013 relativa a la supervisión de cumplimiento del caso, se estableció que en una anterior resolución sobre el cumplimiento de fecha 15 de noviembre del 2010, había quedado pendiente la obligación de dejar sin efecto la condena penal impuesta al señor </w:t>
      </w:r>
      <w:proofErr w:type="spellStart"/>
      <w:r w:rsidRPr="00A75361">
        <w:rPr>
          <w:rFonts w:ascii="Arial" w:eastAsia="Arial Unicode MS" w:hAnsi="Arial" w:cs="Arial"/>
          <w:sz w:val="22"/>
          <w:szCs w:val="22"/>
          <w:u w:color="000000"/>
          <w:lang w:val="es-ES"/>
        </w:rPr>
        <w:t>Kimel</w:t>
      </w:r>
      <w:proofErr w:type="spellEnd"/>
      <w:r w:rsidRPr="00A75361">
        <w:rPr>
          <w:rFonts w:ascii="Arial" w:eastAsia="Arial Unicode MS" w:hAnsi="Arial" w:cs="Arial"/>
          <w:sz w:val="22"/>
          <w:szCs w:val="22"/>
          <w:u w:color="000000"/>
          <w:lang w:val="es-ES"/>
        </w:rPr>
        <w:t xml:space="preserve"> y todas las consecuencias que de ella se deriven, en esta última resolución la Corte </w:t>
      </w:r>
      <w:r w:rsidR="00D3055B" w:rsidRPr="00A75361">
        <w:rPr>
          <w:rFonts w:ascii="Arial" w:eastAsia="Arial Unicode MS" w:hAnsi="Arial" w:cs="Arial"/>
          <w:sz w:val="22"/>
          <w:szCs w:val="22"/>
          <w:u w:color="000000"/>
          <w:lang w:val="es-ES_tradnl"/>
        </w:rPr>
        <w:t>IDH</w:t>
      </w:r>
      <w:r w:rsidR="00D3055B" w:rsidRPr="00A75361">
        <w:rPr>
          <w:rFonts w:ascii="Arial" w:eastAsia="Arial Unicode MS" w:hAnsi="Arial" w:cs="Arial"/>
          <w:sz w:val="22"/>
          <w:szCs w:val="22"/>
          <w:u w:color="000000"/>
          <w:lang w:val="es-ES"/>
        </w:rPr>
        <w:t xml:space="preserve"> </w:t>
      </w:r>
      <w:r w:rsidRPr="00A75361">
        <w:rPr>
          <w:rFonts w:ascii="Arial" w:eastAsia="Arial Unicode MS" w:hAnsi="Arial" w:cs="Arial"/>
          <w:sz w:val="22"/>
          <w:szCs w:val="22"/>
          <w:u w:color="000000"/>
          <w:lang w:val="es-ES"/>
        </w:rPr>
        <w:t>declaró que el Estado había dado cumplimiento total a la obligación pendiente y por lo tanto resolvió dar por concluido el caso y el archivo del respectivo expediente</w:t>
      </w:r>
      <w:r w:rsidRPr="00A75361">
        <w:rPr>
          <w:rFonts w:ascii="Arial" w:eastAsia="Arial Unicode MS" w:hAnsi="Arial" w:cs="Arial"/>
          <w:sz w:val="22"/>
          <w:szCs w:val="22"/>
          <w:u w:color="000000"/>
          <w:vertAlign w:val="superscript"/>
          <w:lang w:val="es-ES"/>
        </w:rPr>
        <w:footnoteReference w:id="143"/>
      </w:r>
      <w:r w:rsidRPr="00A75361">
        <w:rPr>
          <w:rFonts w:ascii="Arial" w:eastAsia="Arial Unicode MS" w:hAnsi="Arial" w:cs="Arial"/>
          <w:sz w:val="22"/>
          <w:szCs w:val="22"/>
          <w:u w:color="000000"/>
          <w:lang w:val="es-ES"/>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
        </w:rPr>
      </w:pPr>
      <w:r w:rsidRPr="00A75361">
        <w:rPr>
          <w:rFonts w:ascii="Arial" w:eastAsia="Arial Unicode MS" w:hAnsi="Arial" w:cs="Arial"/>
          <w:sz w:val="22"/>
          <w:szCs w:val="22"/>
          <w:u w:color="000000"/>
          <w:lang w:val="es-ES"/>
        </w:rPr>
        <w:t xml:space="preserve">A partir del 2007 la Corte </w:t>
      </w:r>
      <w:r w:rsidR="00D3055B" w:rsidRPr="00A75361">
        <w:rPr>
          <w:rFonts w:ascii="Arial" w:eastAsia="Arial Unicode MS" w:hAnsi="Arial" w:cs="Arial"/>
          <w:sz w:val="22"/>
          <w:szCs w:val="22"/>
          <w:u w:color="000000"/>
          <w:lang w:val="es-ES_tradnl"/>
        </w:rPr>
        <w:t>IDH</w:t>
      </w:r>
      <w:r w:rsidR="00D3055B" w:rsidRPr="00A75361">
        <w:rPr>
          <w:rFonts w:ascii="Arial" w:eastAsia="Arial Unicode MS" w:hAnsi="Arial" w:cs="Arial"/>
          <w:sz w:val="22"/>
          <w:szCs w:val="22"/>
          <w:u w:color="000000"/>
          <w:lang w:val="es-ES"/>
        </w:rPr>
        <w:t xml:space="preserve"> </w:t>
      </w:r>
      <w:r w:rsidRPr="00A75361">
        <w:rPr>
          <w:rFonts w:ascii="Arial" w:eastAsia="Arial Unicode MS" w:hAnsi="Arial" w:cs="Arial"/>
          <w:sz w:val="22"/>
          <w:szCs w:val="22"/>
          <w:u w:color="000000"/>
          <w:lang w:val="es-ES"/>
        </w:rPr>
        <w:t xml:space="preserve">viene realizado audiencias a fin de que se resuelvan obstáculos relacionados con el cumplimiento de las sentencias especialmente por la falta de acuerdos entre los Estados y los representantes de las víctimas. La apertura de la Corte </w:t>
      </w:r>
      <w:r w:rsidR="00D3055B" w:rsidRPr="00A75361">
        <w:rPr>
          <w:rFonts w:ascii="Arial" w:eastAsia="Arial Unicode MS" w:hAnsi="Arial" w:cs="Arial"/>
          <w:sz w:val="22"/>
          <w:szCs w:val="22"/>
          <w:u w:color="000000"/>
          <w:lang w:val="es-ES_tradnl"/>
        </w:rPr>
        <w:t>IDH</w:t>
      </w:r>
      <w:r w:rsidR="00D3055B" w:rsidRPr="00A75361">
        <w:rPr>
          <w:rFonts w:ascii="Arial" w:eastAsia="Arial Unicode MS" w:hAnsi="Arial" w:cs="Arial"/>
          <w:sz w:val="22"/>
          <w:szCs w:val="22"/>
          <w:u w:color="000000"/>
          <w:lang w:val="es-ES"/>
        </w:rPr>
        <w:t xml:space="preserve"> </w:t>
      </w:r>
      <w:r w:rsidRPr="00A75361">
        <w:rPr>
          <w:rFonts w:ascii="Arial" w:eastAsia="Arial Unicode MS" w:hAnsi="Arial" w:cs="Arial"/>
          <w:sz w:val="22"/>
          <w:szCs w:val="22"/>
          <w:u w:color="000000"/>
          <w:lang w:val="es-ES"/>
        </w:rPr>
        <w:t>es importante en esta etapa pues se receptan las inquietudes de las partes lo que genera una actitud positiva y esperanzadora, las decisiones de tales audiencias son definitivas en torno a las dificultades planteadas sin embargo los efectos de tales decisiones requieren mayor claridad y determinación sobre su alcance.</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
        </w:rPr>
      </w:pPr>
      <w:r w:rsidRPr="00A75361">
        <w:rPr>
          <w:rFonts w:ascii="Arial" w:eastAsia="Arial Unicode MS" w:hAnsi="Arial" w:cs="Arial"/>
          <w:sz w:val="22"/>
          <w:szCs w:val="22"/>
          <w:u w:color="000000"/>
          <w:lang w:val="es-ES"/>
        </w:rPr>
        <w:t>Estas audiencias también presentan la oportunidad de que las partes, especialme</w:t>
      </w:r>
      <w:r w:rsidR="00D3055B">
        <w:rPr>
          <w:rFonts w:ascii="Arial" w:eastAsia="Arial Unicode MS" w:hAnsi="Arial" w:cs="Arial"/>
          <w:sz w:val="22"/>
          <w:szCs w:val="22"/>
          <w:u w:color="000000"/>
          <w:lang w:val="es-ES"/>
        </w:rPr>
        <w:t>nte los representantes de las ví</w:t>
      </w:r>
      <w:r w:rsidRPr="00A75361">
        <w:rPr>
          <w:rFonts w:ascii="Arial" w:eastAsia="Arial Unicode MS" w:hAnsi="Arial" w:cs="Arial"/>
          <w:sz w:val="22"/>
          <w:szCs w:val="22"/>
          <w:u w:color="000000"/>
          <w:lang w:val="es-ES"/>
        </w:rPr>
        <w:t xml:space="preserve">ctimas pongan de manifiesto ciertas actitudes de los Estados sobre todo cuando existe falta de voluntad. Los Estados deben justificar los procesos en la ejecución, la Corte debe realizar el respectivo llamado de atención junto con las acciones necesarias cuando se trata de un incumplimiento deliberado.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
        </w:rPr>
        <w:t>En cuanto a l</w:t>
      </w:r>
      <w:r w:rsidRPr="00A75361">
        <w:rPr>
          <w:rFonts w:ascii="Arial" w:eastAsia="Arial Unicode MS" w:hAnsi="Arial" w:cs="Arial"/>
          <w:sz w:val="22"/>
          <w:szCs w:val="22"/>
          <w:u w:color="000000"/>
          <w:lang w:val="es-ES_tradnl"/>
        </w:rPr>
        <w:t xml:space="preserve">a citación a audiencias privadas de seguimiento, la Corte IDH ha determinado que es una facultad inherente a sus funciones jurisdiccionales, en virtud del artículo 67 de la Convención Americana.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Dicha atribución se ha puesto en duda por parte de Estados encontrados responsables, por ejemplo el Estado de Panamá  mediante escrito de 27 de febrero de 2003 cuestionó la facultad de la Corte </w:t>
      </w:r>
      <w:r w:rsidR="00D3055B"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para supervisar el cumplimiento de la Sentencia de 2 de febrero de 2001 en el Caso Baena Ricardo y otros, además se cuestionó el mecanismo que </w:t>
      </w:r>
      <w:r w:rsidR="00D3055B">
        <w:rPr>
          <w:rFonts w:ascii="Arial" w:eastAsia="Arial Unicode MS" w:hAnsi="Arial" w:cs="Arial"/>
          <w:sz w:val="22"/>
          <w:szCs w:val="22"/>
          <w:u w:color="000000"/>
          <w:lang w:val="es-ES_tradnl"/>
        </w:rPr>
        <w:t xml:space="preserve">esta </w:t>
      </w:r>
      <w:r w:rsidRPr="00A75361">
        <w:rPr>
          <w:rFonts w:ascii="Arial" w:eastAsia="Arial Unicode MS" w:hAnsi="Arial" w:cs="Arial"/>
          <w:sz w:val="22"/>
          <w:szCs w:val="22"/>
          <w:u w:color="000000"/>
          <w:lang w:val="es-ES_tradnl"/>
        </w:rPr>
        <w:t xml:space="preserve">usa respecto a pedir informes de cumplimiento a los Estados, para que de este </w:t>
      </w:r>
      <w:r w:rsidRPr="00A75361">
        <w:rPr>
          <w:rFonts w:ascii="Arial" w:eastAsia="Arial Unicode MS" w:hAnsi="Arial" w:cs="Arial"/>
          <w:sz w:val="22"/>
          <w:szCs w:val="22"/>
          <w:u w:color="000000"/>
          <w:lang w:val="es-ES_tradnl"/>
        </w:rPr>
        <w:lastRenderedPageBreak/>
        <w:t>modo tenga bases para determinar el incumplimiento y de acuerdo con el artículo 65 de la Convención informarlo a la Asamblea General de la OEA.</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F6613F"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En el escrito mencionado, Panamá consideró que la etapa de cumplimiento de sentencia es una etapa “post </w:t>
      </w:r>
      <w:proofErr w:type="spellStart"/>
      <w:r w:rsidRPr="00A75361">
        <w:rPr>
          <w:rFonts w:ascii="Arial" w:eastAsia="Arial Unicode MS" w:hAnsi="Arial" w:cs="Arial"/>
          <w:sz w:val="22"/>
          <w:szCs w:val="22"/>
          <w:u w:color="000000"/>
          <w:lang w:val="es-ES_tradnl"/>
        </w:rPr>
        <w:t>adjudicatura</w:t>
      </w:r>
      <w:proofErr w:type="spellEnd"/>
      <w:r w:rsidRPr="00A75361">
        <w:rPr>
          <w:rFonts w:ascii="Arial" w:eastAsia="Arial Unicode MS" w:hAnsi="Arial" w:cs="Arial"/>
          <w:sz w:val="22"/>
          <w:szCs w:val="22"/>
          <w:u w:color="000000"/>
          <w:lang w:val="es-ES_tradnl"/>
        </w:rPr>
        <w:t>”, que no está prevista por las normas que regulan la jurisdicción y el procedimiento de la Honorable Corte y que este aspecto escapa de la esfera jurídica correspondiéndole exclusivamente a la Asamblea General de la Organización de los Estados Americanos en un ámbito más bien político.</w:t>
      </w:r>
    </w:p>
    <w:p w:rsidR="004E5A0C" w:rsidRDefault="00F01B33" w:rsidP="00A75361">
      <w:pPr>
        <w:pStyle w:val="Sinespaciado"/>
        <w:spacing w:line="360" w:lineRule="auto"/>
        <w:jc w:val="both"/>
        <w:rPr>
          <w:rFonts w:ascii="Arial" w:eastAsia="Arial Unicode MS" w:hAnsi="Arial" w:cs="Arial"/>
          <w:sz w:val="22"/>
          <w:szCs w:val="22"/>
          <w:u w:color="000000"/>
          <w:lang w:val="es-ES_tradnl"/>
        </w:rPr>
      </w:pPr>
      <w:r>
        <w:rPr>
          <w:rFonts w:ascii="Arial" w:eastAsia="Arial Unicode MS" w:hAnsi="Arial" w:cs="Arial"/>
          <w:sz w:val="22"/>
          <w:szCs w:val="22"/>
          <w:u w:color="000000"/>
          <w:lang w:val="es-ES_tradnl"/>
        </w:rPr>
        <w:t>E</w:t>
      </w:r>
      <w:r w:rsidRPr="00A75361">
        <w:rPr>
          <w:rFonts w:ascii="Arial" w:eastAsia="Arial Unicode MS" w:hAnsi="Arial" w:cs="Arial"/>
          <w:sz w:val="22"/>
          <w:szCs w:val="22"/>
          <w:u w:color="000000"/>
          <w:lang w:val="es-ES_tradnl"/>
        </w:rPr>
        <w:t xml:space="preserve">l Estado de Panamá </w:t>
      </w:r>
      <w:r>
        <w:rPr>
          <w:rFonts w:ascii="Arial" w:eastAsia="Arial Unicode MS" w:hAnsi="Arial" w:cs="Arial"/>
          <w:sz w:val="22"/>
          <w:szCs w:val="22"/>
          <w:u w:color="000000"/>
          <w:lang w:val="es-ES_tradnl"/>
        </w:rPr>
        <w:t>a</w:t>
      </w:r>
      <w:r w:rsidR="008F2951" w:rsidRPr="00A75361">
        <w:rPr>
          <w:rFonts w:ascii="Arial" w:eastAsia="Arial Unicode MS" w:hAnsi="Arial" w:cs="Arial"/>
          <w:sz w:val="22"/>
          <w:szCs w:val="22"/>
          <w:u w:color="000000"/>
          <w:lang w:val="es-ES_tradnl"/>
        </w:rPr>
        <w:t>gregó también que</w:t>
      </w:r>
      <w:r w:rsidR="004E5A0C">
        <w:rPr>
          <w:rFonts w:ascii="Arial" w:eastAsia="Arial Unicode MS" w:hAnsi="Arial" w:cs="Arial"/>
          <w:sz w:val="22"/>
          <w:szCs w:val="22"/>
          <w:u w:color="000000"/>
          <w:lang w:val="es-ES_tradnl"/>
        </w:rPr>
        <w:t>:</w:t>
      </w:r>
      <w:r w:rsidR="008F2951" w:rsidRPr="00A75361">
        <w:rPr>
          <w:rFonts w:ascii="Arial" w:eastAsia="Arial Unicode MS" w:hAnsi="Arial" w:cs="Arial"/>
          <w:sz w:val="22"/>
          <w:szCs w:val="22"/>
          <w:u w:color="000000"/>
          <w:lang w:val="es-ES_tradnl"/>
        </w:rPr>
        <w:t xml:space="preserve"> </w:t>
      </w:r>
    </w:p>
    <w:p w:rsidR="004E5A0C" w:rsidRDefault="004E5A0C" w:rsidP="00A75361">
      <w:pPr>
        <w:pStyle w:val="Sinespaciado"/>
        <w:spacing w:line="360" w:lineRule="auto"/>
        <w:jc w:val="both"/>
        <w:rPr>
          <w:rFonts w:ascii="Arial" w:eastAsia="Arial Unicode MS" w:hAnsi="Arial" w:cs="Arial"/>
          <w:sz w:val="22"/>
          <w:szCs w:val="22"/>
          <w:u w:color="000000"/>
          <w:lang w:val="es-ES_tradnl"/>
        </w:rPr>
      </w:pPr>
    </w:p>
    <w:p w:rsidR="008F2951" w:rsidRPr="004E5A0C" w:rsidRDefault="008F2951" w:rsidP="00D3055B">
      <w:pPr>
        <w:pStyle w:val="Sinespaciado"/>
        <w:spacing w:line="276" w:lineRule="auto"/>
        <w:ind w:left="720"/>
        <w:jc w:val="both"/>
        <w:rPr>
          <w:rFonts w:ascii="Arial" w:eastAsia="Arial Unicode MS" w:hAnsi="Arial" w:cs="Arial"/>
          <w:sz w:val="20"/>
          <w:szCs w:val="20"/>
          <w:u w:color="000000"/>
          <w:lang w:val="es-ES_tradnl"/>
        </w:rPr>
      </w:pPr>
      <w:r w:rsidRPr="004E5A0C">
        <w:rPr>
          <w:rFonts w:ascii="Arial" w:eastAsia="Arial Unicode MS" w:hAnsi="Arial" w:cs="Arial"/>
          <w:sz w:val="20"/>
          <w:szCs w:val="20"/>
          <w:u w:color="000000"/>
          <w:lang w:val="es-ES_tradnl"/>
        </w:rPr>
        <w:t xml:space="preserve">El Artículo 65 de la Convención Americana establece claramente que sólo la Asamblea General de la Organización de los Estados Americanos tiene la función de supervisar el cumplimiento de los fallos de la Corte Interamericana de Derechos Humanos. Dicha norma únicamente establece obligaciones a cargo de la Corte y no establece obligación alguna para los Estados </w:t>
      </w:r>
      <w:r w:rsidR="0080546B" w:rsidRPr="004E5A0C">
        <w:rPr>
          <w:rFonts w:ascii="Arial" w:eastAsia="Arial Unicode MS" w:hAnsi="Arial" w:cs="Arial"/>
          <w:sz w:val="20"/>
          <w:szCs w:val="20"/>
          <w:u w:color="000000"/>
          <w:lang w:val="es-ES_tradnl"/>
        </w:rPr>
        <w:t>p</w:t>
      </w:r>
      <w:r w:rsidRPr="004E5A0C">
        <w:rPr>
          <w:rFonts w:ascii="Arial" w:eastAsia="Arial Unicode MS" w:hAnsi="Arial" w:cs="Arial"/>
          <w:sz w:val="20"/>
          <w:szCs w:val="20"/>
          <w:u w:color="000000"/>
          <w:lang w:val="es-ES_tradnl"/>
        </w:rPr>
        <w:t>artes, así como tampoco otorga derechos a la Corte ni le otorga competencia para supervisar el cumplimiento de sus sentencias</w:t>
      </w:r>
      <w:r w:rsidRPr="004E5A0C">
        <w:rPr>
          <w:rFonts w:ascii="Arial" w:eastAsia="Arial Unicode MS" w:hAnsi="Arial" w:cs="Arial"/>
          <w:color w:val="000000"/>
          <w:sz w:val="20"/>
          <w:szCs w:val="20"/>
          <w:u w:color="000000"/>
          <w:vertAlign w:val="superscript"/>
          <w:lang w:val="es-ES_tradnl"/>
        </w:rPr>
        <w:footnoteReference w:id="144"/>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Corte </w:t>
      </w:r>
      <w:r w:rsidR="00D3055B"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estima que la voluntad de los Estados, al aprobar lo estipulado en el artículo 65 de la Convención, fue otorgar</w:t>
      </w:r>
      <w:r w:rsidR="00D3055B">
        <w:rPr>
          <w:rFonts w:ascii="Arial" w:eastAsia="Arial Unicode MS" w:hAnsi="Arial" w:cs="Arial"/>
          <w:sz w:val="22"/>
          <w:szCs w:val="22"/>
          <w:u w:color="000000"/>
          <w:lang w:val="es-ES_tradnl"/>
        </w:rPr>
        <w:t>le</w:t>
      </w:r>
      <w:r w:rsidRPr="00A75361">
        <w:rPr>
          <w:rFonts w:ascii="Arial" w:eastAsia="Arial Unicode MS" w:hAnsi="Arial" w:cs="Arial"/>
          <w:sz w:val="22"/>
          <w:szCs w:val="22"/>
          <w:u w:color="000000"/>
          <w:lang w:val="es-ES_tradnl"/>
        </w:rPr>
        <w:t xml:space="preserve"> la facultad de supervisar el cumplimiento de sus decisiones, y que fuera el Tribunal el encargado de poner en conocimiento de la Asamblea General de la OEA, a través de su Informe Anual, los casos en los cuales se diera un incumplimiento de las decisiones de la Corte</w:t>
      </w:r>
      <w:r w:rsidR="00D3055B" w:rsidRPr="00D3055B">
        <w:rPr>
          <w:rFonts w:ascii="Arial" w:eastAsia="Arial Unicode MS" w:hAnsi="Arial" w:cs="Arial"/>
          <w:sz w:val="22"/>
          <w:szCs w:val="22"/>
          <w:u w:color="000000"/>
          <w:lang w:val="es-ES_tradnl"/>
        </w:rPr>
        <w:t xml:space="preserve"> </w:t>
      </w:r>
      <w:r w:rsidR="00D3055B" w:rsidRPr="00A75361">
        <w:rPr>
          <w:rFonts w:ascii="Arial" w:eastAsia="Arial Unicode MS" w:hAnsi="Arial" w:cs="Arial"/>
          <w:sz w:val="22"/>
          <w:szCs w:val="22"/>
          <w:u w:color="000000"/>
          <w:lang w:val="es-ES_tradnl"/>
        </w:rPr>
        <w:t>IDH</w:t>
      </w:r>
      <w:r w:rsidRPr="00A75361">
        <w:rPr>
          <w:rFonts w:ascii="Arial" w:eastAsia="Arial Unicode MS" w:hAnsi="Arial" w:cs="Arial"/>
          <w:sz w:val="22"/>
          <w:szCs w:val="22"/>
          <w:u w:color="000000"/>
          <w:lang w:val="es-ES_tradnl"/>
        </w:rPr>
        <w:t>, porque no es posible dar aplicación al artículo 65 de la Convención sin que el Tribunal supervise la observancia de sus decisiones.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No cabe duda de que el mecanismo de celebrar audiencias para superar inconvenientes en la ejecución de sentencias facilita la ejecució</w:t>
      </w:r>
      <w:r w:rsidR="00D3055B">
        <w:rPr>
          <w:rFonts w:ascii="Arial" w:eastAsia="Arial Unicode MS" w:hAnsi="Arial" w:cs="Arial"/>
          <w:sz w:val="22"/>
          <w:szCs w:val="22"/>
          <w:u w:color="000000"/>
          <w:lang w:val="es-ES_tradnl"/>
        </w:rPr>
        <w:t xml:space="preserve">n de la misma, sin embargo </w:t>
      </w:r>
      <w:r w:rsidRPr="00A75361">
        <w:rPr>
          <w:rFonts w:ascii="Arial" w:eastAsia="Arial Unicode MS" w:hAnsi="Arial" w:cs="Arial"/>
          <w:sz w:val="22"/>
          <w:szCs w:val="22"/>
          <w:u w:color="000000"/>
          <w:lang w:val="es-ES_tradnl"/>
        </w:rPr>
        <w:t xml:space="preserve">se debe fortalecer su efectividad, esta posibilidad únicamente puede lograrse con el apoyo de los Estados involucrados. Cada mecanismo que la Corte </w:t>
      </w:r>
      <w:r w:rsidR="00D3055B"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adopte significa un esfuerzo que demanda personal y recursos adecuados, el seguimiento de las sentencias debe realizarse de forma permanente y continua. Conforme transcurren los casos y aumenta la experiencia de la Corte </w:t>
      </w:r>
      <w:r w:rsidR="00D3055B"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en este aspecto, se deben proponer formas innovadoras de mejorar los mecanismos de seguimiento así como la posibilidad de implementar nuevas vías que contribuyan a la solución de este problema.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lastRenderedPageBreak/>
        <w:t>Es necesario manifestar que todo mecanismo existente o cualquiera que se implemente en el futuro, debe contar con la participación de todos los actores involucrados, adecuar los canales de comunicación es fundamental para este fin. Es importante además contar con una metodología que permita solucionar de manera efectiva las dificultades que hasta ahora han surgido. Al margen de la solución de casos específicos es valiosa también la participación de la sociedad civil y los órganos de derechos humanos con el fin de que se incorporen soluciones y se trate cada vez mas de perfeccionar el Sistema, algunos autores se han referido a necesidad de que se reformen los mecanismos a nivel regional</w:t>
      </w:r>
      <w:r w:rsidRPr="00A75361">
        <w:rPr>
          <w:rFonts w:ascii="Arial" w:eastAsia="Arial Unicode MS" w:hAnsi="Arial" w:cs="Arial"/>
          <w:sz w:val="22"/>
          <w:szCs w:val="22"/>
          <w:u w:color="000000"/>
          <w:vertAlign w:val="superscript"/>
          <w:lang w:val="es-ES_tradnl"/>
        </w:rPr>
        <w:footnoteReference w:id="145"/>
      </w:r>
      <w:r w:rsidR="00D3055B">
        <w:rPr>
          <w:rFonts w:ascii="Arial" w:eastAsia="Arial Unicode MS" w:hAnsi="Arial" w:cs="Arial"/>
          <w:sz w:val="22"/>
          <w:szCs w:val="22"/>
          <w:u w:color="000000"/>
          <w:lang w:val="es-ES_tradnl"/>
        </w:rPr>
        <w:t>.</w:t>
      </w:r>
      <w:r w:rsidRPr="00A75361">
        <w:rPr>
          <w:rFonts w:ascii="Arial" w:eastAsia="Arial Unicode MS" w:hAnsi="Arial" w:cs="Arial"/>
          <w:sz w:val="22"/>
          <w:szCs w:val="22"/>
          <w:u w:color="000000"/>
          <w:lang w:val="es-ES_tradnl"/>
        </w:rPr>
        <w:t xml:space="preserve">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56C2" w:rsidRDefault="00034369" w:rsidP="00B656C2">
      <w:pPr>
        <w:pStyle w:val="Ttulo3"/>
        <w:spacing w:line="360" w:lineRule="auto"/>
        <w:ind w:left="720" w:hanging="720"/>
        <w:jc w:val="both"/>
        <w:rPr>
          <w:rFonts w:ascii="Arial" w:eastAsia="Arial Unicode MS" w:hAnsi="Arial" w:cs="Arial"/>
          <w:b w:val="0"/>
          <w:color w:val="auto"/>
          <w:sz w:val="22"/>
          <w:u w:color="000000"/>
          <w:lang w:val="es-ES_tradnl"/>
        </w:rPr>
      </w:pPr>
      <w:bookmarkStart w:id="25" w:name="_Toc356432262"/>
      <w:r w:rsidRPr="00B656C2">
        <w:rPr>
          <w:rFonts w:ascii="Arial" w:eastAsia="Arial Unicode MS" w:hAnsi="Arial" w:cs="Arial"/>
          <w:color w:val="auto"/>
          <w:sz w:val="22"/>
          <w:u w:color="000000"/>
          <w:lang w:val="es-ES_tradnl"/>
        </w:rPr>
        <w:t>2.3.2.</w:t>
      </w:r>
      <w:r w:rsidRPr="00B656C2">
        <w:rPr>
          <w:rFonts w:ascii="Arial" w:eastAsia="Arial Unicode MS" w:hAnsi="Arial" w:cs="Arial"/>
          <w:color w:val="auto"/>
          <w:sz w:val="22"/>
          <w:u w:color="000000"/>
          <w:lang w:val="es-ES_tradnl"/>
        </w:rPr>
        <w:tab/>
      </w:r>
      <w:r w:rsidR="00651974" w:rsidRPr="00B656C2">
        <w:rPr>
          <w:rFonts w:ascii="Arial" w:eastAsia="Arial Unicode MS" w:hAnsi="Arial" w:cs="Arial"/>
          <w:color w:val="auto"/>
          <w:sz w:val="22"/>
          <w:u w:color="000000"/>
          <w:lang w:val="es-ES_tradnl"/>
        </w:rPr>
        <w:t>Papel de la Asamblea General de la Organización de Estados Americanos en caso de incumplimiento de sentencias</w:t>
      </w:r>
      <w:bookmarkEnd w:id="25"/>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Podría estimarse que el mecanismo más drástico con el que cuenta el Sistema IDH para hacer cumplir los fallos de la Corte IDH se encuentra en el artículo 65 de la Convención Americana. En caso de incumplimiento de las sentencias de la Corte</w:t>
      </w:r>
      <w:r w:rsidR="00D3055B" w:rsidRPr="00D3055B">
        <w:rPr>
          <w:rFonts w:ascii="Arial" w:eastAsia="Arial Unicode MS" w:hAnsi="Arial" w:cs="Arial"/>
          <w:sz w:val="22"/>
          <w:szCs w:val="22"/>
          <w:u w:color="000000"/>
          <w:lang w:val="es-ES_tradnl"/>
        </w:rPr>
        <w:t xml:space="preserve"> </w:t>
      </w:r>
      <w:r w:rsidR="00D3055B" w:rsidRPr="00A75361">
        <w:rPr>
          <w:rFonts w:ascii="Arial" w:eastAsia="Arial Unicode MS" w:hAnsi="Arial" w:cs="Arial"/>
          <w:sz w:val="22"/>
          <w:szCs w:val="22"/>
          <w:u w:color="000000"/>
          <w:lang w:val="es-ES_tradnl"/>
        </w:rPr>
        <w:t>IDH</w:t>
      </w:r>
      <w:r w:rsidRPr="00A75361">
        <w:rPr>
          <w:rFonts w:ascii="Arial" w:eastAsia="Arial Unicode MS" w:hAnsi="Arial" w:cs="Arial"/>
          <w:sz w:val="22"/>
          <w:szCs w:val="22"/>
          <w:u w:color="000000"/>
          <w:lang w:val="es-ES_tradnl"/>
        </w:rPr>
        <w:t xml:space="preserve">, esta remite a la Asamblea General de la Organización de Estados Americanos un informe dando conocimiento de dicho incumplimiento, lo que conlleva las respectivas acciones principalmente políticas por parte de la organización. A pesar de </w:t>
      </w:r>
      <w:r w:rsidR="00D3055B">
        <w:rPr>
          <w:rFonts w:ascii="Arial" w:eastAsia="Arial Unicode MS" w:hAnsi="Arial" w:cs="Arial"/>
          <w:sz w:val="22"/>
          <w:szCs w:val="22"/>
          <w:u w:color="000000"/>
          <w:lang w:val="es-ES_tradnl"/>
        </w:rPr>
        <w:t>la existencia de</w:t>
      </w:r>
      <w:r w:rsidRPr="00A75361">
        <w:rPr>
          <w:rFonts w:ascii="Arial" w:eastAsia="Arial Unicode MS" w:hAnsi="Arial" w:cs="Arial"/>
          <w:sz w:val="22"/>
          <w:szCs w:val="22"/>
          <w:u w:color="000000"/>
          <w:lang w:val="es-ES_tradnl"/>
        </w:rPr>
        <w:t xml:space="preserve"> este mecanismo</w:t>
      </w:r>
      <w:r w:rsidR="00D3055B">
        <w:rPr>
          <w:rFonts w:ascii="Arial" w:eastAsia="Arial Unicode MS" w:hAnsi="Arial" w:cs="Arial"/>
          <w:sz w:val="22"/>
          <w:szCs w:val="22"/>
          <w:u w:color="000000"/>
          <w:lang w:val="es-ES_tradnl"/>
        </w:rPr>
        <w:t>, este</w:t>
      </w:r>
      <w:r w:rsidRPr="00A75361">
        <w:rPr>
          <w:rFonts w:ascii="Arial" w:eastAsia="Arial Unicode MS" w:hAnsi="Arial" w:cs="Arial"/>
          <w:sz w:val="22"/>
          <w:szCs w:val="22"/>
          <w:u w:color="000000"/>
          <w:lang w:val="es-ES_tradnl"/>
        </w:rPr>
        <w:t xml:space="preserve"> ha sido utilizado en casos muy excepcionales pues hay que tomar en cuenta que los Estados han tenido un cumplimiento parcial de las sentencias lo que hace presumir cierto compromiso en sus obligaciones.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De los pocos casos que han llegado a conocimiento de la Asamblea General de la OEA, el Juez Manuel Ventura Robles en voto razonado en el caso </w:t>
      </w:r>
      <w:proofErr w:type="spellStart"/>
      <w:r w:rsidRPr="00A75361">
        <w:rPr>
          <w:rFonts w:ascii="Arial" w:eastAsia="Arial Unicode MS" w:hAnsi="Arial" w:cs="Arial"/>
          <w:sz w:val="22"/>
          <w:szCs w:val="22"/>
          <w:u w:color="000000"/>
          <w:lang w:val="es-ES_tradnl"/>
        </w:rPr>
        <w:t>Caesar</w:t>
      </w:r>
      <w:proofErr w:type="spellEnd"/>
      <w:r w:rsidRPr="00A75361">
        <w:rPr>
          <w:rFonts w:ascii="Arial" w:eastAsia="Arial Unicode MS" w:hAnsi="Arial" w:cs="Arial"/>
          <w:sz w:val="22"/>
          <w:szCs w:val="22"/>
          <w:u w:color="000000"/>
          <w:lang w:val="es-ES_tradnl"/>
        </w:rPr>
        <w:t xml:space="preserve"> vs Trinidad y Tobago, ha expresado la preocupación de que este mecanismo no esté oper</w:t>
      </w:r>
      <w:r w:rsidR="00D3055B">
        <w:rPr>
          <w:rFonts w:ascii="Arial" w:eastAsia="Arial Unicode MS" w:hAnsi="Arial" w:cs="Arial"/>
          <w:sz w:val="22"/>
          <w:szCs w:val="22"/>
          <w:u w:color="000000"/>
          <w:lang w:val="es-ES_tradnl"/>
        </w:rPr>
        <w:t>ando con la efectividad deseada.</w:t>
      </w:r>
      <w:r w:rsidRPr="00A75361">
        <w:rPr>
          <w:rFonts w:ascii="Arial" w:eastAsia="Arial Unicode MS" w:hAnsi="Arial" w:cs="Arial"/>
          <w:sz w:val="22"/>
          <w:szCs w:val="22"/>
          <w:u w:color="000000"/>
          <w:lang w:val="es-ES_tradnl"/>
        </w:rPr>
        <w:t xml:space="preserve"> </w:t>
      </w:r>
      <w:r w:rsidR="00D3055B" w:rsidRPr="00A75361">
        <w:rPr>
          <w:rFonts w:ascii="Arial" w:eastAsia="Arial Unicode MS" w:hAnsi="Arial" w:cs="Arial"/>
          <w:sz w:val="22"/>
          <w:szCs w:val="22"/>
          <w:u w:color="000000"/>
          <w:lang w:val="es-ES_tradnl"/>
        </w:rPr>
        <w:t>A</w:t>
      </w:r>
      <w:r w:rsidRPr="00A75361">
        <w:rPr>
          <w:rFonts w:ascii="Arial" w:eastAsia="Arial Unicode MS" w:hAnsi="Arial" w:cs="Arial"/>
          <w:sz w:val="22"/>
          <w:szCs w:val="22"/>
          <w:u w:color="000000"/>
          <w:lang w:val="es-ES_tradnl"/>
        </w:rPr>
        <w:t xml:space="preserve"> razón del caso en cuestión, cita como antecedente el caso </w:t>
      </w:r>
      <w:proofErr w:type="spellStart"/>
      <w:r w:rsidRPr="00A75361">
        <w:rPr>
          <w:rFonts w:ascii="Arial" w:eastAsia="Arial Unicode MS" w:hAnsi="Arial" w:cs="Arial"/>
          <w:sz w:val="22"/>
          <w:szCs w:val="22"/>
          <w:u w:color="000000"/>
          <w:lang w:val="es-ES_tradnl"/>
        </w:rPr>
        <w:t>Hilaire</w:t>
      </w:r>
      <w:proofErr w:type="spellEnd"/>
      <w:r w:rsidRPr="00A75361">
        <w:rPr>
          <w:rFonts w:ascii="Arial" w:eastAsia="Arial Unicode MS" w:hAnsi="Arial" w:cs="Arial"/>
          <w:sz w:val="22"/>
          <w:szCs w:val="22"/>
          <w:u w:color="000000"/>
          <w:lang w:val="es-ES_tradnl"/>
        </w:rPr>
        <w:t xml:space="preserve">, </w:t>
      </w:r>
      <w:proofErr w:type="spellStart"/>
      <w:r w:rsidRPr="00A75361">
        <w:rPr>
          <w:rFonts w:ascii="Arial" w:eastAsia="Arial Unicode MS" w:hAnsi="Arial" w:cs="Arial"/>
          <w:sz w:val="22"/>
          <w:szCs w:val="22"/>
          <w:u w:color="000000"/>
          <w:lang w:val="es-ES_tradnl"/>
        </w:rPr>
        <w:t>Constantine</w:t>
      </w:r>
      <w:proofErr w:type="spellEnd"/>
      <w:r w:rsidRPr="00A75361">
        <w:rPr>
          <w:rFonts w:ascii="Arial" w:eastAsia="Arial Unicode MS" w:hAnsi="Arial" w:cs="Arial"/>
          <w:sz w:val="22"/>
          <w:szCs w:val="22"/>
          <w:u w:color="000000"/>
          <w:lang w:val="es-ES_tradnl"/>
        </w:rPr>
        <w:t xml:space="preserve">, </w:t>
      </w:r>
      <w:proofErr w:type="spellStart"/>
      <w:r w:rsidRPr="00A75361">
        <w:rPr>
          <w:rFonts w:ascii="Arial" w:eastAsia="Arial Unicode MS" w:hAnsi="Arial" w:cs="Arial"/>
          <w:sz w:val="22"/>
          <w:szCs w:val="22"/>
          <w:u w:color="000000"/>
          <w:lang w:val="es-ES_tradnl"/>
        </w:rPr>
        <w:t>Benjamin</w:t>
      </w:r>
      <w:proofErr w:type="spellEnd"/>
      <w:r w:rsidRPr="00A75361">
        <w:rPr>
          <w:rFonts w:ascii="Arial" w:eastAsia="Arial Unicode MS" w:hAnsi="Arial" w:cs="Arial"/>
          <w:sz w:val="22"/>
          <w:szCs w:val="22"/>
          <w:u w:color="000000"/>
          <w:lang w:val="es-ES_tradnl"/>
        </w:rPr>
        <w:t xml:space="preserve"> y otros vs. Trinidad y Tobago, en el que el Estado no cumplió con su deber de informar a la Corte </w:t>
      </w:r>
      <w:r w:rsidR="00D3055B"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sobre los avances en la ejecución de la sentenc</w:t>
      </w:r>
      <w:r w:rsidR="00D3055B">
        <w:rPr>
          <w:rFonts w:ascii="Arial" w:eastAsia="Arial Unicode MS" w:hAnsi="Arial" w:cs="Arial"/>
          <w:sz w:val="22"/>
          <w:szCs w:val="22"/>
          <w:u w:color="000000"/>
          <w:lang w:val="es-ES_tradnl"/>
        </w:rPr>
        <w:t xml:space="preserve">ia, de este modo se </w:t>
      </w:r>
      <w:proofErr w:type="gramStart"/>
      <w:r w:rsidR="00D3055B">
        <w:rPr>
          <w:rFonts w:ascii="Arial" w:eastAsia="Arial Unicode MS" w:hAnsi="Arial" w:cs="Arial"/>
          <w:sz w:val="22"/>
          <w:szCs w:val="22"/>
          <w:u w:color="000000"/>
          <w:lang w:val="es-ES_tradnl"/>
        </w:rPr>
        <w:t>dificultó</w:t>
      </w:r>
      <w:proofErr w:type="gramEnd"/>
      <w:r w:rsidR="00D3055B">
        <w:rPr>
          <w:rFonts w:ascii="Arial" w:eastAsia="Arial Unicode MS" w:hAnsi="Arial" w:cs="Arial"/>
          <w:sz w:val="22"/>
          <w:szCs w:val="22"/>
          <w:u w:color="000000"/>
          <w:lang w:val="es-ES_tradnl"/>
        </w:rPr>
        <w:t xml:space="preserve"> su</w:t>
      </w:r>
      <w:r w:rsidRPr="00A75361">
        <w:rPr>
          <w:rFonts w:ascii="Arial" w:eastAsia="Arial Unicode MS" w:hAnsi="Arial" w:cs="Arial"/>
          <w:sz w:val="22"/>
          <w:szCs w:val="22"/>
          <w:u w:color="000000"/>
          <w:lang w:val="es-ES_tradnl"/>
        </w:rPr>
        <w:t xml:space="preserve"> atribución de supervisar el cumplimiento de las medidas de reparación. Como consecuencia, la Corte </w:t>
      </w:r>
      <w:r w:rsidR="00D3055B"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hizo conocer de este hecho a la Asamblea General de la OEA para que exhorte al Estado de Trinidad y Tobago para que presente </w:t>
      </w:r>
      <w:r w:rsidRPr="00A75361">
        <w:rPr>
          <w:rFonts w:ascii="Arial" w:eastAsia="Arial Unicode MS" w:hAnsi="Arial" w:cs="Arial"/>
          <w:sz w:val="22"/>
          <w:szCs w:val="22"/>
          <w:u w:color="000000"/>
          <w:lang w:val="es-ES_tradnl"/>
        </w:rPr>
        <w:lastRenderedPageBreak/>
        <w:t>los respectivos informes de cumplimiento, sin embargo en este caso la remisión de dicha solicitud a la Asamblea no produjo efecto alguno.</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En el mismo voto razonado, el Juez Ventura Robles cuestiona el artículo 65 de la Convención señalando la obligación de la Corte </w:t>
      </w:r>
      <w:r w:rsidR="00D3055B"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de informar a la Asamblea General de la OEA de los incumplimientos de sentencias, el problema ratica en que no se ha incluido un procedimiento y una institución dentro de la Organización que tenga la responsabilidad de llevar a cabo tal disposición de manera exclusiva.</w:t>
      </w:r>
    </w:p>
    <w:p w:rsidR="00EE0E23" w:rsidRPr="00A75361" w:rsidRDefault="00EE0E23"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A pesar de ello en otros casos en que la Corte </w:t>
      </w:r>
      <w:r w:rsidR="00EE0E23" w:rsidRPr="00A75361">
        <w:rPr>
          <w:rFonts w:ascii="Arial" w:eastAsia="Arial Unicode MS" w:hAnsi="Arial" w:cs="Arial"/>
          <w:sz w:val="22"/>
          <w:szCs w:val="22"/>
          <w:u w:color="000000"/>
          <w:lang w:val="es-ES_tradnl"/>
        </w:rPr>
        <w:t>IDH</w:t>
      </w:r>
      <w:r w:rsidR="00EE0E23">
        <w:rPr>
          <w:rFonts w:ascii="Arial" w:eastAsia="Arial Unicode MS" w:hAnsi="Arial" w:cs="Arial"/>
          <w:sz w:val="22"/>
          <w:szCs w:val="22"/>
          <w:u w:color="000000"/>
          <w:lang w:val="es-ES_tradnl"/>
        </w:rPr>
        <w:t xml:space="preserve"> </w:t>
      </w:r>
      <w:r w:rsidR="009E04F2">
        <w:rPr>
          <w:rFonts w:ascii="Arial" w:eastAsia="Arial Unicode MS" w:hAnsi="Arial" w:cs="Arial"/>
          <w:sz w:val="22"/>
          <w:szCs w:val="22"/>
          <w:u w:color="000000"/>
          <w:lang w:val="es-ES_tradnl"/>
        </w:rPr>
        <w:t>h</w:t>
      </w:r>
      <w:r w:rsidRPr="00A75361">
        <w:rPr>
          <w:rFonts w:ascii="Arial" w:eastAsia="Arial Unicode MS" w:hAnsi="Arial" w:cs="Arial"/>
          <w:sz w:val="22"/>
          <w:szCs w:val="22"/>
          <w:u w:color="000000"/>
          <w:lang w:val="es-ES_tradnl"/>
        </w:rPr>
        <w:t xml:space="preserve">a remitido a la Asamblea los casos de incumplimiento, ha existido una respuesta por parte de los Estados lo que ha permitido el avance en los procesos de ejecución de las medidas de reparación. En el caso </w:t>
      </w:r>
      <w:proofErr w:type="spellStart"/>
      <w:r w:rsidRPr="00A75361">
        <w:rPr>
          <w:rFonts w:ascii="Arial" w:eastAsia="Arial Unicode MS" w:hAnsi="Arial" w:cs="Arial"/>
          <w:sz w:val="22"/>
          <w:szCs w:val="22"/>
          <w:u w:color="000000"/>
          <w:lang w:val="es-ES_tradnl"/>
        </w:rPr>
        <w:t>Aloeboetoe</w:t>
      </w:r>
      <w:proofErr w:type="spellEnd"/>
      <w:r w:rsidRPr="00A75361">
        <w:rPr>
          <w:rFonts w:ascii="Arial" w:eastAsia="Arial Unicode MS" w:hAnsi="Arial" w:cs="Arial"/>
          <w:sz w:val="22"/>
          <w:szCs w:val="22"/>
          <w:u w:color="000000"/>
          <w:lang w:val="es-ES_tradnl"/>
        </w:rPr>
        <w:t xml:space="preserve"> y otros, así como en el caso </w:t>
      </w:r>
      <w:proofErr w:type="spellStart"/>
      <w:r w:rsidRPr="00A75361">
        <w:rPr>
          <w:rFonts w:ascii="Arial" w:eastAsia="Arial Unicode MS" w:hAnsi="Arial" w:cs="Arial"/>
          <w:sz w:val="22"/>
          <w:szCs w:val="22"/>
          <w:u w:color="000000"/>
          <w:lang w:val="es-ES_tradnl"/>
        </w:rPr>
        <w:t>Gangaram</w:t>
      </w:r>
      <w:proofErr w:type="spellEnd"/>
      <w:r w:rsidRPr="00A75361">
        <w:rPr>
          <w:rFonts w:ascii="Arial" w:eastAsia="Arial Unicode MS" w:hAnsi="Arial" w:cs="Arial"/>
          <w:sz w:val="22"/>
          <w:szCs w:val="22"/>
          <w:u w:color="000000"/>
          <w:lang w:val="es-ES_tradnl"/>
        </w:rPr>
        <w:t xml:space="preserve"> </w:t>
      </w:r>
      <w:proofErr w:type="spellStart"/>
      <w:r w:rsidRPr="00A75361">
        <w:rPr>
          <w:rFonts w:ascii="Arial" w:eastAsia="Arial Unicode MS" w:hAnsi="Arial" w:cs="Arial"/>
          <w:sz w:val="22"/>
          <w:szCs w:val="22"/>
          <w:u w:color="000000"/>
          <w:lang w:val="es-ES_tradnl"/>
        </w:rPr>
        <w:t>Panday</w:t>
      </w:r>
      <w:proofErr w:type="spellEnd"/>
      <w:r w:rsidRPr="00A75361">
        <w:rPr>
          <w:rFonts w:ascii="Arial" w:eastAsia="Arial Unicode MS" w:hAnsi="Arial" w:cs="Arial"/>
          <w:sz w:val="22"/>
          <w:szCs w:val="22"/>
          <w:u w:color="000000"/>
          <w:lang w:val="es-ES_tradnl"/>
        </w:rPr>
        <w:t xml:space="preserve"> ambos contra Surinam, la Corte </w:t>
      </w:r>
      <w:r w:rsidR="00EE0E23"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remitió el historial de incumplimiento a la Asamblea General de la OEA, frente a ello, la Asamblea instó al Estado de </w:t>
      </w:r>
      <w:proofErr w:type="spellStart"/>
      <w:r w:rsidRPr="00A75361">
        <w:rPr>
          <w:rFonts w:ascii="Arial" w:eastAsia="Arial Unicode MS" w:hAnsi="Arial" w:cs="Arial"/>
          <w:sz w:val="22"/>
          <w:szCs w:val="22"/>
          <w:u w:color="000000"/>
          <w:lang w:val="es-ES_tradnl"/>
        </w:rPr>
        <w:t>Suriname</w:t>
      </w:r>
      <w:proofErr w:type="spellEnd"/>
      <w:r w:rsidRPr="00A75361">
        <w:rPr>
          <w:rFonts w:ascii="Arial" w:eastAsia="Arial Unicode MS" w:hAnsi="Arial" w:cs="Arial"/>
          <w:sz w:val="22"/>
          <w:szCs w:val="22"/>
          <w:u w:color="000000"/>
          <w:lang w:val="es-ES_tradnl"/>
        </w:rPr>
        <w:t xml:space="preserve"> a brindar al Tribunal la información requerida, ello permitió que posteriormente los casos se archiven, habiendo verificado su total cumplimiento.</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Se considera que la gran cantidad de casos con cumplimiento parcial se debe a la falta de un foro político con la presencia de los representantes de los Estados, las </w:t>
      </w:r>
      <w:proofErr w:type="spellStart"/>
      <w:r w:rsidRPr="00A75361">
        <w:rPr>
          <w:rFonts w:ascii="Arial" w:eastAsia="Arial Unicode MS" w:hAnsi="Arial" w:cs="Arial"/>
          <w:sz w:val="22"/>
          <w:szCs w:val="22"/>
          <w:u w:color="000000"/>
          <w:lang w:val="es-ES_tradnl"/>
        </w:rPr>
        <w:t>victimas</w:t>
      </w:r>
      <w:proofErr w:type="spellEnd"/>
      <w:r w:rsidRPr="00A75361">
        <w:rPr>
          <w:rFonts w:ascii="Arial" w:eastAsia="Arial Unicode MS" w:hAnsi="Arial" w:cs="Arial"/>
          <w:sz w:val="22"/>
          <w:szCs w:val="22"/>
          <w:u w:color="000000"/>
          <w:lang w:val="es-ES_tradnl"/>
        </w:rPr>
        <w:t xml:space="preserve"> y los órganos del Sistema Interamericano de Derechos Humanos donde se traten estos temas de forma más directa y específica, la apertura a este tipo de foros debe ser propiciada por la Asamblea General de la OEA y precisamente con la volu</w:t>
      </w:r>
      <w:r w:rsidR="00EE0E23">
        <w:rPr>
          <w:rFonts w:ascii="Arial" w:eastAsia="Arial Unicode MS" w:hAnsi="Arial" w:cs="Arial"/>
          <w:sz w:val="22"/>
          <w:szCs w:val="22"/>
          <w:u w:color="000000"/>
          <w:lang w:val="es-ES_tradnl"/>
        </w:rPr>
        <w:t>ntad de cada uno de los Estado P</w:t>
      </w:r>
      <w:r w:rsidRPr="00A75361">
        <w:rPr>
          <w:rFonts w:ascii="Arial" w:eastAsia="Arial Unicode MS" w:hAnsi="Arial" w:cs="Arial"/>
          <w:sz w:val="22"/>
          <w:szCs w:val="22"/>
          <w:u w:color="000000"/>
          <w:lang w:val="es-ES_tradnl"/>
        </w:rPr>
        <w:t>arte</w:t>
      </w:r>
      <w:r w:rsidR="00EE0E23">
        <w:rPr>
          <w:rFonts w:ascii="Arial" w:eastAsia="Arial Unicode MS" w:hAnsi="Arial" w:cs="Arial"/>
          <w:sz w:val="22"/>
          <w:szCs w:val="22"/>
          <w:u w:color="000000"/>
          <w:lang w:val="es-ES_tradnl"/>
        </w:rPr>
        <w:t>s</w:t>
      </w:r>
      <w:r w:rsidRPr="00A75361">
        <w:rPr>
          <w:rFonts w:ascii="Arial" w:eastAsia="Arial Unicode MS" w:hAnsi="Arial" w:cs="Arial"/>
          <w:sz w:val="22"/>
          <w:szCs w:val="22"/>
          <w:u w:color="000000"/>
          <w:lang w:val="es-ES_tradnl"/>
        </w:rPr>
        <w:t>.</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propia carta de la OEA establece la protección de los derechos humanos a través de sus respectivos órganos, por lo que el tema en relación al cumplimiento de los fallos de la Corte </w:t>
      </w:r>
      <w:r w:rsidR="00EE0E23"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debe abordarse inmediatamente y enfrentarse con franqueza por parte de los</w:t>
      </w:r>
      <w:r w:rsidR="00EE0E23">
        <w:rPr>
          <w:rFonts w:ascii="Arial" w:eastAsia="Arial Unicode MS" w:hAnsi="Arial" w:cs="Arial"/>
          <w:sz w:val="22"/>
          <w:szCs w:val="22"/>
          <w:u w:color="000000"/>
          <w:lang w:val="es-ES_tradnl"/>
        </w:rPr>
        <w:t xml:space="preserve"> Estados miembros</w:t>
      </w:r>
      <w:r w:rsidRPr="00A75361">
        <w:rPr>
          <w:rFonts w:ascii="Arial" w:eastAsia="Arial Unicode MS" w:hAnsi="Arial" w:cs="Arial"/>
          <w:sz w:val="22"/>
          <w:szCs w:val="22"/>
          <w:u w:color="000000"/>
          <w:lang w:val="es-ES_tradnl"/>
        </w:rPr>
        <w:t xml:space="preserve"> que hayan sido declarados responsables por la violación de derechos.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El Juez </w:t>
      </w:r>
      <w:proofErr w:type="spellStart"/>
      <w:r w:rsidRPr="00A75361">
        <w:rPr>
          <w:rFonts w:ascii="Arial" w:eastAsia="Arial Unicode MS" w:hAnsi="Arial" w:cs="Arial"/>
          <w:sz w:val="22"/>
          <w:szCs w:val="22"/>
          <w:u w:color="000000"/>
          <w:lang w:val="es-ES_tradnl"/>
        </w:rPr>
        <w:t>Cancado</w:t>
      </w:r>
      <w:proofErr w:type="spellEnd"/>
      <w:r w:rsidRPr="00A75361">
        <w:rPr>
          <w:rFonts w:ascii="Arial" w:eastAsia="Arial Unicode MS" w:hAnsi="Arial" w:cs="Arial"/>
          <w:sz w:val="22"/>
          <w:szCs w:val="22"/>
          <w:u w:color="000000"/>
          <w:lang w:val="es-ES_tradnl"/>
        </w:rPr>
        <w:t xml:space="preserve"> </w:t>
      </w:r>
      <w:proofErr w:type="spellStart"/>
      <w:r w:rsidRPr="00A75361">
        <w:rPr>
          <w:rFonts w:ascii="Arial" w:eastAsia="Arial Unicode MS" w:hAnsi="Arial" w:cs="Arial"/>
          <w:sz w:val="22"/>
          <w:szCs w:val="22"/>
          <w:u w:color="000000"/>
          <w:lang w:val="es-ES_tradnl"/>
        </w:rPr>
        <w:t>Trindade</w:t>
      </w:r>
      <w:proofErr w:type="spellEnd"/>
      <w:r w:rsidRPr="00A75361">
        <w:rPr>
          <w:rFonts w:ascii="Arial" w:eastAsia="Arial Unicode MS" w:hAnsi="Arial" w:cs="Arial"/>
          <w:sz w:val="22"/>
          <w:szCs w:val="22"/>
          <w:u w:color="000000"/>
          <w:lang w:val="es-ES_tradnl"/>
        </w:rPr>
        <w:t xml:space="preserve"> se ha referido a ciertas falencias en el artículo 65 de la Convención Americana, señala que para asegurar el monitoreo continuo del fiel cumplimiento de los fallos de la Corte</w:t>
      </w:r>
      <w:r w:rsidR="00EE0E23" w:rsidRPr="00EE0E23">
        <w:rPr>
          <w:rFonts w:ascii="Arial" w:eastAsia="Arial Unicode MS" w:hAnsi="Arial" w:cs="Arial"/>
          <w:sz w:val="22"/>
          <w:szCs w:val="22"/>
          <w:u w:color="000000"/>
          <w:lang w:val="es-ES_tradnl"/>
        </w:rPr>
        <w:t xml:space="preserve"> </w:t>
      </w:r>
      <w:r w:rsidR="00EE0E23" w:rsidRPr="00A75361">
        <w:rPr>
          <w:rFonts w:ascii="Arial" w:eastAsia="Arial Unicode MS" w:hAnsi="Arial" w:cs="Arial"/>
          <w:sz w:val="22"/>
          <w:szCs w:val="22"/>
          <w:u w:color="000000"/>
          <w:lang w:val="es-ES_tradnl"/>
        </w:rPr>
        <w:t>IDH</w:t>
      </w:r>
      <w:r w:rsidRPr="00A75361">
        <w:rPr>
          <w:rFonts w:ascii="Arial" w:eastAsia="Arial Unicode MS" w:hAnsi="Arial" w:cs="Arial"/>
          <w:sz w:val="22"/>
          <w:szCs w:val="22"/>
          <w:u w:color="000000"/>
          <w:lang w:val="es-ES_tradnl"/>
        </w:rPr>
        <w:t xml:space="preserve">, se debe añadir en el artículo en cuestión que </w:t>
      </w:r>
      <w:r w:rsidRPr="00A75361">
        <w:rPr>
          <w:rFonts w:ascii="Arial" w:eastAsia="Arial Unicode MS" w:hAnsi="Arial" w:cs="Arial"/>
          <w:sz w:val="22"/>
          <w:szCs w:val="22"/>
          <w:u w:color="000000"/>
          <w:lang w:val="es-ES_tradnl"/>
        </w:rPr>
        <w:lastRenderedPageBreak/>
        <w:t>la Asamblea General remitirá los casos al Consejo Permanente, para estudiar la materia y rendir un informe, para que la Asamblea General delibere al respecto</w:t>
      </w:r>
      <w:r w:rsidRPr="00A75361">
        <w:rPr>
          <w:rFonts w:ascii="Arial" w:eastAsia="Arial Unicode MS" w:hAnsi="Arial" w:cs="Arial"/>
          <w:sz w:val="22"/>
          <w:szCs w:val="22"/>
          <w:u w:color="000000"/>
          <w:vertAlign w:val="superscript"/>
          <w:lang w:val="es-ES_tradnl"/>
        </w:rPr>
        <w:footnoteReference w:id="146"/>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Lo que se busca es un mecanismo que opere de forma permanente y no solamente una vez por año ante la Asamblea General de la OEA, para supervisar la fiel ejecución de las sentencias.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El juez Ventura Robles señala que cuando un informe anual de labores de la Corte </w:t>
      </w:r>
      <w:r w:rsidR="00EE0E23"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que incluye los casos de incumplimiento ingresa por medio de la Secretaria General de la OEA, este pasa al Consejo Permanente que a su vez lo transmite a la Comisión de Asuntos Jurídicos y Políticos (CAJP), en esta Comisión se escucha la presentación que del informe hace el Presidente de la Corte</w:t>
      </w:r>
      <w:r w:rsidR="00EE0E23" w:rsidRPr="00EE0E23">
        <w:rPr>
          <w:rFonts w:ascii="Arial" w:eastAsia="Arial Unicode MS" w:hAnsi="Arial" w:cs="Arial"/>
          <w:sz w:val="22"/>
          <w:szCs w:val="22"/>
          <w:u w:color="000000"/>
          <w:lang w:val="es-ES_tradnl"/>
        </w:rPr>
        <w:t xml:space="preserve"> </w:t>
      </w:r>
      <w:r w:rsidR="00EE0E23" w:rsidRPr="00A75361">
        <w:rPr>
          <w:rFonts w:ascii="Arial" w:eastAsia="Arial Unicode MS" w:hAnsi="Arial" w:cs="Arial"/>
          <w:sz w:val="22"/>
          <w:szCs w:val="22"/>
          <w:u w:color="000000"/>
          <w:lang w:val="es-ES_tradnl"/>
        </w:rPr>
        <w:t>IDH</w:t>
      </w:r>
      <w:r w:rsidRPr="00A75361">
        <w:rPr>
          <w:rFonts w:ascii="Arial" w:eastAsia="Arial Unicode MS" w:hAnsi="Arial" w:cs="Arial"/>
          <w:sz w:val="22"/>
          <w:szCs w:val="22"/>
          <w:u w:color="000000"/>
          <w:lang w:val="es-ES_tradnl"/>
        </w:rPr>
        <w:t xml:space="preserve">, de este modo la Comisión realiza su deliberación y adopta una resolución que vuelve al Consejo Permanente, y este lo transmite a la Asamblea General. En la práctica lo que sucede es que la resolución que aprueba la CAJP, es la misma que conoce y aprueba el Consejo Permanente y la Asamblea General. El texto en la CAJP, se aprueba por consenso, basta que el Estado que la Corte </w:t>
      </w:r>
      <w:r w:rsidR="00EE0E23"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menciona como sujeto de un incumplimiento se oponga a que se le exhorte en la resolución a informar a la Asamblea sobre el cumplimiento de la sentencia, para que no se le haga tal exhortación en la resolución que aprueba la CAJP y, consecuentemente, en la que aprueba el Consejo Permanente y la Asamblea General</w:t>
      </w:r>
      <w:r w:rsidRPr="00A75361">
        <w:rPr>
          <w:rFonts w:ascii="Arial" w:eastAsia="Arial Unicode MS" w:hAnsi="Arial" w:cs="Arial"/>
          <w:sz w:val="22"/>
          <w:szCs w:val="22"/>
          <w:u w:color="000000"/>
          <w:vertAlign w:val="superscript"/>
          <w:lang w:val="es-ES_tradnl"/>
        </w:rPr>
        <w:footnoteReference w:id="147"/>
      </w: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Este procedimiento ocasiona que los pronunciamientos emitidos por la Corte </w:t>
      </w:r>
      <w:r w:rsidR="00EE0E23"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respecto al incumplimiento por parte de un Estado responsable no lleguen a ser deliberados por la Asamblea General de la OEA,  esto ocurrió en el caso </w:t>
      </w:r>
      <w:proofErr w:type="spellStart"/>
      <w:r w:rsidRPr="00A75361">
        <w:rPr>
          <w:rFonts w:ascii="Arial" w:eastAsia="Arial Unicode MS" w:hAnsi="Arial" w:cs="Arial"/>
          <w:sz w:val="22"/>
          <w:szCs w:val="22"/>
          <w:u w:color="000000"/>
          <w:lang w:val="es-ES_tradnl"/>
        </w:rPr>
        <w:t>Hilaire</w:t>
      </w:r>
      <w:proofErr w:type="spellEnd"/>
      <w:r w:rsidRPr="00A75361">
        <w:rPr>
          <w:rFonts w:ascii="Arial" w:eastAsia="Arial Unicode MS" w:hAnsi="Arial" w:cs="Arial"/>
          <w:sz w:val="22"/>
          <w:szCs w:val="22"/>
          <w:u w:color="000000"/>
          <w:lang w:val="es-ES_tradnl"/>
        </w:rPr>
        <w:t xml:space="preserve">, </w:t>
      </w:r>
      <w:proofErr w:type="spellStart"/>
      <w:r w:rsidRPr="00A75361">
        <w:rPr>
          <w:rFonts w:ascii="Arial" w:eastAsia="Arial Unicode MS" w:hAnsi="Arial" w:cs="Arial"/>
          <w:sz w:val="22"/>
          <w:szCs w:val="22"/>
          <w:u w:color="000000"/>
          <w:lang w:val="es-ES_tradnl"/>
        </w:rPr>
        <w:t>Constantine</w:t>
      </w:r>
      <w:proofErr w:type="spellEnd"/>
      <w:r w:rsidRPr="00A75361">
        <w:rPr>
          <w:rFonts w:ascii="Arial" w:eastAsia="Arial Unicode MS" w:hAnsi="Arial" w:cs="Arial"/>
          <w:sz w:val="22"/>
          <w:szCs w:val="22"/>
          <w:u w:color="000000"/>
          <w:lang w:val="es-ES_tradnl"/>
        </w:rPr>
        <w:t xml:space="preserve">, </w:t>
      </w:r>
      <w:proofErr w:type="spellStart"/>
      <w:r w:rsidRPr="00A75361">
        <w:rPr>
          <w:rFonts w:ascii="Arial" w:eastAsia="Arial Unicode MS" w:hAnsi="Arial" w:cs="Arial"/>
          <w:sz w:val="22"/>
          <w:szCs w:val="22"/>
          <w:u w:color="000000"/>
          <w:lang w:val="es-ES_tradnl"/>
        </w:rPr>
        <w:t>Benjamin</w:t>
      </w:r>
      <w:proofErr w:type="spellEnd"/>
      <w:r w:rsidRPr="00A75361">
        <w:rPr>
          <w:rFonts w:ascii="Arial" w:eastAsia="Arial Unicode MS" w:hAnsi="Arial" w:cs="Arial"/>
          <w:sz w:val="22"/>
          <w:szCs w:val="22"/>
          <w:u w:color="000000"/>
          <w:lang w:val="es-ES_tradnl"/>
        </w:rPr>
        <w:t xml:space="preserve"> y otros contra Trinidad y Tobago, por ello el informe de la Corte entregado a la Asamblea no produjo los efectos consecuentes.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Varios interlocutores hablan de la necesidad de crear leyes que definan la obligatoriedad del cumplimiento, frente a ello se ha expresado que en general la obligación en el cumplimiento e</w:t>
      </w:r>
      <w:r w:rsidR="00EE0E23">
        <w:rPr>
          <w:rFonts w:ascii="Arial" w:eastAsia="Arial Unicode MS" w:hAnsi="Arial" w:cs="Arial"/>
          <w:sz w:val="22"/>
          <w:szCs w:val="22"/>
          <w:u w:color="000000"/>
          <w:lang w:val="es-ES_tradnl"/>
        </w:rPr>
        <w:t>s aceptado en todos los Estado P</w:t>
      </w:r>
      <w:r w:rsidRPr="00A75361">
        <w:rPr>
          <w:rFonts w:ascii="Arial" w:eastAsia="Arial Unicode MS" w:hAnsi="Arial" w:cs="Arial"/>
          <w:sz w:val="22"/>
          <w:szCs w:val="22"/>
          <w:u w:color="000000"/>
          <w:lang w:val="es-ES_tradnl"/>
        </w:rPr>
        <w:t>arte</w:t>
      </w:r>
      <w:r w:rsidR="00EE0E23">
        <w:rPr>
          <w:rFonts w:ascii="Arial" w:eastAsia="Arial Unicode MS" w:hAnsi="Arial" w:cs="Arial"/>
          <w:sz w:val="22"/>
          <w:szCs w:val="22"/>
          <w:u w:color="000000"/>
          <w:lang w:val="es-ES_tradnl"/>
        </w:rPr>
        <w:t>s</w:t>
      </w:r>
      <w:r w:rsidRPr="00A75361">
        <w:rPr>
          <w:rFonts w:ascii="Arial" w:eastAsia="Arial Unicode MS" w:hAnsi="Arial" w:cs="Arial"/>
          <w:sz w:val="22"/>
          <w:szCs w:val="22"/>
          <w:u w:color="000000"/>
          <w:lang w:val="es-ES_tradnl"/>
        </w:rPr>
        <w:t xml:space="preserve">, aunque se reconoce que contar con legislación que integre de forma clara y eficaz las resoluciones </w:t>
      </w:r>
      <w:proofErr w:type="spellStart"/>
      <w:r w:rsidRPr="00A75361">
        <w:rPr>
          <w:rFonts w:ascii="Arial" w:eastAsia="Arial Unicode MS" w:hAnsi="Arial" w:cs="Arial"/>
          <w:sz w:val="22"/>
          <w:szCs w:val="22"/>
          <w:u w:color="000000"/>
          <w:lang w:val="es-ES_tradnl"/>
        </w:rPr>
        <w:t>del</w:t>
      </w:r>
      <w:proofErr w:type="spellEnd"/>
      <w:r w:rsidRPr="00A75361">
        <w:rPr>
          <w:rFonts w:ascii="Arial" w:eastAsia="Arial Unicode MS" w:hAnsi="Arial" w:cs="Arial"/>
          <w:sz w:val="22"/>
          <w:szCs w:val="22"/>
          <w:u w:color="000000"/>
          <w:lang w:val="es-ES_tradnl"/>
        </w:rPr>
        <w:t xml:space="preserve"> la Corte </w:t>
      </w:r>
      <w:r w:rsidR="00EE0E23"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con el sistema interno supondría una ayuda para un cumplimiento efectivo, en cierto modo </w:t>
      </w:r>
      <w:r w:rsidRPr="00A75361">
        <w:rPr>
          <w:rFonts w:ascii="Arial" w:eastAsia="Arial Unicode MS" w:hAnsi="Arial" w:cs="Arial"/>
          <w:sz w:val="22"/>
          <w:szCs w:val="22"/>
          <w:u w:color="000000"/>
          <w:lang w:val="es-ES_tradnl"/>
        </w:rPr>
        <w:lastRenderedPageBreak/>
        <w:t>hablar de mecanismos legales que faciliten la aplicación de las sentencias; no hay que olvidar que estas de por sí tienen aplicabilidad directa en los Estados que han firmado la Convención Americana y el protocolo de la Corte</w:t>
      </w:r>
      <w:r w:rsidR="00EE0E23" w:rsidRPr="00EE0E23">
        <w:rPr>
          <w:rFonts w:ascii="Arial" w:eastAsia="Arial Unicode MS" w:hAnsi="Arial" w:cs="Arial"/>
          <w:sz w:val="22"/>
          <w:szCs w:val="22"/>
          <w:u w:color="000000"/>
          <w:lang w:val="es-ES_tradnl"/>
        </w:rPr>
        <w:t xml:space="preserve"> </w:t>
      </w:r>
      <w:r w:rsidR="00EE0E23" w:rsidRPr="00A75361">
        <w:rPr>
          <w:rFonts w:ascii="Arial" w:eastAsia="Arial Unicode MS" w:hAnsi="Arial" w:cs="Arial"/>
          <w:sz w:val="22"/>
          <w:szCs w:val="22"/>
          <w:u w:color="000000"/>
          <w:lang w:val="es-ES_tradnl"/>
        </w:rPr>
        <w:t>IDH</w:t>
      </w:r>
      <w:r w:rsidRPr="00A75361">
        <w:rPr>
          <w:rFonts w:ascii="Arial" w:eastAsia="Arial Unicode MS" w:hAnsi="Arial" w:cs="Arial"/>
          <w:sz w:val="22"/>
          <w:szCs w:val="22"/>
          <w:u w:color="000000"/>
          <w:lang w:val="es-ES_tradnl"/>
        </w:rPr>
        <w:t xml:space="preserve">.  </w:t>
      </w:r>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B656C2" w:rsidRDefault="00034369" w:rsidP="00783008">
      <w:pPr>
        <w:pStyle w:val="Ttulo3"/>
        <w:spacing w:line="360" w:lineRule="auto"/>
        <w:ind w:left="720" w:hanging="720"/>
        <w:jc w:val="both"/>
        <w:rPr>
          <w:rFonts w:ascii="Arial" w:eastAsia="Arial Unicode MS" w:hAnsi="Arial" w:cs="Arial"/>
          <w:b w:val="0"/>
          <w:color w:val="auto"/>
          <w:sz w:val="22"/>
          <w:u w:color="000000"/>
          <w:lang w:val="es-ES_tradnl"/>
        </w:rPr>
      </w:pPr>
      <w:bookmarkStart w:id="26" w:name="_Toc356432263"/>
      <w:r w:rsidRPr="00B656C2">
        <w:rPr>
          <w:rFonts w:ascii="Arial" w:eastAsia="Arial Unicode MS" w:hAnsi="Arial" w:cs="Arial"/>
          <w:color w:val="auto"/>
          <w:sz w:val="22"/>
          <w:u w:color="000000"/>
          <w:lang w:val="es-ES_tradnl"/>
        </w:rPr>
        <w:t>2.3.3.</w:t>
      </w:r>
      <w:r w:rsidRPr="00B656C2">
        <w:rPr>
          <w:rFonts w:ascii="Arial" w:eastAsia="Arial Unicode MS" w:hAnsi="Arial" w:cs="Arial"/>
          <w:color w:val="auto"/>
          <w:sz w:val="22"/>
          <w:u w:color="000000"/>
          <w:lang w:val="es-ES_tradnl"/>
        </w:rPr>
        <w:tab/>
      </w:r>
      <w:r w:rsidR="00651974" w:rsidRPr="00B656C2">
        <w:rPr>
          <w:rFonts w:ascii="Arial" w:eastAsia="Arial Unicode MS" w:hAnsi="Arial" w:cs="Arial"/>
          <w:color w:val="auto"/>
          <w:sz w:val="22"/>
          <w:u w:color="000000"/>
          <w:lang w:val="es-ES_tradnl"/>
        </w:rPr>
        <w:t>El papel del Comité de Ministros en la ejecución de las sentencias del Tribunal Europeo de Derechos Humanos</w:t>
      </w:r>
      <w:bookmarkEnd w:id="26"/>
    </w:p>
    <w:p w:rsidR="008F2951" w:rsidRPr="008F2951" w:rsidRDefault="008F2951" w:rsidP="008F2951">
      <w:pPr>
        <w:spacing w:before="20" w:line="360" w:lineRule="auto"/>
        <w:jc w:val="both"/>
        <w:outlineLvl w:val="0"/>
        <w:rPr>
          <w:rFonts w:ascii="Arial" w:eastAsia="Arial Unicode MS" w:hAnsi="Arial Unicode MS"/>
          <w:sz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El Comité de Ministros es un órgano que forma parte del Consejo de Europa</w:t>
      </w:r>
      <w:r w:rsidRPr="00A75361">
        <w:rPr>
          <w:rFonts w:ascii="Arial" w:eastAsia="Arial Unicode MS" w:hAnsi="Arial" w:cs="Arial"/>
          <w:sz w:val="22"/>
          <w:szCs w:val="22"/>
          <w:u w:color="000000"/>
          <w:vertAlign w:val="superscript"/>
          <w:lang w:val="es-ES_tradnl"/>
        </w:rPr>
        <w:footnoteReference w:id="148"/>
      </w:r>
      <w:r w:rsidRPr="00A75361">
        <w:rPr>
          <w:rFonts w:ascii="Arial" w:eastAsia="Arial Unicode MS" w:hAnsi="Arial" w:cs="Arial"/>
          <w:sz w:val="22"/>
          <w:szCs w:val="22"/>
          <w:u w:color="000000"/>
          <w:lang w:val="es-ES_tradnl"/>
        </w:rPr>
        <w:t xml:space="preserve">, está conformado por un representante de cada Estado miembro y cada representante tiene un voto. </w:t>
      </w:r>
    </w:p>
    <w:p w:rsidR="006503F6" w:rsidRPr="00A75361" w:rsidRDefault="006503F6"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Algunos autores señalan que los mecanismos de supervisión </w:t>
      </w:r>
      <w:r w:rsidR="00EE0E23">
        <w:rPr>
          <w:rFonts w:ascii="Arial" w:eastAsia="Arial Unicode MS" w:hAnsi="Arial" w:cs="Arial"/>
          <w:sz w:val="22"/>
          <w:szCs w:val="22"/>
          <w:u w:color="000000"/>
          <w:lang w:val="es-ES_tradnl"/>
        </w:rPr>
        <w:t xml:space="preserve">del Sistema IDH </w:t>
      </w:r>
      <w:r w:rsidRPr="00A75361">
        <w:rPr>
          <w:rFonts w:ascii="Arial" w:eastAsia="Arial Unicode MS" w:hAnsi="Arial" w:cs="Arial"/>
          <w:sz w:val="22"/>
          <w:szCs w:val="22"/>
          <w:u w:color="000000"/>
          <w:lang w:val="es-ES_tradnl"/>
        </w:rPr>
        <w:t>son insuficientes en comparación a los mecanismos de supervisión del Comité de Ministros en el marco del Sistema Europeo de Derechos Humanos, este órgano controla la ejecución de las decisiones del Tribunal Europeo de Derechos Humanos, y publica resoluciones finales al respecto.</w:t>
      </w:r>
    </w:p>
    <w:p w:rsidR="006503F6" w:rsidRPr="00A75361" w:rsidRDefault="006503F6" w:rsidP="00A75361">
      <w:pPr>
        <w:pStyle w:val="Sinespaciado"/>
        <w:spacing w:line="360" w:lineRule="auto"/>
        <w:jc w:val="both"/>
        <w:rPr>
          <w:rFonts w:ascii="Arial" w:eastAsia="Arial Unicode MS" w:hAnsi="Arial" w:cs="Arial"/>
          <w:sz w:val="22"/>
          <w:szCs w:val="22"/>
          <w:u w:color="000000"/>
          <w:lang w:val="es-ES_tradnl"/>
        </w:rPr>
      </w:pPr>
    </w:p>
    <w:p w:rsidR="008F295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existencia de este órgano se encuentra contemplada en el Convenio Europeo para la Protección de los Derechos Humanos y de las Libertades Fundamentales de 1950, que en su artículo 46 dispone lo siguiente: </w:t>
      </w:r>
    </w:p>
    <w:p w:rsidR="00EE0E23" w:rsidRPr="00A75361" w:rsidRDefault="00EE0E23"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Fuerza obligatoria y ejecución de las sentencias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Las Altas partes Contratantes se comprometen a acatar las sentencias definitivas del Tribunal en los litigios que sean partes.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La sentencia definitiva del Tribunal será transmitida al Comité de Ministros, que velará por su ejecución.</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Este órgano colegiado de carácter político es el encargado de velar por la ejecución de las sentencias. Se trata de un órgano que contempla como objetivo supervisar el cumplimiento de las sentencias del Tribunal Europeo de Derechos Humanos, pues este ha sido un tema que ha estado siempre presente en la agenda del Consejo de Europa, ello evidencia además que frente al cumplimiento, varios son los sistemas de protección </w:t>
      </w:r>
      <w:r w:rsidRPr="00A75361">
        <w:rPr>
          <w:rFonts w:ascii="Arial" w:eastAsia="Arial Unicode MS" w:hAnsi="Arial" w:cs="Arial"/>
          <w:sz w:val="22"/>
          <w:szCs w:val="22"/>
          <w:u w:color="000000"/>
          <w:lang w:val="es-ES_tradnl"/>
        </w:rPr>
        <w:lastRenderedPageBreak/>
        <w:t xml:space="preserve">de derechos humanos que se han manifestado respecto a su importancia </w:t>
      </w:r>
      <w:r w:rsidR="00EE0E23">
        <w:rPr>
          <w:rFonts w:ascii="Arial" w:eastAsia="Arial Unicode MS" w:hAnsi="Arial" w:cs="Arial"/>
          <w:sz w:val="22"/>
          <w:szCs w:val="22"/>
          <w:u w:color="000000"/>
          <w:lang w:val="es-ES_tradnl"/>
        </w:rPr>
        <w:t xml:space="preserve">y </w:t>
      </w:r>
      <w:r w:rsidRPr="00A75361">
        <w:rPr>
          <w:rFonts w:ascii="Arial" w:eastAsia="Arial Unicode MS" w:hAnsi="Arial" w:cs="Arial"/>
          <w:sz w:val="22"/>
          <w:szCs w:val="22"/>
          <w:u w:color="000000"/>
          <w:lang w:val="es-ES_tradnl"/>
        </w:rPr>
        <w:t xml:space="preserve">trascendencia.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Sin embargo es necesario considerar que en referencia a las medidas de reparación, en el Sistema Europeo se presentan de forma distinta al Sistema Interamericano. Mientras en el Sistema Interamericano, la Corte IDH señala en sus sentencias todas las medidas de reparación que el Estado está obligado a realizar cuando ha sido encontrado responsable; en el Sistema Europeo, el Tribunal no ordena medidas de reparación específicas para cada caso, más allá de las medidas de compensación económica. La determinación de tales medidas se traslada a los Estados miembro</w:t>
      </w:r>
      <w:r w:rsidR="00EE0E23">
        <w:rPr>
          <w:rFonts w:ascii="Arial" w:eastAsia="Arial Unicode MS" w:hAnsi="Arial" w:cs="Arial"/>
          <w:sz w:val="22"/>
          <w:szCs w:val="22"/>
          <w:u w:color="000000"/>
          <w:lang w:val="es-ES_tradnl"/>
        </w:rPr>
        <w:t>s</w:t>
      </w:r>
      <w:r w:rsidRPr="00A75361">
        <w:rPr>
          <w:rFonts w:ascii="Arial" w:eastAsia="Arial Unicode MS" w:hAnsi="Arial" w:cs="Arial"/>
          <w:sz w:val="22"/>
          <w:szCs w:val="22"/>
          <w:u w:color="000000"/>
          <w:lang w:val="es-ES_tradnl"/>
        </w:rPr>
        <w:t xml:space="preserve"> con la supervisión y asistencia del Comité de Ministros, lo que presenta ciertas dificultades pues están sujetas a la negoción política entre los Estados y el Comité. Sin embargo, argumentos a favor señalan que esta negociación directa con el Estado responsable le da un sentido de propiedad de las medidas necesarias para el cumplimiento, la imposición de las medidas por parte del Tribunal puede generar efectos adversos como argumentar que el Tribunal carece de comprensión en cuanto al contexto político y jurídico del Estado en cuestión, lo que dificultaría el proceso de ejecución de las medidas de reparación.</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El mecanismo para el cumplimiento forzoso de una sentencia del TEDH, llega hasta la consecuencia de que el Comité de Ministros decida la cesación del representante del Estado en el Consejo de Europa</w:t>
      </w:r>
      <w:r w:rsidRPr="00A75361">
        <w:rPr>
          <w:rFonts w:ascii="Arial" w:eastAsia="Arial Unicode MS" w:hAnsi="Arial" w:cs="Arial"/>
          <w:sz w:val="22"/>
          <w:szCs w:val="22"/>
          <w:u w:color="000000"/>
          <w:vertAlign w:val="superscript"/>
          <w:lang w:val="es-ES_tradnl"/>
        </w:rPr>
        <w:footnoteReference w:id="149"/>
      </w:r>
      <w:r w:rsidRPr="00A75361">
        <w:rPr>
          <w:rFonts w:ascii="Arial" w:eastAsia="Arial Unicode MS" w:hAnsi="Arial" w:cs="Arial"/>
          <w:sz w:val="22"/>
          <w:szCs w:val="22"/>
          <w:u w:color="000000"/>
          <w:lang w:val="es-ES_tradnl"/>
        </w:rPr>
        <w:t>, no hay que negar que esta medida tiene sus consecuencias por lo que puede generar un recelo por parte de los miembros del Comité de Ministros para ejecutarla. Esta medida además puede ir en contra del propósito inicial del Consejo de Europa en referencia a la protección de los derechos humanos pues, al final la sentencia no se ejecuta y puede agravarse el problema en cuanto a la violación de derechos</w:t>
      </w:r>
      <w:r w:rsidRPr="00A75361">
        <w:rPr>
          <w:rFonts w:ascii="Arial" w:eastAsia="Arial Unicode MS" w:hAnsi="Arial" w:cs="Arial"/>
          <w:sz w:val="22"/>
          <w:szCs w:val="22"/>
          <w:u w:color="000000"/>
          <w:vertAlign w:val="superscript"/>
          <w:lang w:val="es-ES_tradnl"/>
        </w:rPr>
        <w:footnoteReference w:id="150"/>
      </w:r>
      <w:r w:rsidRPr="00A75361">
        <w:rPr>
          <w:rFonts w:ascii="Arial" w:eastAsia="Arial Unicode MS" w:hAnsi="Arial" w:cs="Arial"/>
          <w:sz w:val="22"/>
          <w:szCs w:val="22"/>
          <w:u w:color="000000"/>
          <w:lang w:val="es-ES_tradnl"/>
        </w:rPr>
        <w:t xml:space="preserve">    </w:t>
      </w:r>
    </w:p>
    <w:p w:rsidR="00BE762E" w:rsidRPr="00A75361" w:rsidRDefault="00BE762E"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Cabe considerar que al momento de realizarse las negociaciones para determinar las medidas de reparación entre el Estado y el Comité, no existe intervención de las víctimas, lo que puede generar un aislamiento y falta de acercamiento a las verdaderas necesidades y entorno de la</w:t>
      </w:r>
      <w:r w:rsidR="00A1749E">
        <w:rPr>
          <w:rFonts w:ascii="Arial" w:eastAsia="Arial Unicode MS" w:hAnsi="Arial" w:cs="Arial"/>
          <w:sz w:val="22"/>
          <w:szCs w:val="22"/>
          <w:u w:color="000000"/>
          <w:lang w:val="es-ES_tradnl"/>
        </w:rPr>
        <w:t>s ví</w:t>
      </w:r>
      <w:r w:rsidRPr="00A75361">
        <w:rPr>
          <w:rFonts w:ascii="Arial" w:eastAsia="Arial Unicode MS" w:hAnsi="Arial" w:cs="Arial"/>
          <w:sz w:val="22"/>
          <w:szCs w:val="22"/>
          <w:u w:color="000000"/>
          <w:lang w:val="es-ES_tradnl"/>
        </w:rPr>
        <w:t>ctima</w:t>
      </w:r>
      <w:r w:rsidR="00A1749E">
        <w:rPr>
          <w:rFonts w:ascii="Arial" w:eastAsia="Arial Unicode MS" w:hAnsi="Arial" w:cs="Arial"/>
          <w:sz w:val="22"/>
          <w:szCs w:val="22"/>
          <w:u w:color="000000"/>
          <w:lang w:val="es-ES_tradnl"/>
        </w:rPr>
        <w:t>s</w:t>
      </w:r>
      <w:r w:rsidRPr="00A75361">
        <w:rPr>
          <w:rFonts w:ascii="Arial" w:eastAsia="Arial Unicode MS" w:hAnsi="Arial" w:cs="Arial"/>
          <w:sz w:val="22"/>
          <w:szCs w:val="22"/>
          <w:u w:color="000000"/>
          <w:lang w:val="es-ES_tradnl"/>
        </w:rPr>
        <w:t xml:space="preserve"> respecto a las medidas de reparación.</w:t>
      </w:r>
    </w:p>
    <w:p w:rsidR="00921AE1" w:rsidRPr="00A75361" w:rsidRDefault="00921AE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lastRenderedPageBreak/>
        <w:t xml:space="preserve">Algunos autores en el marco del Sistema Europeo señalan que el TEDH debería establecer de manera precisa las medidas de reparación para que el control por parte del Comité se realice de forma más objetiva y breve, pese a ello, el Tribunal ha declarado varias veces no tener competencia para determinar tales medidas.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Acerca de la posibilidad de tomar ciertos aspectos del Sistema Europeo para implementarlos en el Sistema Interamericano de Derechos Humanos, sobre todo en el ámbito de la ejecución de las medidas de reparación y su pleno cumplimiento, se plantean ciertas dificultades sobre todo en lo referente a las grandes diferencias entre ambos sistemas. A pesar de ello hay que recalcar en la posibilidad de crear un organismo que tenga como atribución fundamental la supervisión  del cumplimiento de las sentencias de la Corte IDH, que actúe de forma permanente y tenga apertura para permitir la participación de todos </w:t>
      </w:r>
      <w:r w:rsidR="00A1749E">
        <w:rPr>
          <w:rFonts w:ascii="Arial" w:eastAsia="Arial Unicode MS" w:hAnsi="Arial" w:cs="Arial"/>
          <w:sz w:val="22"/>
          <w:szCs w:val="22"/>
          <w:u w:color="000000"/>
          <w:lang w:val="es-ES_tradnl"/>
        </w:rPr>
        <w:t xml:space="preserve">los </w:t>
      </w:r>
      <w:r w:rsidRPr="00A75361">
        <w:rPr>
          <w:rFonts w:ascii="Arial" w:eastAsia="Arial Unicode MS" w:hAnsi="Arial" w:cs="Arial"/>
          <w:sz w:val="22"/>
          <w:szCs w:val="22"/>
          <w:u w:color="000000"/>
          <w:lang w:val="es-ES_tradnl"/>
        </w:rPr>
        <w:t xml:space="preserve">actores, además que sus informes sean conocidos directamente por la Asamblea General de la OEA, procurando que recojan de manera íntegra las inquietudes de las víctimas, los órganos del Sistema y de los Estados.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Hay recalcar además que la solución a los problemas del Sistema Interamericano no puede extraerse de otros sistemas pues se viven realidades distintas que exigen sus propios mecanismos de solución. Se requiere evidentemente </w:t>
      </w:r>
      <w:proofErr w:type="spellStart"/>
      <w:r w:rsidRPr="00A75361">
        <w:rPr>
          <w:rFonts w:ascii="Arial" w:eastAsia="Arial Unicode MS" w:hAnsi="Arial" w:cs="Arial"/>
          <w:sz w:val="22"/>
          <w:szCs w:val="22"/>
          <w:u w:color="000000"/>
          <w:lang w:val="es-ES_tradnl"/>
        </w:rPr>
        <w:t>mas</w:t>
      </w:r>
      <w:proofErr w:type="spellEnd"/>
      <w:r w:rsidRPr="00A75361">
        <w:rPr>
          <w:rFonts w:ascii="Arial" w:eastAsia="Arial Unicode MS" w:hAnsi="Arial" w:cs="Arial"/>
          <w:sz w:val="22"/>
          <w:szCs w:val="22"/>
          <w:u w:color="000000"/>
          <w:lang w:val="es-ES_tradnl"/>
        </w:rPr>
        <w:t xml:space="preserve"> acercamiento de los órganos del Sistema Interamericano al contexto político y jurídico de cada Estado para determinar medidas que se ajusten a los respectivos entornos, sin perjuicio de que cuando sea necesario se ordenen cambios internos en la norma y la estructura estatales. Ningún mecanismo por perfecto que parezca podrá motivar el cumplimiento pleno de las sentencias sin la voluntad de los Estados responsables.   </w:t>
      </w:r>
    </w:p>
    <w:p w:rsidR="008F2951" w:rsidRDefault="008F2951" w:rsidP="008F2951">
      <w:pPr>
        <w:spacing w:before="20" w:line="360" w:lineRule="auto"/>
        <w:jc w:val="both"/>
        <w:outlineLvl w:val="0"/>
        <w:rPr>
          <w:rFonts w:ascii="Arial" w:eastAsia="Arial Unicode MS" w:hAnsi="Arial Unicode MS"/>
          <w:sz w:val="22"/>
          <w:u w:color="000000"/>
          <w:lang w:val="es-ES_tradnl"/>
        </w:rPr>
      </w:pPr>
    </w:p>
    <w:p w:rsidR="00F6613F" w:rsidRDefault="00F6613F" w:rsidP="00C45A27">
      <w:pPr>
        <w:pStyle w:val="Sinespaciado"/>
        <w:spacing w:line="360" w:lineRule="auto"/>
        <w:jc w:val="both"/>
        <w:rPr>
          <w:rFonts w:ascii="Arial" w:eastAsia="Arial Unicode MS" w:hAnsi="Arial Unicode MS"/>
          <w:sz w:val="22"/>
          <w:u w:color="000000"/>
          <w:lang w:val="es-ES_tradnl"/>
        </w:rPr>
      </w:pPr>
    </w:p>
    <w:p w:rsidR="008F2951" w:rsidRPr="00C45A27" w:rsidRDefault="00034369" w:rsidP="00C45A27">
      <w:pPr>
        <w:pStyle w:val="Sinespaciado"/>
        <w:spacing w:line="360" w:lineRule="auto"/>
        <w:jc w:val="both"/>
        <w:rPr>
          <w:rFonts w:ascii="Arial" w:eastAsia="Arial Unicode MS" w:hAnsi="Arial" w:cs="Arial"/>
          <w:b/>
          <w:sz w:val="26"/>
          <w:szCs w:val="26"/>
          <w:u w:color="000000"/>
          <w:lang w:val="es-ES_tradnl"/>
        </w:rPr>
      </w:pPr>
      <w:r w:rsidRPr="00C45A27">
        <w:rPr>
          <w:rFonts w:ascii="Arial" w:eastAsia="Arial Unicode MS" w:hAnsi="Arial" w:cs="Arial"/>
          <w:b/>
          <w:sz w:val="26"/>
          <w:szCs w:val="26"/>
          <w:u w:color="000000"/>
          <w:lang w:val="es-ES_tradnl"/>
        </w:rPr>
        <w:t>CAPÍTULO III</w:t>
      </w:r>
    </w:p>
    <w:p w:rsidR="008F2951" w:rsidRPr="00C45A27" w:rsidRDefault="00034369" w:rsidP="00C45A27">
      <w:pPr>
        <w:pStyle w:val="Sinespaciado"/>
        <w:spacing w:line="360" w:lineRule="auto"/>
        <w:jc w:val="both"/>
        <w:rPr>
          <w:rFonts w:ascii="Arial" w:eastAsia="Arial Unicode MS" w:hAnsi="Arial" w:cs="Arial"/>
          <w:b/>
          <w:sz w:val="26"/>
          <w:szCs w:val="26"/>
          <w:u w:color="000000"/>
          <w:lang w:val="es-ES_tradnl"/>
        </w:rPr>
      </w:pPr>
      <w:r w:rsidRPr="00C45A27">
        <w:rPr>
          <w:rFonts w:ascii="Arial" w:eastAsia="Arial Unicode MS" w:hAnsi="Arial" w:cs="Arial"/>
          <w:b/>
          <w:sz w:val="26"/>
          <w:szCs w:val="26"/>
          <w:u w:color="000000"/>
          <w:lang w:val="es-ES_tradnl"/>
        </w:rPr>
        <w:t xml:space="preserve">RAZONES  DEL INCUMPLIMIENTO DE LAS SENTENCIAS DE LA   </w:t>
      </w:r>
    </w:p>
    <w:p w:rsidR="008F2951" w:rsidRPr="00C45A27" w:rsidRDefault="00034369" w:rsidP="00C45A27">
      <w:pPr>
        <w:pStyle w:val="Sinespaciado"/>
        <w:spacing w:line="360" w:lineRule="auto"/>
        <w:jc w:val="both"/>
        <w:rPr>
          <w:rFonts w:ascii="Arial" w:eastAsia="Arial Unicode MS" w:hAnsi="Arial" w:cs="Arial"/>
          <w:b/>
          <w:sz w:val="26"/>
          <w:szCs w:val="26"/>
          <w:u w:color="000000"/>
          <w:lang w:val="es-ES_tradnl"/>
        </w:rPr>
      </w:pPr>
      <w:r w:rsidRPr="00C45A27">
        <w:rPr>
          <w:rFonts w:ascii="Arial" w:eastAsia="Arial Unicode MS" w:hAnsi="Arial" w:cs="Arial"/>
          <w:b/>
          <w:sz w:val="26"/>
          <w:szCs w:val="26"/>
          <w:u w:color="000000"/>
          <w:lang w:val="es-ES_tradnl"/>
        </w:rPr>
        <w:t xml:space="preserve">CORTE IDH POR PARTE DE LOS ESTADOS RESPONSABLES </w:t>
      </w:r>
    </w:p>
    <w:p w:rsidR="00921AE1" w:rsidRPr="008F2951" w:rsidRDefault="00921AE1" w:rsidP="008F2951">
      <w:pPr>
        <w:spacing w:line="360" w:lineRule="auto"/>
        <w:jc w:val="both"/>
        <w:outlineLvl w:val="0"/>
        <w:rPr>
          <w:rFonts w:ascii="Arial" w:eastAsia="Arial Unicode MS" w:hAnsi="Arial"/>
          <w:sz w:val="22"/>
          <w:u w:color="000000"/>
          <w:lang w:val="es-ES_tradnl"/>
        </w:rPr>
      </w:pPr>
    </w:p>
    <w:p w:rsidR="008F2951" w:rsidRPr="00C45A27" w:rsidRDefault="00E917DE" w:rsidP="00C45A27">
      <w:pPr>
        <w:pStyle w:val="Ttulo2"/>
        <w:spacing w:line="360" w:lineRule="auto"/>
        <w:jc w:val="both"/>
        <w:rPr>
          <w:rFonts w:ascii="Arial" w:eastAsia="Arial Unicode MS" w:hAnsi="Arial"/>
          <w:color w:val="auto"/>
          <w:sz w:val="24"/>
          <w:szCs w:val="24"/>
          <w:u w:color="000000"/>
          <w:lang w:val="es-ES_tradnl"/>
        </w:rPr>
      </w:pPr>
      <w:bookmarkStart w:id="27" w:name="_Toc356432264"/>
      <w:r w:rsidRPr="00C45A27">
        <w:rPr>
          <w:rFonts w:ascii="Arial" w:eastAsia="Arial Unicode MS" w:hAnsi="Arial"/>
          <w:color w:val="auto"/>
          <w:sz w:val="24"/>
          <w:szCs w:val="24"/>
          <w:u w:color="000000"/>
          <w:lang w:val="es-ES_tradnl"/>
        </w:rPr>
        <w:t>3.1.</w:t>
      </w:r>
      <w:r w:rsidRPr="00C45A27">
        <w:rPr>
          <w:rFonts w:ascii="Arial" w:eastAsia="Arial Unicode MS" w:hAnsi="Arial"/>
          <w:color w:val="auto"/>
          <w:sz w:val="24"/>
          <w:szCs w:val="24"/>
          <w:u w:color="000000"/>
          <w:lang w:val="es-ES_tradnl"/>
        </w:rPr>
        <w:tab/>
        <w:t>Los Estados responsables frente a las sentencias de la Corte IDH</w:t>
      </w:r>
      <w:bookmarkEnd w:id="27"/>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Al  determinar la Corte IDH la responsabilidad internacional de un Estado por la violación de derechos humanos consagrados en la Convención Americana, surge una serie de obligaciones para tal Estado, si bien la reparación integral de las víctimas y sus familiares </w:t>
      </w:r>
      <w:r w:rsidRPr="00A75361">
        <w:rPr>
          <w:rFonts w:ascii="Arial" w:eastAsia="Arial Unicode MS" w:hAnsi="Arial" w:cs="Arial"/>
          <w:sz w:val="22"/>
          <w:szCs w:val="22"/>
          <w:u w:color="000000"/>
          <w:lang w:val="es-ES_tradnl"/>
        </w:rPr>
        <w:lastRenderedPageBreak/>
        <w:t xml:space="preserve">es el centro de interés del Sistema IDH, cabe notar que las decisiones tanto de la Corte IDH como las recomendaciones de la CIDH, tienen un objetivo más amplio ya que buscan cada vez un mayor desarrollo en </w:t>
      </w:r>
      <w:r w:rsidR="00B02D7D">
        <w:rPr>
          <w:rFonts w:ascii="Arial" w:eastAsia="Arial Unicode MS" w:hAnsi="Arial" w:cs="Arial"/>
          <w:sz w:val="22"/>
          <w:szCs w:val="22"/>
          <w:u w:color="000000"/>
          <w:lang w:val="es-ES_tradnl"/>
        </w:rPr>
        <w:t xml:space="preserve">la </w:t>
      </w:r>
      <w:r w:rsidRPr="00A75361">
        <w:rPr>
          <w:rFonts w:ascii="Arial" w:eastAsia="Arial Unicode MS" w:hAnsi="Arial" w:cs="Arial"/>
          <w:sz w:val="22"/>
          <w:szCs w:val="22"/>
          <w:u w:color="000000"/>
          <w:lang w:val="es-ES_tradnl"/>
        </w:rPr>
        <w:t>protección y respeto por los derechos humanos. Es por ello que la búsqueda de la verdad de los hechos que generaron la responsabilidad internacional, la realización de actos de disculpa pública, la realización de actos simbólicos en memoria de las víctimas y en general las acciones que buscan la no repetición de las violaciones a los derechos, son obligaciones que los Estados por ser de manera voluntaria parte de la Convención Americana deben asumir con seriedad, compromiso y voluntad</w:t>
      </w:r>
      <w:r w:rsidR="00F61D7D">
        <w:rPr>
          <w:rFonts w:ascii="Arial" w:eastAsia="Arial Unicode MS" w:hAnsi="Arial" w:cs="Arial"/>
          <w:sz w:val="22"/>
          <w:szCs w:val="22"/>
          <w:u w:color="000000"/>
          <w:lang w:val="es-ES_tradnl"/>
        </w:rPr>
        <w:t>.</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Las decisiones y recomendaciones de los órganos del Sistema IDH, se constituyen en llamados de atención sobre la situación jurí</w:t>
      </w:r>
      <w:r w:rsidR="00B02D7D">
        <w:rPr>
          <w:rFonts w:ascii="Arial" w:eastAsia="Arial Unicode MS" w:hAnsi="Arial" w:cs="Arial"/>
          <w:sz w:val="22"/>
          <w:szCs w:val="22"/>
          <w:u w:color="000000"/>
          <w:lang w:val="es-ES_tradnl"/>
        </w:rPr>
        <w:t>dica y política de los Estados P</w:t>
      </w:r>
      <w:r w:rsidRPr="00A75361">
        <w:rPr>
          <w:rFonts w:ascii="Arial" w:eastAsia="Arial Unicode MS" w:hAnsi="Arial" w:cs="Arial"/>
          <w:sz w:val="22"/>
          <w:szCs w:val="22"/>
          <w:u w:color="000000"/>
          <w:lang w:val="es-ES_tradnl"/>
        </w:rPr>
        <w:t>arte</w:t>
      </w:r>
      <w:r w:rsidR="00B02D7D">
        <w:rPr>
          <w:rFonts w:ascii="Arial" w:eastAsia="Arial Unicode MS" w:hAnsi="Arial" w:cs="Arial"/>
          <w:sz w:val="22"/>
          <w:szCs w:val="22"/>
          <w:u w:color="000000"/>
          <w:lang w:val="es-ES_tradnl"/>
        </w:rPr>
        <w:t>s</w:t>
      </w:r>
      <w:r w:rsidRPr="00A75361">
        <w:rPr>
          <w:rFonts w:ascii="Arial" w:eastAsia="Arial Unicode MS" w:hAnsi="Arial" w:cs="Arial"/>
          <w:sz w:val="22"/>
          <w:szCs w:val="22"/>
          <w:u w:color="000000"/>
          <w:lang w:val="es-ES_tradnl"/>
        </w:rPr>
        <w:t xml:space="preserve"> sobre su compromiso internacional de proteger los derechos humanos y sobre todo de progresar en cuanto a las garantías para el ejercicio de tales derechos. Entre el Sistema y los Estados, debe existir una relación de reciprocidad, pues en definitiva el Sistema se fortalece en la medida en que se cumplan las decisiones de la Corte IDH y las recomendaciones de la Comisión</w:t>
      </w:r>
      <w:r w:rsidR="00F61D7D">
        <w:rPr>
          <w:rFonts w:ascii="Arial" w:eastAsia="Arial Unicode MS" w:hAnsi="Arial" w:cs="Arial"/>
          <w:sz w:val="22"/>
          <w:szCs w:val="22"/>
          <w:u w:color="000000"/>
          <w:lang w:val="es-ES_tradnl"/>
        </w:rPr>
        <w:t>.</w:t>
      </w: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Los Estados deben cumplir las sentencias de la Corte IDH pero no únicamente con el afán de satisfacer una necesidad de justicia de forma particular con determinada víctima, sino con el objetivo de fortalecer su institucionalidad y marco normativo en cuanto a la protección de los derechos humanos. Los Estados deben implementar todos los mecanismos internos necesarios para que la justicia en derechos humanos se satisfaga en el ámbito nacional. En los Estados con más procesos ante la Corte IDH es evidente una frustración de los ciudadanos frente a los órganos internos de justicia, ello provoca un mayor grado de irresponsabilidad internacional por pa</w:t>
      </w:r>
      <w:r w:rsidR="00E5202B">
        <w:rPr>
          <w:rFonts w:ascii="Arial" w:eastAsia="Arial Unicode MS" w:hAnsi="Arial" w:cs="Arial"/>
          <w:sz w:val="22"/>
          <w:szCs w:val="22"/>
          <w:u w:color="000000"/>
          <w:lang w:val="es-ES_tradnl"/>
        </w:rPr>
        <w:t>rte del Estado que a su vez al no mostrar</w:t>
      </w:r>
      <w:r w:rsidRPr="00A75361">
        <w:rPr>
          <w:rFonts w:ascii="Arial" w:eastAsia="Arial Unicode MS" w:hAnsi="Arial" w:cs="Arial"/>
          <w:sz w:val="22"/>
          <w:szCs w:val="22"/>
          <w:u w:color="000000"/>
          <w:lang w:val="es-ES_tradnl"/>
        </w:rPr>
        <w:t xml:space="preserve"> voluntad para cumplir con las decisiones de las Corte IDH acrecienta el nivel de desconfianza de la población, ello puede generar una situación donde el Sistema IDH sustituya a la justicia interna. Si bien las víctimas eventualmente encuentran justicia en un órgano internacion</w:t>
      </w:r>
      <w:r w:rsidR="00F61D7D">
        <w:rPr>
          <w:rFonts w:ascii="Arial" w:eastAsia="Arial Unicode MS" w:hAnsi="Arial" w:cs="Arial"/>
          <w:sz w:val="22"/>
          <w:szCs w:val="22"/>
          <w:u w:color="000000"/>
          <w:lang w:val="es-ES_tradnl"/>
        </w:rPr>
        <w:t xml:space="preserve">al, </w:t>
      </w:r>
      <w:r w:rsidRPr="00A75361">
        <w:rPr>
          <w:rFonts w:ascii="Arial" w:eastAsia="Arial Unicode MS" w:hAnsi="Arial" w:cs="Arial"/>
          <w:sz w:val="22"/>
          <w:szCs w:val="22"/>
          <w:u w:color="000000"/>
          <w:lang w:val="es-ES_tradnl"/>
        </w:rPr>
        <w:t xml:space="preserve">el Sistema IDH </w:t>
      </w:r>
      <w:r w:rsidR="00F61D7D">
        <w:rPr>
          <w:rFonts w:ascii="Arial" w:eastAsia="Arial Unicode MS" w:hAnsi="Arial" w:cs="Arial"/>
          <w:sz w:val="22"/>
          <w:szCs w:val="22"/>
          <w:u w:color="000000"/>
          <w:lang w:val="es-ES_tradnl"/>
        </w:rPr>
        <w:t xml:space="preserve">se basa en el principio de subsidiaridad. </w:t>
      </w:r>
    </w:p>
    <w:p w:rsidR="00F61D7D" w:rsidRPr="00A75361" w:rsidRDefault="00F61D7D" w:rsidP="00A75361">
      <w:pPr>
        <w:pStyle w:val="Sinespaciado"/>
        <w:spacing w:line="360" w:lineRule="auto"/>
        <w:jc w:val="both"/>
        <w:rPr>
          <w:rFonts w:ascii="Arial" w:eastAsia="Arial Unicode MS" w:hAnsi="Arial" w:cs="Arial"/>
          <w:sz w:val="22"/>
          <w:szCs w:val="22"/>
          <w:u w:color="000000"/>
          <w:lang w:val="es-ES_tradnl"/>
        </w:rPr>
      </w:pPr>
    </w:p>
    <w:p w:rsidR="00F61D7D"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Es necesario que se genere en la población una percepción más positiva de la relación entre los Estados y el Sistema IDH, donde se observe verdadera cooperación y generación de propuestas, así como mecanismos a favor de la vigencia de los derechos humanos.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lastRenderedPageBreak/>
        <w:t>Por el contrario, es importante también destacar los avances que se han logrado en el marco de la protección internacional de los derechos humanos. Existen ciertos cambios que han sido acogidos por los Estados y se han plasmado en su normativa, encontramos entre ellos, la regulación de amnistías para los responsables por violación de derechos humanos, además un incremento en las garantías del debido proceso, la libertad para personas inocentes, y lo relativo a la justicia penal tanto en la esfera policial como militar</w:t>
      </w:r>
      <w:r w:rsidR="00A555C2">
        <w:rPr>
          <w:rStyle w:val="Refdenotaalpie"/>
          <w:rFonts w:ascii="Arial" w:eastAsia="Arial Unicode MS" w:hAnsi="Arial" w:cs="Arial"/>
          <w:sz w:val="22"/>
          <w:szCs w:val="22"/>
          <w:u w:color="000000"/>
          <w:lang w:val="es-ES_tradnl"/>
        </w:rPr>
        <w:footnoteReference w:id="151"/>
      </w:r>
      <w:r w:rsidRPr="00A75361">
        <w:rPr>
          <w:rFonts w:ascii="Arial" w:eastAsia="Arial Unicode MS" w:hAnsi="Arial" w:cs="Arial"/>
          <w:sz w:val="22"/>
          <w:szCs w:val="22"/>
          <w:u w:color="000000"/>
          <w:lang w:val="es-ES_tradnl"/>
        </w:rPr>
        <w:t xml:space="preserve">. Estos indicadores son muestras de progreso en la protección a los derechos humanos, sin embargo la responsabilidad debe recaer también en las otras funciones del Estado, tanto en la ejecutiva con la generación de políticas, y el respeto a los derechos en el ámbito administrativo, así como en la función judicial para promover la investigación, judicialización y sanción a los responsables.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Si bien generalmente la relación de la Corte IDH con los Estados se realiza a través de sus cancillerías</w:t>
      </w:r>
      <w:r w:rsidR="00F61D7D">
        <w:rPr>
          <w:rFonts w:ascii="Arial" w:eastAsia="Arial Unicode MS" w:hAnsi="Arial" w:cs="Arial"/>
          <w:sz w:val="22"/>
          <w:szCs w:val="22"/>
          <w:u w:color="000000"/>
          <w:lang w:val="es-ES_tradnl"/>
        </w:rPr>
        <w:t xml:space="preserve"> y procuradurías</w:t>
      </w:r>
      <w:r w:rsidRPr="00A75361">
        <w:rPr>
          <w:rFonts w:ascii="Arial" w:eastAsia="Arial Unicode MS" w:hAnsi="Arial" w:cs="Arial"/>
          <w:sz w:val="22"/>
          <w:szCs w:val="22"/>
          <w:u w:color="000000"/>
          <w:lang w:val="es-ES_tradnl"/>
        </w:rPr>
        <w:t>, hay que notar que en caso de responsabilidad internacional es el Estado que con todas sus instituciones debe actuar para lograr una reparación integral. La mayoría de órganos que representan a los Estados en el ámbito internacional, dependen de la función ejecutiva, dejando de lado a las funciones legislativa y judicial, ello genera conflictos sobre todo en la ejecución de las</w:t>
      </w:r>
      <w:r w:rsidR="00F61D7D">
        <w:rPr>
          <w:rFonts w:ascii="Arial" w:eastAsia="Arial Unicode MS" w:hAnsi="Arial" w:cs="Arial"/>
          <w:sz w:val="22"/>
          <w:szCs w:val="22"/>
          <w:u w:color="000000"/>
          <w:lang w:val="es-ES_tradnl"/>
        </w:rPr>
        <w:t xml:space="preserve"> sentencias de la Corte IDH.</w:t>
      </w:r>
      <w:r w:rsidRPr="00A75361">
        <w:rPr>
          <w:rFonts w:ascii="Arial" w:eastAsia="Arial Unicode MS" w:hAnsi="Arial" w:cs="Arial"/>
          <w:sz w:val="22"/>
          <w:szCs w:val="22"/>
          <w:u w:color="000000"/>
          <w:lang w:val="es-ES_tradnl"/>
        </w:rPr>
        <w:t xml:space="preserve"> </w:t>
      </w:r>
      <w:r w:rsidR="00F61D7D" w:rsidRPr="00A75361">
        <w:rPr>
          <w:rFonts w:ascii="Arial" w:eastAsia="Arial Unicode MS" w:hAnsi="Arial" w:cs="Arial"/>
          <w:sz w:val="22"/>
          <w:szCs w:val="22"/>
          <w:u w:color="000000"/>
          <w:lang w:val="es-ES_tradnl"/>
        </w:rPr>
        <w:t>A</w:t>
      </w:r>
      <w:r w:rsidRPr="00A75361">
        <w:rPr>
          <w:rFonts w:ascii="Arial" w:eastAsia="Arial Unicode MS" w:hAnsi="Arial" w:cs="Arial"/>
          <w:sz w:val="22"/>
          <w:szCs w:val="22"/>
          <w:u w:color="000000"/>
          <w:lang w:val="es-ES_tradnl"/>
        </w:rPr>
        <w:t xml:space="preserve"> manera de ejemplo, en la obligación de investigar y sancionar a los responsables de las violaciones, las órdenes del ejecutivo quedan en entredicho frente a una función judicial que se declara absolutamente independiente y señala que adoptar tales </w:t>
      </w:r>
      <w:r w:rsidR="00F61D7D" w:rsidRPr="00A75361">
        <w:rPr>
          <w:rFonts w:ascii="Arial" w:eastAsia="Arial Unicode MS" w:hAnsi="Arial" w:cs="Arial"/>
          <w:sz w:val="22"/>
          <w:szCs w:val="22"/>
          <w:u w:color="000000"/>
          <w:lang w:val="es-ES_tradnl"/>
        </w:rPr>
        <w:t>órdenes</w:t>
      </w:r>
      <w:r w:rsidRPr="00A75361">
        <w:rPr>
          <w:rFonts w:ascii="Arial" w:eastAsia="Arial Unicode MS" w:hAnsi="Arial" w:cs="Arial"/>
          <w:sz w:val="22"/>
          <w:szCs w:val="22"/>
          <w:u w:color="000000"/>
          <w:lang w:val="es-ES_tradnl"/>
        </w:rPr>
        <w:t xml:space="preserve"> atentaría a uno de los pilares fundamentales del constitucionalismo.  </w:t>
      </w:r>
    </w:p>
    <w:p w:rsidR="00034369" w:rsidRPr="00A75361" w:rsidRDefault="00034369" w:rsidP="00A75361">
      <w:pPr>
        <w:pStyle w:val="Sinespaciado"/>
        <w:spacing w:line="360" w:lineRule="auto"/>
        <w:jc w:val="both"/>
        <w:rPr>
          <w:rFonts w:ascii="Arial" w:eastAsia="Arial Unicode MS" w:hAnsi="Arial" w:cs="Arial"/>
          <w:sz w:val="22"/>
          <w:szCs w:val="22"/>
          <w:u w:color="000000"/>
          <w:lang w:val="es-ES_tradnl"/>
        </w:rPr>
      </w:pPr>
    </w:p>
    <w:p w:rsidR="008F2951" w:rsidRPr="008F2951" w:rsidRDefault="008F2951" w:rsidP="00A75361">
      <w:pPr>
        <w:pStyle w:val="Sinespaciado"/>
        <w:spacing w:line="360" w:lineRule="auto"/>
        <w:jc w:val="both"/>
        <w:rPr>
          <w:rFonts w:eastAsia="Arial Unicode MS"/>
          <w:u w:color="000000"/>
          <w:lang w:val="es-ES_tradnl"/>
        </w:rPr>
      </w:pPr>
      <w:r w:rsidRPr="00A75361">
        <w:rPr>
          <w:rFonts w:ascii="Arial" w:eastAsia="Arial Unicode MS" w:hAnsi="Arial" w:cs="Arial"/>
          <w:sz w:val="22"/>
          <w:szCs w:val="22"/>
          <w:u w:color="000000"/>
          <w:lang w:val="es-ES_tradnl"/>
        </w:rPr>
        <w:t>Cabe reconocer que la jurisprudencia sobre reparación se ha desarrollado enormemente en las últimas décadas, sobre todo en referencia a una reparación integral en la región. La Corte IDH ha adoptado estándares realmente progresistas en materia de protección de derechos, y junto con los Estados se han logrado avances significativos. La indemnización como único modo de reparación ha sido insuficiente, por ello han surgido medidas que atienden las necesidades de las víctimas y sus familiares desde diversos aspectos, jurídico, económico, social, en el ámbito de la salud, y dentro de este una atención al aspecto psicológico. Existe la plena conciencia dentro de los Estados de que la adopc</w:t>
      </w:r>
      <w:r w:rsidR="00E5202B">
        <w:rPr>
          <w:rFonts w:ascii="Arial" w:eastAsia="Arial Unicode MS" w:hAnsi="Arial" w:cs="Arial"/>
          <w:sz w:val="22"/>
          <w:szCs w:val="22"/>
          <w:u w:color="000000"/>
          <w:lang w:val="es-ES_tradnl"/>
        </w:rPr>
        <w:t>ión de estas medidas constituye</w:t>
      </w:r>
      <w:r w:rsidRPr="00A75361">
        <w:rPr>
          <w:rFonts w:ascii="Arial" w:eastAsia="Arial Unicode MS" w:hAnsi="Arial" w:cs="Arial"/>
          <w:sz w:val="22"/>
          <w:szCs w:val="22"/>
          <w:u w:color="000000"/>
          <w:lang w:val="es-ES_tradnl"/>
        </w:rPr>
        <w:t xml:space="preserve"> un desafío que genera conflictos y desacuerdos, </w:t>
      </w:r>
      <w:r w:rsidRPr="00A75361">
        <w:rPr>
          <w:rFonts w:ascii="Arial" w:eastAsia="Arial Unicode MS" w:hAnsi="Arial" w:cs="Arial"/>
          <w:sz w:val="22"/>
          <w:szCs w:val="22"/>
          <w:u w:color="000000"/>
          <w:lang w:val="es-ES_tradnl"/>
        </w:rPr>
        <w:lastRenderedPageBreak/>
        <w:t xml:space="preserve">pero no hay que </w:t>
      </w:r>
      <w:r w:rsidR="00F61D7D">
        <w:rPr>
          <w:rFonts w:ascii="Arial" w:eastAsia="Arial Unicode MS" w:hAnsi="Arial" w:cs="Arial"/>
          <w:sz w:val="22"/>
          <w:szCs w:val="22"/>
          <w:u w:color="000000"/>
          <w:lang w:val="es-ES_tradnl"/>
        </w:rPr>
        <w:t xml:space="preserve">olvidar un objetivo primordial </w:t>
      </w:r>
      <w:r w:rsidRPr="00A75361">
        <w:rPr>
          <w:rFonts w:ascii="Arial" w:eastAsia="Arial Unicode MS" w:hAnsi="Arial" w:cs="Arial"/>
          <w:sz w:val="22"/>
          <w:szCs w:val="22"/>
          <w:u w:color="000000"/>
          <w:lang w:val="es-ES_tradnl"/>
        </w:rPr>
        <w:t>que es la búsqueda de alternativas para ir a la par del Sistema IDH en la protección a los derechos humanos.</w:t>
      </w:r>
      <w:r w:rsidRPr="008F2951">
        <w:rPr>
          <w:rFonts w:eastAsia="Arial Unicode MS"/>
          <w:u w:color="000000"/>
          <w:lang w:val="es-ES_tradnl"/>
        </w:rPr>
        <w:t xml:space="preserve"> </w:t>
      </w:r>
    </w:p>
    <w:p w:rsidR="008F2951" w:rsidRPr="008F2951" w:rsidRDefault="008F2951" w:rsidP="008F2951">
      <w:pPr>
        <w:spacing w:line="360" w:lineRule="auto"/>
        <w:jc w:val="both"/>
        <w:outlineLvl w:val="0"/>
        <w:rPr>
          <w:rFonts w:ascii="Arial" w:eastAsia="Arial Unicode MS" w:hAnsi="Arial"/>
          <w:sz w:val="22"/>
          <w:u w:color="000000"/>
          <w:lang w:val="es-ES_tradnl"/>
        </w:rPr>
      </w:pPr>
      <w:r w:rsidRPr="008F2951">
        <w:rPr>
          <w:rFonts w:ascii="Arial" w:eastAsia="Arial Unicode MS" w:hAnsi="Arial"/>
          <w:sz w:val="22"/>
          <w:u w:color="000000"/>
          <w:lang w:val="es-ES_tradnl"/>
        </w:rPr>
        <w:t xml:space="preserve"> </w:t>
      </w:r>
    </w:p>
    <w:p w:rsidR="008F2951" w:rsidRPr="00C45A27" w:rsidRDefault="00034369" w:rsidP="00C45A27">
      <w:pPr>
        <w:pStyle w:val="Ttulo3"/>
        <w:spacing w:line="360" w:lineRule="auto"/>
        <w:jc w:val="both"/>
        <w:rPr>
          <w:rFonts w:ascii="Arial" w:eastAsia="Arial Unicode MS" w:hAnsi="Arial"/>
          <w:color w:val="auto"/>
          <w:sz w:val="22"/>
          <w:u w:color="000000"/>
          <w:lang w:val="es-ES_tradnl"/>
        </w:rPr>
      </w:pPr>
      <w:bookmarkStart w:id="28" w:name="_Toc356432265"/>
      <w:r w:rsidRPr="00C45A27">
        <w:rPr>
          <w:rFonts w:ascii="Arial" w:eastAsia="Arial Unicode MS" w:hAnsi="Arial"/>
          <w:color w:val="auto"/>
          <w:sz w:val="22"/>
          <w:u w:color="000000"/>
          <w:lang w:val="es-ES_tradnl"/>
        </w:rPr>
        <w:t>3.1.1.</w:t>
      </w:r>
      <w:r w:rsidRPr="00C45A27">
        <w:rPr>
          <w:rFonts w:ascii="Arial" w:eastAsia="Arial Unicode MS" w:hAnsi="Arial"/>
          <w:color w:val="auto"/>
          <w:sz w:val="22"/>
          <w:u w:color="000000"/>
          <w:lang w:val="es-ES_tradnl"/>
        </w:rPr>
        <w:tab/>
      </w:r>
      <w:r w:rsidR="00E917DE" w:rsidRPr="00C45A27">
        <w:rPr>
          <w:rFonts w:ascii="Arial" w:eastAsia="Arial Unicode MS" w:hAnsi="Arial"/>
          <w:color w:val="auto"/>
          <w:sz w:val="22"/>
          <w:u w:color="000000"/>
          <w:lang w:val="es-ES_tradnl"/>
        </w:rPr>
        <w:t>Falta de voluntad política de los Estados responsables</w:t>
      </w:r>
      <w:bookmarkEnd w:id="28"/>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A555C2"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Uno de los aspectos cruciales y quizá el más importante en cuanto a la ejecución de sentencias de la Corte IDH es la voluntad política, sin ella es imposible que se materialicen las medidas de reparación a plenitud y se generen cambios favorables en</w:t>
      </w:r>
      <w:r w:rsidR="00E5202B">
        <w:rPr>
          <w:rFonts w:ascii="Arial" w:eastAsia="Arial Unicode MS" w:hAnsi="Arial" w:cs="Arial"/>
          <w:sz w:val="22"/>
          <w:szCs w:val="22"/>
          <w:u w:color="000000"/>
          <w:lang w:val="es-ES_tradnl"/>
        </w:rPr>
        <w:t xml:space="preserve"> el</w:t>
      </w:r>
      <w:r w:rsidRPr="00A75361">
        <w:rPr>
          <w:rFonts w:ascii="Arial" w:eastAsia="Arial Unicode MS" w:hAnsi="Arial" w:cs="Arial"/>
          <w:sz w:val="22"/>
          <w:szCs w:val="22"/>
          <w:u w:color="000000"/>
          <w:lang w:val="es-ES_tradnl"/>
        </w:rPr>
        <w:t xml:space="preserve"> marco de los derechos humanos. La voluntad política implica el compromiso del Estado en el cumplimiento de sus obligaciones internacionales, es necesario que esta voluntad se mantenga y se desarrolle de forma permanente, sin depender de las fluctuaciones provocadas por la posición, planes y proyectos del gobierno de turno. La Corte IDH debe contar con el apoyo de un Estado con plena apertura al complimiento y al compromiso, es un verdadero retroceso el tener que lidiar con gobiernos que lejos de su ideología política manejen un discurso de soberanía absolutamente cerrado y poco cooperante.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La voluntad política de los Estados por reparar los daños se evidencia desde las primeras etapas del litigio internacional, son muestras favorables los casos donde existe una aceptación de los hechos que produjeron la violación a los derechos y además el consecuente reconocimiento de la responsabilidad. Si bien estos pasos son convenientes para el respeto por los derechos, esa postura debe mantenerse durante todo el proceso hasta concluir en la reparación integral de las víctimas y sus familiares, existen casos donde los Estados tras aceptar su responsabilidad y expresar su compromiso al cumplimiento, en la ejecución de medidas de reparación cambian su actitud y generan conflictos con las víctimas y sus representantes, lo que no solo implica una falta de respeto por las víctimas sino además frente al Sistema IDH y al derecho como tal</w:t>
      </w:r>
      <w:r w:rsidR="00A555C2">
        <w:rPr>
          <w:rStyle w:val="Refdenotaalpie"/>
          <w:rFonts w:ascii="Arial" w:eastAsia="Arial Unicode MS" w:hAnsi="Arial" w:cs="Arial"/>
          <w:sz w:val="22"/>
          <w:szCs w:val="22"/>
          <w:u w:color="000000"/>
          <w:lang w:val="es-ES_tradnl"/>
        </w:rPr>
        <w:footnoteReference w:id="152"/>
      </w:r>
      <w:r w:rsidRPr="00A75361">
        <w:rPr>
          <w:rFonts w:ascii="Arial" w:eastAsia="Arial Unicode MS" w:hAnsi="Arial" w:cs="Arial"/>
          <w:sz w:val="22"/>
          <w:szCs w:val="22"/>
          <w:u w:color="000000"/>
          <w:lang w:val="es-ES_tradnl"/>
        </w:rPr>
        <w:t>.</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Es realmente alarmante observar que los casos donde se ha dado cumplimiento pleno a las decisiones de la Corte </w:t>
      </w:r>
      <w:r w:rsidR="00E5202B"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son pocos. Ello plantea varias interrogantes sobre el papel de los actores en torno a la protección de los derechos humanos.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Uno de esos casos de cumplimiento total es el de “La </w:t>
      </w:r>
      <w:proofErr w:type="spellStart"/>
      <w:r w:rsidRPr="00A75361">
        <w:rPr>
          <w:rFonts w:ascii="Arial" w:eastAsia="Arial Unicode MS" w:hAnsi="Arial" w:cs="Arial"/>
          <w:sz w:val="22"/>
          <w:szCs w:val="22"/>
          <w:u w:color="000000"/>
          <w:lang w:val="es-ES_tradnl"/>
        </w:rPr>
        <w:t>Ultima</w:t>
      </w:r>
      <w:proofErr w:type="spellEnd"/>
      <w:r w:rsidRPr="00A75361">
        <w:rPr>
          <w:rFonts w:ascii="Arial" w:eastAsia="Arial Unicode MS" w:hAnsi="Arial" w:cs="Arial"/>
          <w:sz w:val="22"/>
          <w:szCs w:val="22"/>
          <w:u w:color="000000"/>
          <w:lang w:val="es-ES_tradnl"/>
        </w:rPr>
        <w:t xml:space="preserve"> Tentación del Cristo” (Olmedo Bustos y otros) vs Chile. La sentencia sobre el fondo, reparaciones y costas, se dio el 5 de febrero del 2001, la Corte IDH declaró principalmente que el Estado violó el </w:t>
      </w:r>
      <w:r w:rsidRPr="00A75361">
        <w:rPr>
          <w:rFonts w:ascii="Arial" w:eastAsia="Arial Unicode MS" w:hAnsi="Arial" w:cs="Arial"/>
          <w:sz w:val="22"/>
          <w:szCs w:val="22"/>
          <w:u w:color="000000"/>
          <w:lang w:val="es-ES_tradnl"/>
        </w:rPr>
        <w:lastRenderedPageBreak/>
        <w:t>derecho a la libertad de pensamiento y de expresión consagrado en el artículo 13 de la Convención Americana sobre Derechos Humanos</w:t>
      </w:r>
      <w:r w:rsidRPr="00A75361">
        <w:rPr>
          <w:rFonts w:ascii="Arial" w:eastAsia="Arial Unicode MS" w:hAnsi="Arial" w:cs="Arial"/>
          <w:sz w:val="22"/>
          <w:szCs w:val="22"/>
          <w:u w:color="000000"/>
          <w:vertAlign w:val="superscript"/>
          <w:lang w:val="es-ES_tradnl"/>
        </w:rPr>
        <w:footnoteReference w:id="153"/>
      </w:r>
      <w:r w:rsidRPr="00A75361">
        <w:rPr>
          <w:rFonts w:ascii="Arial" w:eastAsia="Arial Unicode MS" w:hAnsi="Arial" w:cs="Arial"/>
          <w:sz w:val="22"/>
          <w:szCs w:val="22"/>
          <w:u w:color="000000"/>
          <w:lang w:val="es-ES_tradnl"/>
        </w:rPr>
        <w:t>. Si bien este no fue un caso donde se ordenó una diversidad de medidas de reparación, si incluyó una obligación que por lo general reviste cierta dificultad en su cumplimiento. La Corte IDH decidió que el Estado debía modificar su ordenamiento jurídico interno, en un plazo razonable, con el fin de suprimir la censura previa en las películas. La norma que vulneraba el derecho citado, se encontraba en la Constitución chilena, por lo que tal modificación implicaría una reforma constitucional; cabe observar además que la Corte IDH estableció un plazo indeterminado para el cumplimiento, señalando que se debía realizar dentro de un “plazo razonable”, es decir que la voluntad política del Estado chileno por dar cumplimiento a esta medida jugaba un papel fundamental. Es importante resaltar este caso pues al cabo de poco más de dos años en la Resolución de Cumplimiento de sentencia de 28 de noviembre del 2003, la Corte IDH declaró que el Estado de Chile había dado pleno cumplimiento a la sentencia señalada, dando por terminado el caso y ordenando el archivo del expediente</w:t>
      </w:r>
      <w:r w:rsidRPr="00A75361">
        <w:rPr>
          <w:rFonts w:ascii="Arial" w:eastAsia="Arial Unicode MS" w:hAnsi="Arial" w:cs="Arial"/>
          <w:sz w:val="22"/>
          <w:szCs w:val="22"/>
          <w:u w:color="000000"/>
          <w:vertAlign w:val="superscript"/>
          <w:lang w:val="es-ES_tradnl"/>
        </w:rPr>
        <w:footnoteReference w:id="154"/>
      </w: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CB1907"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Otro caso donde se</w:t>
      </w:r>
      <w:r w:rsidR="00FD445B">
        <w:rPr>
          <w:rFonts w:ascii="Arial" w:eastAsia="Arial Unicode MS" w:hAnsi="Arial" w:cs="Arial"/>
          <w:sz w:val="22"/>
          <w:szCs w:val="22"/>
          <w:u w:color="000000"/>
          <w:lang w:val="es-ES_tradnl"/>
        </w:rPr>
        <w:t xml:space="preserve"> ha dado cumplimiento pleno a una</w:t>
      </w:r>
      <w:r w:rsidRPr="00A75361">
        <w:rPr>
          <w:rFonts w:ascii="Arial" w:eastAsia="Arial Unicode MS" w:hAnsi="Arial" w:cs="Arial"/>
          <w:sz w:val="22"/>
          <w:szCs w:val="22"/>
          <w:u w:color="000000"/>
          <w:lang w:val="es-ES_tradnl"/>
        </w:rPr>
        <w:t xml:space="preserve"> sentencia de la Corte IDH es Acosta Calderón vs. Ecuador, la sentencia fue emitida el 24 de junio del 2005, donde el tribunal determinó que el Ecuador era responsable por la violación de los derechos a la libertad personal, a la protección judicial y derecho a garantías judiciales</w:t>
      </w:r>
      <w:r w:rsidR="00FD445B">
        <w:rPr>
          <w:rFonts w:ascii="Arial" w:eastAsia="Arial Unicode MS" w:hAnsi="Arial" w:cs="Arial"/>
          <w:sz w:val="22"/>
          <w:szCs w:val="22"/>
          <w:u w:color="000000"/>
          <w:lang w:val="es-ES_tradnl"/>
        </w:rPr>
        <w:t>,</w:t>
      </w:r>
      <w:r w:rsidRPr="00A75361">
        <w:rPr>
          <w:rFonts w:ascii="Arial" w:eastAsia="Arial Unicode MS" w:hAnsi="Arial" w:cs="Arial"/>
          <w:sz w:val="22"/>
          <w:szCs w:val="22"/>
          <w:u w:color="000000"/>
          <w:lang w:val="es-ES_tradnl"/>
        </w:rPr>
        <w:t xml:space="preserve"> todos consagrados en la Convención Americana contra el señor Rigoberto Acosta Calderón. Como medidas de reparación se ordenó el pago de una indemnización por daño material e inmaterial, además la publicación de la sentencia en el Diario Oficial u otro diario de amplia circulación nacional, adicionalmente, la eliminación de los antecedentes penales del señor Acosta Calderón de los registros públicos. Este caso presenta cierta particularidad pues los representantes de la víctima, asesores de la CEDHU, perdieron contacto con esta, sin embargo la Corte IDH determinó que este no era un impedimento para establecer las correspondientes medidas de reparación. Sobre el pago de indemnizaciones la Corte IDH dispuso que el monto se deposite en una cuenta de un banco solvente del Ecuador y cuando se haya dado con el paradero de la víctima se le entregue el dinero, se estableció un plazo de 10 años para este fin, si el beneficiario de </w:t>
      </w:r>
      <w:r w:rsidRPr="00A75361">
        <w:rPr>
          <w:rFonts w:ascii="Arial" w:eastAsia="Arial Unicode MS" w:hAnsi="Arial" w:cs="Arial"/>
          <w:sz w:val="22"/>
          <w:szCs w:val="22"/>
          <w:u w:color="000000"/>
          <w:lang w:val="es-ES_tradnl"/>
        </w:rPr>
        <w:lastRenderedPageBreak/>
        <w:t>esta medida no acudía a reclamar la indemnización, el dinero sería devuelto al Estado</w:t>
      </w:r>
      <w:r w:rsidR="00CB1907" w:rsidRPr="00A75361">
        <w:rPr>
          <w:rFonts w:ascii="Arial" w:eastAsia="Arial Unicode MS" w:hAnsi="Arial" w:cs="Arial"/>
          <w:sz w:val="22"/>
          <w:szCs w:val="22"/>
          <w:u w:color="000000"/>
          <w:vertAlign w:val="superscript"/>
          <w:lang w:val="es-ES_tradnl"/>
        </w:rPr>
        <w:footnoteReference w:id="155"/>
      </w:r>
      <w:r w:rsidRPr="00A75361">
        <w:rPr>
          <w:rFonts w:ascii="Arial" w:eastAsia="Arial Unicode MS" w:hAnsi="Arial" w:cs="Arial"/>
          <w:sz w:val="22"/>
          <w:szCs w:val="22"/>
          <w:u w:color="000000"/>
          <w:lang w:val="es-ES_tradnl"/>
        </w:rPr>
        <w:t xml:space="preserve">. Hasta la actualidad y a dos años de que culmine este plazo no se ha encontrado al señor Acosta Calderón, quien presumiblemente se encuentra en Colombia. </w:t>
      </w:r>
    </w:p>
    <w:p w:rsidR="00CB1907" w:rsidRDefault="00CB1907" w:rsidP="00A75361">
      <w:pPr>
        <w:pStyle w:val="Sinespaciado"/>
        <w:spacing w:line="360" w:lineRule="auto"/>
        <w:jc w:val="both"/>
        <w:rPr>
          <w:rFonts w:ascii="Arial" w:eastAsia="Arial Unicode MS" w:hAnsi="Arial" w:cs="Arial"/>
          <w:sz w:val="22"/>
          <w:szCs w:val="22"/>
          <w:u w:color="000000"/>
          <w:lang w:val="es-ES_tradnl"/>
        </w:rPr>
      </w:pPr>
    </w:p>
    <w:p w:rsidR="008F295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En cuanto al cumplimiento de las demás medidas de reparación, en la Resolución de Supervisión de Cumplimiento de sentencia de 7 de febrero de 2008, la Corte IDH declaró que el Estado de Ecuador había ha dado pleno cumplimiento a la Sentencia de 24 de junio de 2005, de conformidad con lo estipulado en el artículo 68.1 de la Convención Americana sobre Derechos Humanos por lo que resolvió dar por terminado el caso y archivar el respectivo expediente</w:t>
      </w:r>
      <w:r w:rsidRPr="00A75361">
        <w:rPr>
          <w:rFonts w:ascii="Arial" w:eastAsia="Arial Unicode MS" w:hAnsi="Arial" w:cs="Arial"/>
          <w:sz w:val="22"/>
          <w:szCs w:val="22"/>
          <w:u w:color="000000"/>
          <w:vertAlign w:val="superscript"/>
          <w:lang w:val="es-ES_tradnl"/>
        </w:rPr>
        <w:footnoteReference w:id="156"/>
      </w:r>
      <w:r w:rsidRPr="00A75361">
        <w:rPr>
          <w:rFonts w:ascii="Arial" w:eastAsia="Arial Unicode MS" w:hAnsi="Arial" w:cs="Arial"/>
          <w:sz w:val="22"/>
          <w:szCs w:val="22"/>
          <w:u w:color="000000"/>
          <w:lang w:val="es-ES_tradnl"/>
        </w:rPr>
        <w:t xml:space="preserve">.    </w:t>
      </w:r>
    </w:p>
    <w:p w:rsidR="00FD445B" w:rsidRPr="00A75361" w:rsidRDefault="00FD445B"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Hay que notar que en ambos casos medió un tiempo relativamente corto desde que se emitió la sentencia de la Corte IDH y se cumplieron las medidas de reparación. Por otro lado en el caso Acosta Calderón, las medidas </w:t>
      </w:r>
      <w:proofErr w:type="spellStart"/>
      <w:r w:rsidRPr="00A75361">
        <w:rPr>
          <w:rFonts w:ascii="Arial" w:eastAsia="Arial Unicode MS" w:hAnsi="Arial" w:cs="Arial"/>
          <w:sz w:val="22"/>
          <w:szCs w:val="22"/>
          <w:u w:color="000000"/>
          <w:lang w:val="es-ES_tradnl"/>
        </w:rPr>
        <w:t>reparatorias</w:t>
      </w:r>
      <w:proofErr w:type="spellEnd"/>
      <w:r w:rsidRPr="00A75361">
        <w:rPr>
          <w:rFonts w:ascii="Arial" w:eastAsia="Arial Unicode MS" w:hAnsi="Arial" w:cs="Arial"/>
          <w:sz w:val="22"/>
          <w:szCs w:val="22"/>
          <w:u w:color="000000"/>
          <w:lang w:val="es-ES_tradnl"/>
        </w:rPr>
        <w:t xml:space="preserve"> no mostraban gran complejidad por lo que su ejecución pudo realizarse de forma breve. Ello puede evidenciar cierta actitud de los Estados frente al compromiso de cumplimiento de sus obligaciones internacionales, pero que a su vez lleva a cuestionar la voluntad de los Estados para ejecutar las sentencias frente a medidas que revisten mayor complejidad y requieren mayores esfuerzos y consensos para lograr un cumplimiento pleno.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La voluntad de los Estados no solo debe evidenciarse en la circunstancia de que se haya encontrado su responsabilidad internacional y tenga que reparar los daños causados, sino también en la implementación de políticas preventivas, además del reforzamiento de instituciones y capacitación de funcionarios públicos relacionados a la protección de los derechos humanos. Es importante además que esta voluntad política genere en la normativa interna las condiciones necesarias para que los responsables de violaciones a los derechos humanos, sean sancionados internamente, sin que se deba depender siempre de un órgano internacional que determine las responsabilidades de los Estados. Se debe reconocer sin embargo que la vía internacional para demandar la violación de derechos y su consecuente reparación ha tenido más eficacia frente a la inexistencia de mecanismos legales internos expeditos.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lastRenderedPageBreak/>
        <w:t xml:space="preserve">La voluntad política debe expresarse en todas las esferas del poder público, si bien el derecho a la reparación puede estar enunciado en normas internas incluso de carácter constitucional, no suponen una verdadera garantía si no forman parte del discurso oficial de forma permanente o no están implementadas en las prácticas cotidianas de todos los funcionarios públicos. El Estado tienen una responsabilidad objetiva de reparar los daños a las victimas poniendo énfasis en las protección de sus derechos, si bien el derecho de repetición del Estado contra los funcionarios responsables es legítimo, el proceso de reparación debe priorizar las necesidades de las víctimas.  </w:t>
      </w:r>
    </w:p>
    <w:p w:rsidR="00034369" w:rsidRPr="00A75361" w:rsidRDefault="00034369"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Las consecuencias de la falta de voluntad política al cumplir las sentencias de la Corte IDH tienen una incidencia muy grave, sobre todo porque afectan de forma general pues no solo se vulneran los derechos de una víctima en particular, sino que refuerzan un entorno de impunidad, terminar con ella es uno de los principales objetivos del Sistema IDH</w:t>
      </w:r>
      <w:r w:rsidR="00906750">
        <w:rPr>
          <w:rStyle w:val="Refdenotaalpie"/>
          <w:rFonts w:ascii="Arial" w:eastAsia="Arial Unicode MS" w:hAnsi="Arial" w:cs="Arial"/>
          <w:color w:val="000000"/>
          <w:sz w:val="22"/>
          <w:szCs w:val="22"/>
          <w:u w:color="000000"/>
          <w:lang w:val="es-ES" w:eastAsia="es-ES"/>
        </w:rPr>
        <w:footnoteReference w:id="157"/>
      </w:r>
      <w:r w:rsidRPr="00A75361">
        <w:rPr>
          <w:rFonts w:ascii="Arial" w:eastAsia="Arial Unicode MS" w:hAnsi="Arial" w:cs="Arial"/>
          <w:color w:val="000000"/>
          <w:sz w:val="22"/>
          <w:szCs w:val="22"/>
          <w:u w:color="000000"/>
          <w:lang w:val="es-ES" w:eastAsia="es-ES"/>
        </w:rPr>
        <w:t xml:space="preserve">. Los Estados miembros deben enfrentar la impunidad sobre todo por una obligación frente a las víctimas para que se haga finalmente justicia y evitar que nuevos hechos violatorios de produzcan. Es por ello que una de las medidas de reparación donde la voluntad política debe hacerse presente es la investigación, judicialización y sanción de los responsables. Este objetivo no se puede cumplir cuando en ciertos casos la falta de voluntad política impide que siquiera medidas como el pago de indemnizaciones de realice. </w:t>
      </w:r>
    </w:p>
    <w:p w:rsidR="00034369" w:rsidRPr="00A75361" w:rsidRDefault="00034369"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Si bien Gustavo </w:t>
      </w:r>
      <w:proofErr w:type="spellStart"/>
      <w:r w:rsidRPr="00A75361">
        <w:rPr>
          <w:rFonts w:ascii="Arial" w:eastAsia="Arial Unicode MS" w:hAnsi="Arial" w:cs="Arial"/>
          <w:color w:val="000000"/>
          <w:sz w:val="22"/>
          <w:szCs w:val="22"/>
          <w:u w:color="000000"/>
          <w:lang w:val="es-ES" w:eastAsia="es-ES"/>
        </w:rPr>
        <w:t>Zagrebelsky</w:t>
      </w:r>
      <w:proofErr w:type="spellEnd"/>
      <w:r w:rsidRPr="00A75361">
        <w:rPr>
          <w:rFonts w:ascii="Arial" w:eastAsia="Arial Unicode MS" w:hAnsi="Arial" w:cs="Arial"/>
          <w:color w:val="000000"/>
          <w:sz w:val="22"/>
          <w:szCs w:val="22"/>
          <w:u w:color="000000"/>
          <w:lang w:val="es-ES" w:eastAsia="es-ES"/>
        </w:rPr>
        <w:t xml:space="preserve"> ha señalado que en el constitucionalismo moderno las cartas políticas adquieren una connotación de antropocéntricas</w:t>
      </w:r>
      <w:r w:rsidR="0001221E">
        <w:rPr>
          <w:rStyle w:val="Refdenotaalpie"/>
          <w:rFonts w:ascii="Arial" w:eastAsia="Arial Unicode MS" w:hAnsi="Arial" w:cs="Arial"/>
          <w:color w:val="000000"/>
          <w:sz w:val="22"/>
          <w:szCs w:val="22"/>
          <w:u w:color="000000"/>
          <w:lang w:val="es-ES" w:eastAsia="es-ES"/>
        </w:rPr>
        <w:footnoteReference w:id="158"/>
      </w:r>
      <w:r w:rsidRPr="00A75361">
        <w:rPr>
          <w:rFonts w:ascii="Arial" w:eastAsia="Arial Unicode MS" w:hAnsi="Arial" w:cs="Arial"/>
          <w:color w:val="000000"/>
          <w:sz w:val="22"/>
          <w:szCs w:val="22"/>
          <w:u w:color="000000"/>
          <w:lang w:val="es-ES" w:eastAsia="es-ES"/>
        </w:rPr>
        <w:t xml:space="preserve"> y es evidente que por ello la protección de los derechos humanos debe constituirse en uno de los principales objetivos del gobierno y en general de las fuerzas de poder  que serán legitimados por la ciudadanía, solo siendo verdaderos garantes de los derechos. De nada sirve una constitución con un amplio catálogo de derechos, cuando el Estado no se hace responsable de sus obligaciones. Cuando se presentan dificultades en el cumplimiento de las medidas ordenadas por la Corte IDH y se depende de la poca voluntad y exagerados procesos burocráticos, se afecta su sentido reparador, ello torna más difícil el camino de las </w:t>
      </w:r>
      <w:proofErr w:type="spellStart"/>
      <w:r w:rsidRPr="00A75361">
        <w:rPr>
          <w:rFonts w:ascii="Arial" w:eastAsia="Arial Unicode MS" w:hAnsi="Arial" w:cs="Arial"/>
          <w:color w:val="000000"/>
          <w:sz w:val="22"/>
          <w:szCs w:val="22"/>
          <w:u w:color="000000"/>
          <w:lang w:val="es-ES" w:eastAsia="es-ES"/>
        </w:rPr>
        <w:t>victimas</w:t>
      </w:r>
      <w:proofErr w:type="spellEnd"/>
      <w:r w:rsidRPr="00A75361">
        <w:rPr>
          <w:rFonts w:ascii="Arial" w:eastAsia="Arial Unicode MS" w:hAnsi="Arial" w:cs="Arial"/>
          <w:color w:val="000000"/>
          <w:sz w:val="22"/>
          <w:szCs w:val="22"/>
          <w:u w:color="000000"/>
          <w:lang w:val="es-ES" w:eastAsia="es-ES"/>
        </w:rPr>
        <w:t xml:space="preserve"> en la necesidad de un cierre psicológico de las violaciones y de la reconstrucción de un proyecto de vida.  </w:t>
      </w:r>
    </w:p>
    <w:p w:rsidR="00034369" w:rsidRPr="00A75361" w:rsidRDefault="00034369" w:rsidP="00A75361">
      <w:pPr>
        <w:pStyle w:val="Sinespaciado"/>
        <w:spacing w:line="360" w:lineRule="auto"/>
        <w:jc w:val="both"/>
        <w:rPr>
          <w:rFonts w:ascii="Arial" w:eastAsia="Arial Unicode MS" w:hAnsi="Arial" w:cs="Arial"/>
          <w:color w:val="000000"/>
          <w:sz w:val="22"/>
          <w:szCs w:val="22"/>
          <w:u w:color="000000"/>
          <w:lang w:val="es-ES" w:eastAsia="es-ES"/>
        </w:rPr>
      </w:pPr>
    </w:p>
    <w:p w:rsidR="00034369"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Al momento de ejecutarse las sentencias, la iniciativa debe partir del Estado, determinándose inmediatamente el órgano encargado para este fin, el proceso debe darse en un contexto de claridad, dialogo, consenso, acuerdo y planificación. Deben mejorarse las vías </w:t>
      </w:r>
      <w:r w:rsidR="009B17EA">
        <w:rPr>
          <w:rFonts w:ascii="Arial" w:eastAsia="Arial Unicode MS" w:hAnsi="Arial" w:cs="Arial"/>
          <w:sz w:val="22"/>
          <w:szCs w:val="22"/>
          <w:u w:color="000000"/>
          <w:lang w:val="es-ES_tradnl"/>
        </w:rPr>
        <w:t>de comunicación entre el Estado</w:t>
      </w:r>
      <w:r w:rsidRPr="00A75361">
        <w:rPr>
          <w:rFonts w:ascii="Arial" w:eastAsia="Arial Unicode MS" w:hAnsi="Arial" w:cs="Arial"/>
          <w:sz w:val="22"/>
          <w:szCs w:val="22"/>
          <w:u w:color="000000"/>
          <w:lang w:val="es-ES_tradnl"/>
        </w:rPr>
        <w:t xml:space="preserve">, las víctimas y sus representantes, además tomar en cuenta la supervisión que la Corte </w:t>
      </w:r>
      <w:r w:rsidR="009B17EA"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realiza al proceso. La construcción de una agenda para la ejecución de las sentencias que exponga mecanismos que hagan posible la implementación de las medidas junto con cronogramas, demostraría la voluntad del Estado en cumplir con sus obligaciones. </w:t>
      </w:r>
    </w:p>
    <w:p w:rsidR="00034369" w:rsidRPr="00A75361" w:rsidRDefault="00034369" w:rsidP="00A75361">
      <w:pPr>
        <w:pStyle w:val="Sinespaciado"/>
        <w:spacing w:line="360" w:lineRule="auto"/>
        <w:jc w:val="both"/>
        <w:rPr>
          <w:rFonts w:ascii="Arial" w:eastAsia="Arial Unicode MS" w:hAnsi="Arial" w:cs="Arial"/>
          <w:sz w:val="22"/>
          <w:szCs w:val="22"/>
          <w:u w:color="000000"/>
          <w:lang w:val="es-ES_tradnl"/>
        </w:rPr>
      </w:pPr>
    </w:p>
    <w:p w:rsidR="00034369"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El Estado debe trabajar casa adentro, haciendo un análisis de los factores que impidan una eficaz ejecución de las sentencias, es imprescindible un examen de sus características, configuración histórica y estructura. Ello facilita que se generen soluciones y se mejore la relación con los órganos del Sistema IDH, y consecuentemente una mejor implementación de las medidas de reparación.</w:t>
      </w:r>
    </w:p>
    <w:p w:rsidR="00034369" w:rsidRPr="00A75361" w:rsidRDefault="00034369"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color w:val="000000"/>
          <w:sz w:val="22"/>
          <w:szCs w:val="22"/>
          <w:u w:color="000000"/>
          <w:lang w:val="es-ES" w:eastAsia="es-ES"/>
        </w:rPr>
        <w:t>El gran número de sentencias con cumplimiento parcial es un indicador de que los Estados responsables no niegan de forma directa sus obligaciones internacionales frente a la Corte IDH y a las víctimas, sin embargo este mismo hecho verifica la existencia de dificultades permanentes que pueden ser superadas partiendo por la voluntad política  para hacerlo, una de e</w:t>
      </w:r>
      <w:r w:rsidR="009B17EA">
        <w:rPr>
          <w:rFonts w:ascii="Arial" w:eastAsia="Arial Unicode MS" w:hAnsi="Arial" w:cs="Arial"/>
          <w:color w:val="000000"/>
          <w:sz w:val="22"/>
          <w:szCs w:val="22"/>
          <w:u w:color="000000"/>
          <w:lang w:val="es-ES" w:eastAsia="es-ES"/>
        </w:rPr>
        <w:t>stas dificultades que se vuelve</w:t>
      </w:r>
      <w:r w:rsidRPr="00A75361">
        <w:rPr>
          <w:rFonts w:ascii="Arial" w:eastAsia="Arial Unicode MS" w:hAnsi="Arial" w:cs="Arial"/>
          <w:color w:val="000000"/>
          <w:sz w:val="22"/>
          <w:szCs w:val="22"/>
          <w:u w:color="000000"/>
          <w:lang w:val="es-ES" w:eastAsia="es-ES"/>
        </w:rPr>
        <w:t xml:space="preserve"> de</w:t>
      </w:r>
      <w:r w:rsidR="009B17EA">
        <w:rPr>
          <w:rFonts w:ascii="Arial" w:eastAsia="Arial Unicode MS" w:hAnsi="Arial" w:cs="Arial"/>
          <w:color w:val="000000"/>
          <w:sz w:val="22"/>
          <w:szCs w:val="22"/>
          <w:u w:color="000000"/>
          <w:lang w:val="es-ES" w:eastAsia="es-ES"/>
        </w:rPr>
        <w:t>terminante</w:t>
      </w:r>
      <w:r w:rsidRPr="00A75361">
        <w:rPr>
          <w:rFonts w:ascii="Arial" w:eastAsia="Arial Unicode MS" w:hAnsi="Arial" w:cs="Arial"/>
          <w:color w:val="000000"/>
          <w:sz w:val="22"/>
          <w:szCs w:val="22"/>
          <w:u w:color="000000"/>
          <w:lang w:val="es-ES" w:eastAsia="es-ES"/>
        </w:rPr>
        <w:t xml:space="preserve"> al momento de ejecutar las sentencias son los procesos burocráticos extensos</w:t>
      </w:r>
      <w:r w:rsidR="00A508F3">
        <w:rPr>
          <w:rStyle w:val="Refdenotaalpie"/>
          <w:rFonts w:ascii="Arial" w:eastAsia="Arial Unicode MS" w:hAnsi="Arial" w:cs="Arial"/>
          <w:color w:val="000000"/>
          <w:sz w:val="22"/>
          <w:szCs w:val="22"/>
          <w:u w:color="000000"/>
          <w:lang w:val="es-ES" w:eastAsia="es-ES"/>
        </w:rPr>
        <w:footnoteReference w:id="159"/>
      </w:r>
      <w:r w:rsidRPr="00A75361">
        <w:rPr>
          <w:rFonts w:ascii="Arial" w:eastAsia="Arial Unicode MS" w:hAnsi="Arial" w:cs="Arial"/>
          <w:color w:val="000000"/>
          <w:sz w:val="22"/>
          <w:szCs w:val="22"/>
          <w:u w:color="000000"/>
          <w:lang w:val="es-ES" w:eastAsia="es-ES"/>
        </w:rPr>
        <w:t xml:space="preserve">, una reforma en la metodología dentro de las instituciones para cumplir con estos procesos es un factor que demuestra voluntad política por parte del gobierno, no se trata únicamente de satisfacer las necesidades particulares de un proceso de reparación de forma individual sino que sentar las bases para alcanzar una verdadera institucionalización en la protección de los derechos humanos.     </w:t>
      </w:r>
    </w:p>
    <w:p w:rsidR="00921AE1" w:rsidRPr="00A75361" w:rsidRDefault="00921AE1" w:rsidP="00A75361">
      <w:pPr>
        <w:pStyle w:val="Sinespaciado"/>
        <w:spacing w:line="360" w:lineRule="auto"/>
        <w:jc w:val="both"/>
        <w:rPr>
          <w:rFonts w:ascii="Arial" w:eastAsia="Arial Unicode MS" w:hAnsi="Arial" w:cs="Arial"/>
          <w:sz w:val="22"/>
          <w:szCs w:val="22"/>
          <w:u w:color="000000"/>
          <w:lang w:val="es-ES"/>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
        </w:rPr>
      </w:pPr>
      <w:r w:rsidRPr="00A75361">
        <w:rPr>
          <w:rFonts w:ascii="Arial" w:eastAsia="Arial Unicode MS" w:hAnsi="Arial" w:cs="Arial"/>
          <w:sz w:val="22"/>
          <w:szCs w:val="22"/>
          <w:u w:color="000000"/>
          <w:lang w:val="es-ES"/>
        </w:rPr>
        <w:t xml:space="preserve">La falta de voluntad política puede generarse además porque no existe un reconocimiento directo del gobierno de turno de las violaciones a los derechos, muchos de los casos se han producido en décadas pasadas en regímenes dictatoriales y/o extremistas. Los cambios que se han generado en torno a la democratización de la política y la justicia hacen que los gobiernos de turno no quieran poner en evidencia </w:t>
      </w:r>
      <w:r w:rsidRPr="00A75361">
        <w:rPr>
          <w:rFonts w:ascii="Arial" w:eastAsia="Arial Unicode MS" w:hAnsi="Arial" w:cs="Arial"/>
          <w:sz w:val="22"/>
          <w:szCs w:val="22"/>
          <w:u w:color="000000"/>
          <w:lang w:val="es-ES"/>
        </w:rPr>
        <w:lastRenderedPageBreak/>
        <w:t xml:space="preserve">hechos pasados de los que no han sido directamente responsables ya que al pasar al conocimiento público podrían generar desconfianza y afectación en su popularidad. Es posible que la población empiece a cuestionar la acción de los funcionarios públicos y exigir mayores prestaciones en torno a la protección de derechos. Esto debe ser asumido por el Estado como una oportunidad para conseguir una conciliación con el pueblo, siempre que medie una política de estado para remediar el entorno actual de procesos de reparación a violaciones pasadas, sobre todo para construir las bases de un Estado más comprometido con los derechos y su permanente desarrollo.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El grado de voluntad política de determinado gobierno puede verse determinado por la ideología del partido político en el poder. La posición de las principales autoridades frente a los organismos internacionales puede traer complicaciones para acatar sus decisiones, existe la posibilidad de que se expongan argumentos como la falta de independencia de</w:t>
      </w:r>
      <w:r w:rsidR="00420AE7">
        <w:rPr>
          <w:rFonts w:ascii="Arial" w:eastAsia="Arial Unicode MS" w:hAnsi="Arial" w:cs="Arial"/>
          <w:sz w:val="22"/>
          <w:szCs w:val="22"/>
          <w:u w:color="000000"/>
          <w:lang w:val="es-ES_tradnl"/>
        </w:rPr>
        <w:t xml:space="preserve"> </w:t>
      </w:r>
      <w:r w:rsidRPr="00A75361">
        <w:rPr>
          <w:rFonts w:ascii="Arial" w:eastAsia="Arial Unicode MS" w:hAnsi="Arial" w:cs="Arial"/>
          <w:sz w:val="22"/>
          <w:szCs w:val="22"/>
          <w:u w:color="000000"/>
          <w:lang w:val="es-ES_tradnl"/>
        </w:rPr>
        <w:t xml:space="preserve">estos organismos o que operan siguiendo una agenda contraria a los intereses del Estado. Incluso cuando el Estado es parte de convenios e instrumentos internacionales que lo conminan a cumplir ciertas obligaciones, pueden presentarse argumentos como el irrespeto a la soberanía estatal. Este tipo de circunstancias afectan enormemente la vigencia y protección de los derechos humanos pues tornan ineficaces las resoluciones de órganos internacionales cuando los Estados desconocen sus decisiones.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La voluntad política de reparar los daños por la violación de derechos y en general la voluntad por cumplir y respetar los instrumentos internacionales que los protegen, debe manejarse a nivel de política de estado a diferencia de que el cumplimiento se realice por incidencia de una política de gobierno. Al existir una fuerte política de estado, si bien se pueden presentar ciertos cambios de gobierno a gobierno, queda de trasfondo un plan serio para mejorar la condición general de los derechos humanos</w:t>
      </w:r>
      <w:r w:rsidRPr="00A75361">
        <w:rPr>
          <w:rFonts w:ascii="Arial" w:eastAsia="Arial Unicode MS" w:hAnsi="Arial" w:cs="Arial"/>
          <w:sz w:val="22"/>
          <w:szCs w:val="22"/>
          <w:u w:color="000000"/>
          <w:vertAlign w:val="superscript"/>
          <w:lang w:val="es-ES_tradnl"/>
        </w:rPr>
        <w:footnoteReference w:id="160"/>
      </w:r>
      <w:r w:rsidRPr="00A75361">
        <w:rPr>
          <w:rFonts w:ascii="Arial" w:eastAsia="Arial Unicode MS" w:hAnsi="Arial" w:cs="Arial"/>
          <w:sz w:val="22"/>
          <w:szCs w:val="22"/>
          <w:u w:color="000000"/>
          <w:lang w:val="es-ES_tradnl"/>
        </w:rPr>
        <w:t>.</w:t>
      </w:r>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C45A27" w:rsidRDefault="00034369" w:rsidP="00C45A27">
      <w:pPr>
        <w:pStyle w:val="Ttulo3"/>
        <w:spacing w:line="360" w:lineRule="auto"/>
        <w:jc w:val="both"/>
        <w:rPr>
          <w:rFonts w:ascii="Arial" w:eastAsia="Arial Unicode MS" w:hAnsi="Arial"/>
          <w:color w:val="auto"/>
          <w:sz w:val="22"/>
          <w:u w:color="000000"/>
          <w:lang w:val="es-ES_tradnl"/>
        </w:rPr>
      </w:pPr>
      <w:bookmarkStart w:id="29" w:name="_Toc356432266"/>
      <w:r w:rsidRPr="00C45A27">
        <w:rPr>
          <w:rFonts w:ascii="Arial" w:eastAsia="Arial Unicode MS" w:hAnsi="Arial"/>
          <w:color w:val="auto"/>
          <w:sz w:val="22"/>
          <w:u w:color="000000"/>
          <w:lang w:val="es-ES_tradnl"/>
        </w:rPr>
        <w:t>3.1.2.</w:t>
      </w:r>
      <w:r w:rsidRPr="00C45A27">
        <w:rPr>
          <w:rFonts w:ascii="Arial" w:eastAsia="Arial Unicode MS" w:hAnsi="Arial"/>
          <w:color w:val="auto"/>
          <w:sz w:val="22"/>
          <w:u w:color="000000"/>
          <w:lang w:val="es-ES_tradnl"/>
        </w:rPr>
        <w:tab/>
      </w:r>
      <w:r w:rsidR="00E917DE" w:rsidRPr="00C45A27">
        <w:rPr>
          <w:rFonts w:ascii="Arial" w:eastAsia="Arial Unicode MS" w:hAnsi="Arial"/>
          <w:color w:val="auto"/>
          <w:sz w:val="22"/>
          <w:u w:color="000000"/>
          <w:lang w:val="es-ES_tradnl"/>
        </w:rPr>
        <w:t>Falta de investigación, judicialización y sanción a los responsables</w:t>
      </w:r>
      <w:bookmarkEnd w:id="29"/>
      <w:r w:rsidR="00E917DE" w:rsidRPr="00C45A27">
        <w:rPr>
          <w:rFonts w:ascii="Arial" w:eastAsia="Arial Unicode MS" w:hAnsi="Arial"/>
          <w:color w:val="auto"/>
          <w:sz w:val="22"/>
          <w:u w:color="000000"/>
          <w:lang w:val="es-ES_tradnl"/>
        </w:rPr>
        <w:t xml:space="preserve">   </w:t>
      </w:r>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Una de las medidas que la Corte IDH ha considerado pertinente implementar en sus sentencias, es la obligación de los Estados responsables de investigar, judicializar y sancionar a los responsables de las violaciones a los derechos humanos. Si bien esta medida es ordenada por la Corte según las características de cada caso, ha sido ampliamente utilizada pues es de gran importancia en la protección y respeto por los </w:t>
      </w:r>
      <w:r w:rsidRPr="00A75361">
        <w:rPr>
          <w:rFonts w:ascii="Arial" w:eastAsia="Arial Unicode MS" w:hAnsi="Arial" w:cs="Arial"/>
          <w:sz w:val="22"/>
          <w:szCs w:val="22"/>
          <w:u w:color="000000"/>
          <w:lang w:val="es-ES_tradnl"/>
        </w:rPr>
        <w:lastRenderedPageBreak/>
        <w:t>derechos humanos que son objetivos principales de los órganos del Sistema IDH. Esta medida además de buscar la satisfacción de las víctimas y sus familiares por una reparación integral, genera además efectos a nivel general ya que buscar poner freno a la impunidad, y satisface los derechos a la verdad y justicia de la población.</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A pesar de la enorme trascendencia de esta medida es una de las obligaciones con más incumplimiento por parte de los Estados</w:t>
      </w:r>
      <w:r w:rsidR="00A508F3">
        <w:rPr>
          <w:rStyle w:val="Refdenotaalpie"/>
          <w:rFonts w:ascii="Arial" w:eastAsia="Arial Unicode MS" w:hAnsi="Arial" w:cs="Arial"/>
          <w:sz w:val="22"/>
          <w:szCs w:val="22"/>
          <w:u w:color="000000"/>
          <w:lang w:val="es-ES_tradnl"/>
        </w:rPr>
        <w:footnoteReference w:id="161"/>
      </w:r>
      <w:r w:rsidRPr="00A75361">
        <w:rPr>
          <w:rFonts w:ascii="Arial" w:eastAsia="Arial Unicode MS" w:hAnsi="Arial" w:cs="Arial"/>
          <w:sz w:val="22"/>
          <w:szCs w:val="22"/>
          <w:u w:color="000000"/>
          <w:lang w:val="es-ES_tradnl"/>
        </w:rPr>
        <w:t xml:space="preserve">. No cabe duda que el cumplimiento cabal de esta medida representa un gran compromiso para los Estados responsables pues supone la movilización de varias instituciones públicas además de la reactivación de casos archivados y el despliegue de todas </w:t>
      </w:r>
      <w:r w:rsidR="0062715A">
        <w:rPr>
          <w:rFonts w:ascii="Arial" w:eastAsia="Arial Unicode MS" w:hAnsi="Arial" w:cs="Arial"/>
          <w:sz w:val="22"/>
          <w:szCs w:val="22"/>
          <w:u w:color="000000"/>
          <w:lang w:val="es-ES_tradnl"/>
        </w:rPr>
        <w:t xml:space="preserve">las </w:t>
      </w:r>
      <w:r w:rsidRPr="00A75361">
        <w:rPr>
          <w:rFonts w:ascii="Arial" w:eastAsia="Arial Unicode MS" w:hAnsi="Arial" w:cs="Arial"/>
          <w:sz w:val="22"/>
          <w:szCs w:val="22"/>
          <w:u w:color="000000"/>
          <w:lang w:val="es-ES_tradnl"/>
        </w:rPr>
        <w:t>medidas y mecanismos posibles para lograr su ejecución. El Estado debe llevar a la justicia a los responsables, ello además de incluir el desagravio a las victimas conlleva un precedente importante para evitar el cometimiento de nuevas violaciones como factor disuasivo, y pone en evidencia el compromiso del Estado por defender los derechos humanos</w:t>
      </w:r>
      <w:r w:rsidR="00A803CC">
        <w:rPr>
          <w:rFonts w:ascii="Arial" w:eastAsia="Arial Unicode MS" w:hAnsi="Arial" w:cs="Arial"/>
          <w:sz w:val="22"/>
          <w:szCs w:val="22"/>
          <w:u w:color="000000"/>
          <w:lang w:val="es-ES_tradnl"/>
        </w:rPr>
        <w:t>.</w:t>
      </w:r>
    </w:p>
    <w:p w:rsidR="00A803CC" w:rsidRPr="00A75361" w:rsidRDefault="00A803CC"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Esta medida de reparación requiere de todo un proceso para ser cumplida a cabalidad, el plazo para su ejecución no puede ser determinado de manera objetiva por la Corte IDH, esto no significa que se deba restar importancia a la necesidad de que las acciones y diligencias se inicien de forma inmediata. La Corte IDH determina que se cumpla en un plazo razonable, ello implica que el Estado responsable notifique al Tribunal de forma periódica sobre los avances respecto al cumplimiento, la falta de un plazo determinado puede significar un problema cuando los representantes de las victimas exijan su ejecución por falta de acción del Estado. Los representantes de las victimas deben del mismo modo notificar a la Corte IDH sobre tales avances y en su defecto la falta de preocupación del Estado por dar cumplimiento, adicionalmente deben dar su opinión frente a los informes que envié el Estado para que la Corte IDH determine de ser el caso, que las víctimas se encuentran satisfechas con los resultados o por otro lado para llamar la atención de los Estados en pos de lograr un cumplimiento pleno.</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El cumplimiento de investigar y sancionar a los culpables también beneficia al propio Estado, pues al identificar a los responsables le permite ejercer el derecho de repetición correspondiente, ello además es otro factor para poner fin a la impunidad. El derecho de repetición es importante además porque el dinero que el Estado paga por concepto de </w:t>
      </w:r>
      <w:r w:rsidRPr="00A75361">
        <w:rPr>
          <w:rFonts w:ascii="Arial" w:eastAsia="Arial Unicode MS" w:hAnsi="Arial" w:cs="Arial"/>
          <w:color w:val="000000"/>
          <w:sz w:val="22"/>
          <w:szCs w:val="22"/>
          <w:u w:color="000000"/>
          <w:lang w:val="es-ES" w:eastAsia="es-ES"/>
        </w:rPr>
        <w:lastRenderedPageBreak/>
        <w:t>indemnización proviene de fondos públicos, fondos que le pertenecen a la población y que en un sentido formal de justicia deberían ser asumidos por los responsables.</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La Corte IDH al ordenar esta medida se ha expresado en los siguientes términos, en el caso Heliodoro Portugal vs. Panamá señalo que el Estado está obligado a combatir esta situación de impunidad por todos los medios disponibles, ya que ésta propicia la repetición crónica de las violaciones de derechos humanos y la total indefensión de las víctimas y de sus familiares, quienes tienen derecho a conocer la verdad de los hechos. Esta medida de reparación a su vez garantiza a las victimas su derecho a la verdad que constituye un medio de reparación y es una justa expectativa que el Estado debe satisfacer</w:t>
      </w:r>
      <w:r w:rsidRPr="00A75361">
        <w:rPr>
          <w:rFonts w:ascii="Arial" w:eastAsia="Arial Unicode MS" w:hAnsi="Arial" w:cs="Arial"/>
          <w:color w:val="000000"/>
          <w:sz w:val="22"/>
          <w:szCs w:val="22"/>
          <w:vertAlign w:val="superscript"/>
          <w:lang w:val="es-ES" w:eastAsia="es-ES"/>
        </w:rPr>
        <w:footnoteReference w:id="162"/>
      </w:r>
      <w:r w:rsidRPr="00A75361">
        <w:rPr>
          <w:rFonts w:ascii="Arial" w:eastAsia="Arial Unicode MS" w:hAnsi="Arial" w:cs="Arial"/>
          <w:color w:val="000000"/>
          <w:sz w:val="22"/>
          <w:szCs w:val="22"/>
          <w:u w:color="000000"/>
          <w:lang w:val="es-ES" w:eastAsia="es-ES"/>
        </w:rPr>
        <w:t xml:space="preserve">.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La Corte IDH entiende que al haber sido conocido el caso por la justicia interna y no haber prosperado en cuanto a la determinación de los responsables y su sanción, al ordenar que se vuelvan a realizar las investigaciones pueden presentarse varios obstáculos. Por ello la Corte IDH en sus sentencias establece que el Estado debe conducir eficazmente los procesos penales que se encuentran en trámite y los que se llegaren a abrir para determinar las correspondientes responsabilidades y aplicar las consecuencias que la ley prevea. Determina además que el Estado a través de sus instituciones competentes, debe agotar las líneas de investigación respecto a lo ocurrido para establecer la verdad de los hechos, ello implica que en cumplimiento de su obligación de investigar y sancionar a los responsables de los hechos, el Estado debe remover todos los obstáculos, </w:t>
      </w:r>
      <w:r w:rsidRPr="00A75361">
        <w:rPr>
          <w:rFonts w:ascii="Arial" w:eastAsia="Arial Unicode MS" w:hAnsi="Arial" w:cs="Arial"/>
          <w:i/>
          <w:color w:val="000000"/>
          <w:sz w:val="22"/>
          <w:szCs w:val="22"/>
          <w:u w:color="000000"/>
          <w:lang w:val="es-ES" w:eastAsia="es-ES"/>
        </w:rPr>
        <w:t>de facto y de jure</w:t>
      </w:r>
      <w:r w:rsidRPr="00A75361">
        <w:rPr>
          <w:rFonts w:ascii="Arial" w:eastAsia="Arial Unicode MS" w:hAnsi="Arial" w:cs="Arial"/>
          <w:color w:val="000000"/>
          <w:sz w:val="22"/>
          <w:szCs w:val="22"/>
          <w:u w:color="000000"/>
          <w:lang w:val="es-ES" w:eastAsia="es-ES"/>
        </w:rPr>
        <w:t>, que impidan la debida investigación de los hechos, y utilizar todos los medios disponibles para hacer expedita dicha investigación y los procedimientos respectivos, a fin de evitar la repetición de hechos tan graves</w:t>
      </w:r>
      <w:r w:rsidRPr="00A75361">
        <w:rPr>
          <w:rFonts w:ascii="Arial" w:eastAsia="Arial Unicode MS" w:hAnsi="Arial" w:cs="Arial"/>
          <w:color w:val="000000"/>
          <w:sz w:val="22"/>
          <w:szCs w:val="22"/>
          <w:vertAlign w:val="superscript"/>
          <w:lang w:val="es-ES" w:eastAsia="es-ES"/>
        </w:rPr>
        <w:footnoteReference w:id="163"/>
      </w:r>
      <w:r w:rsidRPr="00A75361">
        <w:rPr>
          <w:rFonts w:ascii="Arial" w:eastAsia="Arial Unicode MS" w:hAnsi="Arial" w:cs="Arial"/>
          <w:color w:val="000000"/>
          <w:sz w:val="22"/>
          <w:szCs w:val="22"/>
          <w:u w:color="000000"/>
          <w:lang w:val="es-ES" w:eastAsia="es-ES"/>
        </w:rPr>
        <w:t>.</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Tras la obligación de investigar y sancionar a las responsables</w:t>
      </w:r>
      <w:r w:rsidR="00A803CC">
        <w:rPr>
          <w:rFonts w:ascii="Arial" w:eastAsia="Arial Unicode MS" w:hAnsi="Arial" w:cs="Arial"/>
          <w:color w:val="000000"/>
          <w:sz w:val="22"/>
          <w:szCs w:val="22"/>
          <w:u w:color="000000"/>
          <w:lang w:val="es-ES" w:eastAsia="es-ES"/>
        </w:rPr>
        <w:t>,</w:t>
      </w:r>
      <w:r w:rsidRPr="00A75361">
        <w:rPr>
          <w:rFonts w:ascii="Arial" w:eastAsia="Arial Unicode MS" w:hAnsi="Arial" w:cs="Arial"/>
          <w:color w:val="000000"/>
          <w:sz w:val="22"/>
          <w:szCs w:val="22"/>
          <w:u w:color="000000"/>
          <w:lang w:val="es-ES" w:eastAsia="es-ES"/>
        </w:rPr>
        <w:t xml:space="preserve"> en el caso Heliodoro Portugal vs. Panamá, la Corte IDH determinó en la resolución de supervisión de cumplimiento de sentencia de 19 de junio del 2012, que el Estado no ha dado cumplimiento a esta obligación. Se presentaron dificultades como falta de notificac</w:t>
      </w:r>
      <w:r w:rsidR="00A803CC">
        <w:rPr>
          <w:rFonts w:ascii="Arial" w:eastAsia="Arial Unicode MS" w:hAnsi="Arial" w:cs="Arial"/>
          <w:color w:val="000000"/>
          <w:sz w:val="22"/>
          <w:szCs w:val="22"/>
          <w:u w:color="000000"/>
          <w:lang w:val="es-ES" w:eastAsia="es-ES"/>
        </w:rPr>
        <w:t>ión a alguna</w:t>
      </w:r>
      <w:r w:rsidRPr="00A75361">
        <w:rPr>
          <w:rFonts w:ascii="Arial" w:eastAsia="Arial Unicode MS" w:hAnsi="Arial" w:cs="Arial"/>
          <w:color w:val="000000"/>
          <w:sz w:val="22"/>
          <w:szCs w:val="22"/>
          <w:u w:color="000000"/>
          <w:lang w:val="es-ES" w:eastAsia="es-ES"/>
        </w:rPr>
        <w:t xml:space="preserve"> de las partes para la celebración de audiencias, problemas en el proceso de extradición de uno de los imputados, que la investigación se estaba llevando por el delito de homicidio y no por desaparición forzada de personas, además que no se había </w:t>
      </w:r>
      <w:proofErr w:type="spellStart"/>
      <w:r w:rsidRPr="00A75361">
        <w:rPr>
          <w:rFonts w:ascii="Arial" w:eastAsia="Arial Unicode MS" w:hAnsi="Arial" w:cs="Arial"/>
          <w:color w:val="000000"/>
          <w:sz w:val="22"/>
          <w:szCs w:val="22"/>
          <w:u w:color="000000"/>
          <w:lang w:val="es-ES" w:eastAsia="es-ES"/>
        </w:rPr>
        <w:lastRenderedPageBreak/>
        <w:t>garantizando</w:t>
      </w:r>
      <w:proofErr w:type="spellEnd"/>
      <w:r w:rsidRPr="00A75361">
        <w:rPr>
          <w:rFonts w:ascii="Arial" w:eastAsia="Arial Unicode MS" w:hAnsi="Arial" w:cs="Arial"/>
          <w:color w:val="000000"/>
          <w:sz w:val="22"/>
          <w:szCs w:val="22"/>
          <w:u w:color="000000"/>
          <w:lang w:val="es-ES" w:eastAsia="es-ES"/>
        </w:rPr>
        <w:t xml:space="preserve"> la participación de las víctimas ni se les había dado la información correspondiente en todas las etapas procesales pertinentes. La Corte </w:t>
      </w:r>
      <w:r w:rsidR="001932D2" w:rsidRPr="00A75361">
        <w:rPr>
          <w:rFonts w:ascii="Arial" w:eastAsia="Arial Unicode MS" w:hAnsi="Arial" w:cs="Arial"/>
          <w:sz w:val="22"/>
          <w:szCs w:val="22"/>
          <w:u w:color="000000"/>
          <w:lang w:val="es-ES_tradnl"/>
        </w:rPr>
        <w:t>IDH</w:t>
      </w:r>
      <w:r w:rsidR="001932D2" w:rsidRPr="00A75361">
        <w:rPr>
          <w:rFonts w:ascii="Arial" w:eastAsia="Arial Unicode MS" w:hAnsi="Arial" w:cs="Arial"/>
          <w:color w:val="000000"/>
          <w:sz w:val="22"/>
          <w:szCs w:val="22"/>
          <w:u w:color="000000"/>
          <w:lang w:val="es-ES" w:eastAsia="es-ES"/>
        </w:rPr>
        <w:t xml:space="preserve"> </w:t>
      </w:r>
      <w:r w:rsidRPr="00A75361">
        <w:rPr>
          <w:rFonts w:ascii="Arial" w:eastAsia="Arial Unicode MS" w:hAnsi="Arial" w:cs="Arial"/>
          <w:color w:val="000000"/>
          <w:sz w:val="22"/>
          <w:szCs w:val="22"/>
          <w:u w:color="000000"/>
          <w:lang w:val="es-ES" w:eastAsia="es-ES"/>
        </w:rPr>
        <w:t>recordó al Estado de Panamá que la obligación de investigar no puede ser ejecutada de cualquier manera, sino que debe realizarse de acuerdo a los estándares establecidos por las normas y la jurisprudencia internacionales que caracterizan a las investigaciones como prontas, exhaustivas, imparciales e independientes</w:t>
      </w:r>
      <w:r w:rsidRPr="00A75361">
        <w:rPr>
          <w:rFonts w:ascii="Arial" w:eastAsia="Arial Unicode MS" w:hAnsi="Arial" w:cs="Arial"/>
          <w:color w:val="000000"/>
          <w:sz w:val="22"/>
          <w:szCs w:val="22"/>
          <w:vertAlign w:val="superscript"/>
          <w:lang w:val="es-ES" w:eastAsia="es-ES"/>
        </w:rPr>
        <w:footnoteReference w:id="164"/>
      </w:r>
      <w:r w:rsidRPr="00A75361">
        <w:rPr>
          <w:rFonts w:ascii="Arial" w:eastAsia="Arial Unicode MS" w:hAnsi="Arial" w:cs="Arial"/>
          <w:color w:val="000000"/>
          <w:sz w:val="22"/>
          <w:szCs w:val="22"/>
          <w:u w:color="000000"/>
          <w:lang w:val="es-ES" w:eastAsia="es-ES"/>
        </w:rPr>
        <w:t xml:space="preserve">.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En el presente caso podemos observar que el Estado ha realizado ciertas acciones para dar cumplimiento a la sentencia en cuanto a esta obligación en particular, sin embargo en la etapa de ejecución se torna aún más importante el cómo se lleven a cabo las diligencias, pues no basta con determinar que se ha celebrado una audiencia cuando no se ha notificado a las partes correspondientes o no se ha contado con la participación de las </w:t>
      </w:r>
      <w:proofErr w:type="spellStart"/>
      <w:r w:rsidRPr="00A75361">
        <w:rPr>
          <w:rFonts w:ascii="Arial" w:eastAsia="Arial Unicode MS" w:hAnsi="Arial" w:cs="Arial"/>
          <w:color w:val="000000"/>
          <w:sz w:val="22"/>
          <w:szCs w:val="22"/>
          <w:u w:color="000000"/>
          <w:lang w:val="es-ES" w:eastAsia="es-ES"/>
        </w:rPr>
        <w:t>victimas</w:t>
      </w:r>
      <w:proofErr w:type="spellEnd"/>
      <w:r w:rsidRPr="00A75361">
        <w:rPr>
          <w:rFonts w:ascii="Arial" w:eastAsia="Arial Unicode MS" w:hAnsi="Arial" w:cs="Arial"/>
          <w:color w:val="000000"/>
          <w:sz w:val="22"/>
          <w:szCs w:val="22"/>
          <w:u w:color="000000"/>
          <w:lang w:val="es-ES" w:eastAsia="es-ES"/>
        </w:rPr>
        <w:t xml:space="preserve"> en ciertas etapas del proceso. Se vuelven evidentes además las dificultades particulares que conllevan cada caso, en el citado, la normativa penal no tipificaba el delito de desaparición forzada de personas por lo tanto la investigación se llevaba por el delito de homicidio, lo que a su vez producía más inconvenientes; por otro lado era necesaria la extradición de uno de los imputados, proceso que toma su tiempo y al final aún sin mala voluntad del Estado, retrasa el cumplimiento de la obligación</w:t>
      </w:r>
      <w:r w:rsidRPr="00A75361">
        <w:rPr>
          <w:rFonts w:ascii="Arial" w:eastAsia="Arial Unicode MS" w:hAnsi="Arial" w:cs="Arial"/>
          <w:color w:val="000000"/>
          <w:sz w:val="22"/>
          <w:szCs w:val="22"/>
          <w:u w:color="000000"/>
          <w:vertAlign w:val="superscript"/>
          <w:lang w:val="es-ES" w:eastAsia="es-ES"/>
        </w:rPr>
        <w:footnoteReference w:id="165"/>
      </w:r>
      <w:r w:rsidRPr="00A75361">
        <w:rPr>
          <w:rFonts w:ascii="Arial" w:eastAsia="Arial Unicode MS" w:hAnsi="Arial" w:cs="Arial"/>
          <w:color w:val="000000"/>
          <w:sz w:val="22"/>
          <w:szCs w:val="22"/>
          <w:u w:color="000000"/>
          <w:lang w:val="es-ES" w:eastAsia="es-ES"/>
        </w:rPr>
        <w:t>.</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El interés de las </w:t>
      </w:r>
      <w:proofErr w:type="spellStart"/>
      <w:r w:rsidRPr="00A75361">
        <w:rPr>
          <w:rFonts w:ascii="Arial" w:eastAsia="Arial Unicode MS" w:hAnsi="Arial" w:cs="Arial"/>
          <w:color w:val="000000"/>
          <w:sz w:val="22"/>
          <w:szCs w:val="22"/>
          <w:u w:color="000000"/>
          <w:lang w:val="es-ES" w:eastAsia="es-ES"/>
        </w:rPr>
        <w:t>victimas</w:t>
      </w:r>
      <w:proofErr w:type="spellEnd"/>
      <w:r w:rsidRPr="00A75361">
        <w:rPr>
          <w:rFonts w:ascii="Arial" w:eastAsia="Arial Unicode MS" w:hAnsi="Arial" w:cs="Arial"/>
          <w:color w:val="000000"/>
          <w:sz w:val="22"/>
          <w:szCs w:val="22"/>
          <w:u w:color="000000"/>
          <w:lang w:val="es-ES" w:eastAsia="es-ES"/>
        </w:rPr>
        <w:t xml:space="preserve"> para que esta obligación se cumpla a cabalidad se presenta por una necesidad de justicia que les fue negada en los procesos internos, ahora con el respaldo y sentencia favorable de un órgano internacional pueden acceder finalmente a ella, y en caso de los familiares conocer la v</w:t>
      </w:r>
      <w:r w:rsidR="006314BD">
        <w:rPr>
          <w:rFonts w:ascii="Arial" w:eastAsia="Arial Unicode MS" w:hAnsi="Arial" w:cs="Arial"/>
          <w:color w:val="000000"/>
          <w:sz w:val="22"/>
          <w:szCs w:val="22"/>
          <w:u w:color="000000"/>
          <w:lang w:val="es-ES" w:eastAsia="es-ES"/>
        </w:rPr>
        <w:t>erdad de los hechos acontecidos. E</w:t>
      </w:r>
      <w:r w:rsidRPr="00A75361">
        <w:rPr>
          <w:rFonts w:ascii="Arial" w:eastAsia="Arial Unicode MS" w:hAnsi="Arial" w:cs="Arial"/>
          <w:color w:val="000000"/>
          <w:sz w:val="22"/>
          <w:szCs w:val="22"/>
          <w:u w:color="000000"/>
          <w:lang w:val="es-ES" w:eastAsia="es-ES"/>
        </w:rPr>
        <w:t xml:space="preserve">llo da una muestra de que las personas no acuden al Sistema IDH únicamente por una pretensión económica, sino que tienen una expectativa respecto a las obligaciones que tiene un Estado frente a la protección y reconocimiento de sus derechos. Es sustancial que en el proceso de investigación y sanción a los responsables se evite poner a las víctimas en una posición de </w:t>
      </w:r>
      <w:proofErr w:type="spellStart"/>
      <w:r w:rsidRPr="00A75361">
        <w:rPr>
          <w:rFonts w:ascii="Arial" w:eastAsia="Arial Unicode MS" w:hAnsi="Arial" w:cs="Arial"/>
          <w:color w:val="000000"/>
          <w:sz w:val="22"/>
          <w:szCs w:val="22"/>
          <w:u w:color="000000"/>
          <w:lang w:val="es-ES" w:eastAsia="es-ES"/>
        </w:rPr>
        <w:t>revictimización</w:t>
      </w:r>
      <w:proofErr w:type="spellEnd"/>
      <w:r w:rsidRPr="00A75361">
        <w:rPr>
          <w:rFonts w:ascii="Arial" w:eastAsia="Arial Unicode MS" w:hAnsi="Arial" w:cs="Arial"/>
          <w:color w:val="000000"/>
          <w:sz w:val="22"/>
          <w:szCs w:val="22"/>
          <w:u w:color="000000"/>
          <w:lang w:val="es-ES" w:eastAsia="es-ES"/>
        </w:rPr>
        <w:t>, ello implica que no se repita el proceso interno en el que no se recibió respuesta</w:t>
      </w:r>
      <w:r w:rsidR="003A3C1C">
        <w:rPr>
          <w:rFonts w:ascii="Arial" w:eastAsia="Arial Unicode MS" w:hAnsi="Arial" w:cs="Arial"/>
          <w:color w:val="000000"/>
          <w:sz w:val="22"/>
          <w:szCs w:val="22"/>
          <w:u w:color="000000"/>
          <w:lang w:val="es-ES" w:eastAsia="es-ES"/>
        </w:rPr>
        <w:t>,</w:t>
      </w:r>
      <w:r w:rsidRPr="00A75361">
        <w:rPr>
          <w:rFonts w:ascii="Arial" w:eastAsia="Arial Unicode MS" w:hAnsi="Arial" w:cs="Arial"/>
          <w:color w:val="000000"/>
          <w:sz w:val="22"/>
          <w:szCs w:val="22"/>
          <w:u w:color="000000"/>
          <w:lang w:val="es-ES" w:eastAsia="es-ES"/>
        </w:rPr>
        <w:t xml:space="preserve"> sino que se priorice la participación de las víctimas en un escenario de reconocimiento previo de las violaciones producidas. En este sentido el proceso de investigación y sanción ordenado por la Corte IDH, difiere absolutamente del </w:t>
      </w:r>
      <w:r w:rsidRPr="00A75361">
        <w:rPr>
          <w:rFonts w:ascii="Arial" w:eastAsia="Arial Unicode MS" w:hAnsi="Arial" w:cs="Arial"/>
          <w:color w:val="000000"/>
          <w:sz w:val="22"/>
          <w:szCs w:val="22"/>
          <w:u w:color="000000"/>
          <w:lang w:val="es-ES" w:eastAsia="es-ES"/>
        </w:rPr>
        <w:lastRenderedPageBreak/>
        <w:t>proceso interno anterior, pues ya no se prueba la existencia del daño sino que la atención se centra en la identificación de los responsables y de ser el caso su sanción</w:t>
      </w:r>
      <w:r w:rsidR="0066208C" w:rsidRPr="00A75361">
        <w:rPr>
          <w:rFonts w:ascii="Arial" w:eastAsia="Arial Unicode MS" w:hAnsi="Arial" w:cs="Arial"/>
          <w:color w:val="000000"/>
          <w:sz w:val="22"/>
          <w:szCs w:val="22"/>
          <w:u w:color="000000"/>
          <w:lang w:val="es-ES" w:eastAsia="es-ES"/>
        </w:rPr>
        <w:t>.</w:t>
      </w:r>
      <w:r w:rsidRPr="00A75361">
        <w:rPr>
          <w:rFonts w:ascii="Arial" w:eastAsia="Arial Unicode MS" w:hAnsi="Arial" w:cs="Arial"/>
          <w:color w:val="000000"/>
          <w:sz w:val="22"/>
          <w:szCs w:val="22"/>
          <w:u w:color="000000"/>
          <w:lang w:val="es-ES" w:eastAsia="es-ES"/>
        </w:rPr>
        <w:t xml:space="preserve"> </w:t>
      </w:r>
    </w:p>
    <w:p w:rsidR="00034369" w:rsidRPr="00A75361" w:rsidRDefault="00034369" w:rsidP="00A75361">
      <w:pPr>
        <w:pStyle w:val="Sinespaciado"/>
        <w:spacing w:line="360" w:lineRule="auto"/>
        <w:jc w:val="both"/>
        <w:rPr>
          <w:rFonts w:ascii="Arial" w:eastAsia="Arial Unicode MS" w:hAnsi="Arial" w:cs="Arial"/>
          <w:color w:val="000000"/>
          <w:sz w:val="22"/>
          <w:szCs w:val="22"/>
          <w:u w:color="000000"/>
          <w:lang w:val="es-ES" w:eastAsia="es-ES"/>
        </w:rPr>
      </w:pPr>
    </w:p>
    <w:p w:rsidR="00420AE7"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Esta medida de reparación es importante además porque deja en evidencia ciertas falencias en el sistema de administración de justicia que al ser expuestas a la Corte IDH, implican los correspondientes llamados de atención que recomiendan se dé una mayor atención a problemas que se pueden venir acarreando por largo tiempo y que a falta de un observador imparcial no se corrigen. </w:t>
      </w:r>
    </w:p>
    <w:p w:rsidR="003A3C1C" w:rsidRDefault="003A3C1C" w:rsidP="00A75361">
      <w:pPr>
        <w:pStyle w:val="Sinespaciado"/>
        <w:spacing w:line="360" w:lineRule="auto"/>
        <w:jc w:val="both"/>
        <w:rPr>
          <w:rFonts w:ascii="Arial" w:eastAsia="Arial Unicode MS" w:hAnsi="Arial" w:cs="Arial"/>
          <w:color w:val="000000"/>
          <w:sz w:val="22"/>
          <w:szCs w:val="22"/>
          <w:u w:color="000000"/>
          <w:lang w:val="es-ES" w:eastAsia="es-ES"/>
        </w:rPr>
      </w:pPr>
    </w:p>
    <w:p w:rsidR="000124B9" w:rsidRDefault="000124B9" w:rsidP="00A75361">
      <w:pPr>
        <w:pStyle w:val="Sinespaciado"/>
        <w:spacing w:line="360" w:lineRule="auto"/>
        <w:jc w:val="both"/>
        <w:rPr>
          <w:rFonts w:ascii="Arial" w:eastAsia="Arial Unicode MS" w:hAnsi="Arial" w:cs="Arial"/>
          <w:color w:val="000000"/>
          <w:sz w:val="22"/>
          <w:szCs w:val="22"/>
          <w:u w:color="000000"/>
          <w:lang w:val="es-ES" w:eastAsia="es-ES"/>
        </w:rPr>
      </w:pPr>
      <w:r>
        <w:rPr>
          <w:rFonts w:ascii="Arial" w:eastAsia="Arial Unicode MS" w:hAnsi="Arial" w:cs="Arial"/>
          <w:color w:val="000000"/>
          <w:sz w:val="22"/>
          <w:szCs w:val="22"/>
          <w:u w:color="000000"/>
          <w:lang w:val="es-ES" w:eastAsia="es-ES"/>
        </w:rPr>
        <w:t>Uno de los aspectos que ha ocasionado dificultades para la ejecución de esta medida ha sido la colisión con normativa y fallos de cortes internas que determinan la prescripción de las acciones judiciales a los responsables de las violaciones. Frente a este hecho, la Corte IDH ha sido muy clara respecto a la obligación de los Estados en el cumplimiento pleno de sus fallos, en este sentido la Corte IDH ha establecido en su jurisprudencia constante que:</w:t>
      </w:r>
    </w:p>
    <w:p w:rsidR="000124B9" w:rsidRPr="003A3C1C" w:rsidRDefault="000124B9" w:rsidP="003A3C1C">
      <w:pPr>
        <w:pStyle w:val="Sinespaciado"/>
        <w:spacing w:line="360" w:lineRule="auto"/>
        <w:jc w:val="both"/>
        <w:rPr>
          <w:rFonts w:ascii="Arial" w:eastAsia="Arial Unicode MS" w:hAnsi="Arial" w:cs="Arial"/>
          <w:color w:val="000000"/>
          <w:sz w:val="22"/>
          <w:szCs w:val="22"/>
          <w:u w:color="000000"/>
          <w:lang w:val="es-ES" w:eastAsia="es-ES"/>
        </w:rPr>
      </w:pPr>
      <w:r>
        <w:rPr>
          <w:rFonts w:ascii="Arial" w:eastAsia="Arial Unicode MS" w:hAnsi="Arial" w:cs="Arial"/>
          <w:color w:val="000000"/>
          <w:sz w:val="22"/>
          <w:szCs w:val="22"/>
          <w:u w:color="000000"/>
          <w:lang w:val="es-ES" w:eastAsia="es-ES"/>
        </w:rPr>
        <w:t xml:space="preserve">  </w:t>
      </w:r>
    </w:p>
    <w:p w:rsidR="008F2951" w:rsidRDefault="000124B9" w:rsidP="003A3C1C">
      <w:pPr>
        <w:spacing w:line="276" w:lineRule="auto"/>
        <w:ind w:left="720"/>
        <w:jc w:val="both"/>
        <w:outlineLvl w:val="0"/>
        <w:rPr>
          <w:rFonts w:ascii="Arial" w:eastAsia="Arial Unicode MS" w:hAnsi="Arial"/>
          <w:sz w:val="20"/>
          <w:szCs w:val="20"/>
          <w:u w:color="000000"/>
          <w:lang w:val="es-ES_tradnl"/>
        </w:rPr>
      </w:pPr>
      <w:r>
        <w:rPr>
          <w:rFonts w:ascii="Arial" w:eastAsia="Arial Unicode MS" w:hAnsi="Arial"/>
          <w:sz w:val="20"/>
          <w:szCs w:val="20"/>
          <w:u w:color="000000"/>
          <w:lang w:val="es-ES_tradnl"/>
        </w:rPr>
        <w:t xml:space="preserve">(…) </w:t>
      </w:r>
      <w:r w:rsidR="006E0A5B" w:rsidRPr="006E0A5B">
        <w:rPr>
          <w:rFonts w:ascii="Arial" w:eastAsia="Arial Unicode MS" w:hAnsi="Arial"/>
          <w:sz w:val="20"/>
          <w:szCs w:val="20"/>
          <w:u w:color="000000"/>
          <w:lang w:val="es-ES_tradnl"/>
        </w:rPr>
        <w:t>es inadmisible la invocación de cualquier instituto de derecho interno, entre los que se encuentra la prescripción, que pretenda impedir el cumplimiento de las decisiones de la Corte en cuanto a la investigación y sanción de los responsables de las violaciones graves de los derechos humanos, en los términos de las obligaciones convencionales contraídas por los Estados. De no ser así, se negaría el efecto útil de las disposiciones de la Convención Americana en el derecho interno de los Estados Partes, y se estaría privando al</w:t>
      </w:r>
      <w:r w:rsidR="008E3771">
        <w:rPr>
          <w:rFonts w:ascii="Arial" w:eastAsia="Arial Unicode MS" w:hAnsi="Arial"/>
          <w:sz w:val="20"/>
          <w:szCs w:val="20"/>
          <w:u w:color="000000"/>
          <w:lang w:val="es-ES_tradnl"/>
        </w:rPr>
        <w:t xml:space="preserve"> </w:t>
      </w:r>
      <w:r w:rsidR="006E0A5B" w:rsidRPr="006E0A5B">
        <w:rPr>
          <w:rFonts w:ascii="Arial" w:eastAsia="Arial Unicode MS" w:hAnsi="Arial"/>
          <w:sz w:val="20"/>
          <w:szCs w:val="20"/>
          <w:u w:color="000000"/>
          <w:lang w:val="es-ES_tradnl"/>
        </w:rPr>
        <w:t>procedimiento internacional de su propósito básico, por cuanto, en vez de propiciar la justicia, traería consigo la impunidad de los responsables de la violación</w:t>
      </w:r>
      <w:r w:rsidR="006E0A5B">
        <w:rPr>
          <w:rStyle w:val="Refdenotaalpie"/>
          <w:rFonts w:ascii="Arial" w:eastAsia="Arial Unicode MS" w:hAnsi="Arial"/>
          <w:sz w:val="20"/>
          <w:szCs w:val="20"/>
          <w:u w:color="000000"/>
          <w:lang w:val="es-ES_tradnl"/>
        </w:rPr>
        <w:footnoteReference w:id="166"/>
      </w:r>
      <w:r w:rsidR="006E0A5B">
        <w:rPr>
          <w:rFonts w:ascii="Arial" w:eastAsia="Arial Unicode MS" w:hAnsi="Arial"/>
          <w:sz w:val="20"/>
          <w:szCs w:val="20"/>
          <w:u w:color="000000"/>
          <w:lang w:val="es-ES_tradnl"/>
        </w:rPr>
        <w:t>.</w:t>
      </w:r>
      <w:r w:rsidR="008F2951" w:rsidRPr="006E0A5B">
        <w:rPr>
          <w:rFonts w:ascii="Arial" w:eastAsia="Arial Unicode MS" w:hAnsi="Arial"/>
          <w:sz w:val="20"/>
          <w:szCs w:val="20"/>
          <w:u w:color="000000"/>
          <w:lang w:val="es-ES_tradnl"/>
        </w:rPr>
        <w:t xml:space="preserve">   </w:t>
      </w:r>
    </w:p>
    <w:p w:rsidR="00420AE7" w:rsidRDefault="00420AE7" w:rsidP="008E3771">
      <w:pPr>
        <w:spacing w:line="360" w:lineRule="auto"/>
        <w:ind w:left="720"/>
        <w:jc w:val="both"/>
        <w:outlineLvl w:val="0"/>
        <w:rPr>
          <w:rFonts w:ascii="Arial" w:eastAsia="Arial Unicode MS" w:hAnsi="Arial"/>
          <w:sz w:val="20"/>
          <w:szCs w:val="20"/>
          <w:u w:color="000000"/>
          <w:lang w:val="es-ES_tradnl"/>
        </w:rPr>
      </w:pPr>
    </w:p>
    <w:p w:rsidR="008F2951" w:rsidRPr="00C45A27" w:rsidRDefault="00034369" w:rsidP="00C45A27">
      <w:pPr>
        <w:pStyle w:val="Ttulo3"/>
        <w:spacing w:line="360" w:lineRule="auto"/>
        <w:ind w:left="720" w:hanging="720"/>
        <w:jc w:val="both"/>
        <w:rPr>
          <w:rFonts w:ascii="Arial" w:eastAsia="Arial Unicode MS" w:hAnsi="Arial"/>
          <w:color w:val="auto"/>
          <w:sz w:val="22"/>
          <w:u w:color="000000"/>
          <w:lang w:val="es-ES_tradnl"/>
        </w:rPr>
      </w:pPr>
      <w:bookmarkStart w:id="30" w:name="_Toc356432267"/>
      <w:r w:rsidRPr="00C45A27">
        <w:rPr>
          <w:rFonts w:ascii="Arial" w:eastAsia="Arial Unicode MS" w:hAnsi="Arial"/>
          <w:color w:val="auto"/>
          <w:sz w:val="22"/>
          <w:u w:color="000000"/>
          <w:lang w:val="es-ES_tradnl"/>
        </w:rPr>
        <w:t>3.1.3.</w:t>
      </w:r>
      <w:r w:rsidRPr="00C45A27">
        <w:rPr>
          <w:rFonts w:ascii="Arial" w:eastAsia="Arial Unicode MS" w:hAnsi="Arial"/>
          <w:color w:val="auto"/>
          <w:sz w:val="22"/>
          <w:u w:color="000000"/>
          <w:lang w:val="es-ES_tradnl"/>
        </w:rPr>
        <w:tab/>
      </w:r>
      <w:r w:rsidR="00E917DE" w:rsidRPr="00C45A27">
        <w:rPr>
          <w:rFonts w:ascii="Arial" w:eastAsia="Arial Unicode MS" w:hAnsi="Arial"/>
          <w:color w:val="auto"/>
          <w:sz w:val="22"/>
          <w:u w:color="000000"/>
          <w:lang w:val="es-ES_tradnl"/>
        </w:rPr>
        <w:t>Implementación de programas de educación en derechos  humanos a miembros de la fuerza pública y funcionarios públicos</w:t>
      </w:r>
      <w:bookmarkEnd w:id="30"/>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Una de las medidas de reparación ordenada por la Corte IDH que busca evitar la repetición de las violaciones es la capacitación en derechos humanos a funcionarios y miembros de la fuerza pública, se incluye también a guardias penitenciarios quienes deben garantizar los derechos de las personas privadas de su libertad. Esta medida tiene gran relevancia pues procura un mejoramiento sustancial y permanente de todas las instituciones del Estado en la protección de derechos humanos.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901C67"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lastRenderedPageBreak/>
        <w:t>Dentro de la fuerza pública se han cometido excesos que acarrean la responsabilidad internacional de los Estados, si bien a la fuerza públi</w:t>
      </w:r>
      <w:r w:rsidR="00901C67">
        <w:rPr>
          <w:rFonts w:ascii="Arial" w:eastAsia="Arial Unicode MS" w:hAnsi="Arial" w:cs="Arial"/>
          <w:sz w:val="22"/>
          <w:szCs w:val="22"/>
          <w:u w:color="000000"/>
          <w:lang w:val="es-ES_tradnl"/>
        </w:rPr>
        <w:t>ca se le permite cierta coerción</w:t>
      </w:r>
      <w:r w:rsidRPr="00A75361">
        <w:rPr>
          <w:rFonts w:ascii="Arial" w:eastAsia="Arial Unicode MS" w:hAnsi="Arial" w:cs="Arial"/>
          <w:sz w:val="22"/>
          <w:szCs w:val="22"/>
          <w:u w:color="000000"/>
          <w:lang w:val="es-ES_tradnl"/>
        </w:rPr>
        <w:t xml:space="preserve"> para hacer cumplir las normas, existen límites perfectamente señalados, principalmente el límite del respeto a los derechos humanos impide que esta fuerza se desborde y termine provocando más daño del que pretende evitar. Que los miembros de la fuerza pública conozcan los límites de su actuación es un primer paso pues son ellos en primera instancia los llamados a garantizar el ejercicio de los derechos de los particulares. La educación en derechos humanos debe exigirse a todos los aspirantes a miembros de la fuerza pública, y debe complementarse con permanentes cursos de actualización. </w:t>
      </w:r>
    </w:p>
    <w:p w:rsidR="00901C67" w:rsidRDefault="00901C67"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En cuanto a los funcionarios públicos en general, la implementación de cursos y seminarios aplicados a sus actividades cotidianas generan un entorno de confianza y seguridad en la población, permite además una exigencia legítima del actuar de las autoridades en el marco de la vigencia de los derechos humanos. Es fundamental por otro lado un amplio conocimiento de los derechos humanos en la función judicial, es importante que durante los procesos judiciales se mantenga una permanente vigilancia de los derechos humanos y se alerte de forma inmediata y preventiva sobre una eventual violación, es necesario que todos los actores del sistema de justicia tengan conocimiento pleno de las normas constitucionales especialmente de aquellas donde se disponen las garantías a los derechos humanos.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Cuando la C</w:t>
      </w:r>
      <w:r w:rsidR="00901C67">
        <w:rPr>
          <w:rFonts w:ascii="Arial" w:eastAsia="Arial Unicode MS" w:hAnsi="Arial" w:cs="Arial"/>
          <w:sz w:val="22"/>
          <w:szCs w:val="22"/>
          <w:u w:color="000000"/>
          <w:lang w:val="es-ES_tradnl"/>
        </w:rPr>
        <w:t>orte IDH dispone programas de educación en derechos humanos a miembros de la fuerza pública y funcionarios</w:t>
      </w:r>
      <w:r w:rsidRPr="00A75361">
        <w:rPr>
          <w:rFonts w:ascii="Arial" w:eastAsia="Arial Unicode MS" w:hAnsi="Arial" w:cs="Arial"/>
          <w:sz w:val="22"/>
          <w:szCs w:val="22"/>
          <w:u w:color="000000"/>
          <w:lang w:val="es-ES_tradnl"/>
        </w:rPr>
        <w:t>, el incumplimiento no se da precisamente por una total falta de ejecución, en general se trata de cumplir, el principal problema es que no se lo realiza con los estándares internacionales que la Corte ordena por lo tanto no se puede declarar un cumplimiento pleno al respecto. Así como todas las medidas, esta depende en gran parte de la voluntad política del Estado ya que tiene efectos generales y permanentes. Este tipo de medidas requiere verdaderos planes a nivel nacional, la obligación no se cumple con una charla o taller eventual sobre el tema, se requiere la implementación de programas de estudio en condiciones académicas de calidad, infraestructura, docentes capacitados, evaluaciones y la observación constante de la puesta en práctica de los conoc</w:t>
      </w:r>
      <w:r w:rsidR="00F86EA9">
        <w:rPr>
          <w:rFonts w:ascii="Arial" w:eastAsia="Arial Unicode MS" w:hAnsi="Arial" w:cs="Arial"/>
          <w:sz w:val="22"/>
          <w:szCs w:val="22"/>
          <w:u w:color="000000"/>
          <w:lang w:val="es-ES_tradnl"/>
        </w:rPr>
        <w:t>imientos.</w:t>
      </w:r>
      <w:r w:rsidRPr="00A75361">
        <w:rPr>
          <w:rFonts w:ascii="Arial" w:eastAsia="Arial Unicode MS" w:hAnsi="Arial" w:cs="Arial"/>
          <w:sz w:val="22"/>
          <w:szCs w:val="22"/>
          <w:u w:color="000000"/>
          <w:lang w:val="es-ES_tradnl"/>
        </w:rPr>
        <w:t xml:space="preserve"> </w:t>
      </w:r>
      <w:r w:rsidR="00F86EA9" w:rsidRPr="00A75361">
        <w:rPr>
          <w:rFonts w:ascii="Arial" w:eastAsia="Arial Unicode MS" w:hAnsi="Arial" w:cs="Arial"/>
          <w:sz w:val="22"/>
          <w:szCs w:val="22"/>
          <w:u w:color="000000"/>
          <w:lang w:val="es-ES_tradnl"/>
        </w:rPr>
        <w:t>Muchas</w:t>
      </w:r>
      <w:r w:rsidRPr="00A75361">
        <w:rPr>
          <w:rFonts w:ascii="Arial" w:eastAsia="Arial Unicode MS" w:hAnsi="Arial" w:cs="Arial"/>
          <w:sz w:val="22"/>
          <w:szCs w:val="22"/>
          <w:u w:color="000000"/>
          <w:lang w:val="es-ES_tradnl"/>
        </w:rPr>
        <w:t xml:space="preserve"> veces si bien existe interés por parte de funcionarios y miembros de la fuerza pública, las condiciones en que se imparten dichas capacitaciones obstaculizan el logro de los objetivos que se persiguen.</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lastRenderedPageBreak/>
        <w:t xml:space="preserve">Las capacitaciones deben incluir contenidos en derechos humanos y garantías para su ejercicio además de las obligaciones que cada funcionario o miembro de la fuerza pública tiene en este sentido, además es de trascendental importancia que se impartan conocimientos sobre el Sistema IDH, ello permite una mayor difusión sobre el papel de los órganos internacionales que protegen los derechos humanos además de un mejoramiento en las relaciones con estos sobre todo cuando se presentan procesos de ejecución de sentencias, de este modo se comprenderá de mejor manera sobre el porqué de las diferentes medidas ordenadas y el cómo ejecutarlas para lograr una reparación integral. La implementación correcta de esta medida, funciona como eje transversal para la ejecución de las demás reparaciones, mejora además la relación entre el Estado y las victimas durante el cumplimiento de las sentencias y evita una </w:t>
      </w:r>
      <w:proofErr w:type="spellStart"/>
      <w:r w:rsidRPr="00A75361">
        <w:rPr>
          <w:rFonts w:ascii="Arial" w:eastAsia="Arial Unicode MS" w:hAnsi="Arial" w:cs="Arial"/>
          <w:sz w:val="22"/>
          <w:szCs w:val="22"/>
          <w:u w:color="000000"/>
          <w:lang w:val="es-ES_tradnl"/>
        </w:rPr>
        <w:t>revictimización</w:t>
      </w:r>
      <w:proofErr w:type="spellEnd"/>
      <w:r w:rsidRPr="00A75361">
        <w:rPr>
          <w:rFonts w:ascii="Arial" w:eastAsia="Arial Unicode MS" w:hAnsi="Arial" w:cs="Arial"/>
          <w:sz w:val="22"/>
          <w:szCs w:val="22"/>
          <w:u w:color="000000"/>
          <w:lang w:val="es-ES_tradnl"/>
        </w:rPr>
        <w:t xml:space="preserve">.  </w:t>
      </w:r>
    </w:p>
    <w:p w:rsidR="006314BD"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importancia de la implementación de esta medida en la función legislativa no es menor pues faculta a los legisladores y asesores a detectar normas que podrían vulnerar derechos y permite reconocer vacíos dentro del marco de la protección a los derechos para promulgar leyes que constituyan progresos en la materia, así mismo facilita los procesos de reforma o derogación de normas cuando son ordenados por la Corte IDH.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Corte IDH ha incluido esta medida de reparación especialmente cuando se han visto involucrados en las violaciones de derechos humanos miembros de la fuerza pública, por ejemplo en el caso de la Masacre de la Rochela vs. Colombia la Corte señaló que,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6314BD" w:rsidRDefault="008F2951" w:rsidP="00F86EA9">
      <w:pPr>
        <w:pStyle w:val="Sinespaciado"/>
        <w:spacing w:line="276" w:lineRule="auto"/>
        <w:ind w:left="720"/>
        <w:jc w:val="both"/>
        <w:rPr>
          <w:rFonts w:ascii="Arial" w:eastAsia="Arial Unicode MS" w:hAnsi="Arial" w:cs="Arial"/>
          <w:sz w:val="20"/>
          <w:szCs w:val="20"/>
          <w:u w:color="000000"/>
          <w:lang w:val="es-ES_tradnl"/>
        </w:rPr>
      </w:pPr>
      <w:r w:rsidRPr="006314BD">
        <w:rPr>
          <w:rFonts w:ascii="Arial" w:eastAsia="Arial Unicode MS" w:hAnsi="Arial" w:cs="Arial"/>
          <w:sz w:val="20"/>
          <w:szCs w:val="20"/>
          <w:u w:color="000000"/>
          <w:lang w:val="es-ES_tradnl"/>
        </w:rPr>
        <w:t>Tomando en consideración que la masacre de La Rochela fue perpetrada por paramilitares con la participación de agentes estatales, en violación de normas imperativas del Derecho Internacional, el Estado deberá adoptar medidas tendientes a formar y capacitar a los miembros de sus cuerpos armados y de sus organismos de seguridad sobre los principios y normas de protección de los derechos humanos y del derecho internacional humanitario y sobre los límites a los que deben estar sometidos. Para ello, el Estado deberá continuar implementando y, en su caso, desarrollar, en un plazo razonable, programas permanentes de educación en derechos humanos dentro de las fuerzas armadas colombianas, en los que deberá hacer especial mención a la presente Sentencia y garantizar su implementación efectiva</w:t>
      </w:r>
      <w:r w:rsidRPr="006314BD">
        <w:rPr>
          <w:rFonts w:ascii="Arial" w:eastAsia="Arial Unicode MS" w:hAnsi="Arial" w:cs="Arial"/>
          <w:sz w:val="20"/>
          <w:szCs w:val="20"/>
          <w:u w:color="000000"/>
          <w:vertAlign w:val="superscript"/>
          <w:lang w:val="es-ES_tradnl"/>
        </w:rPr>
        <w:footnoteReference w:id="167"/>
      </w:r>
      <w:r w:rsidRPr="006314BD">
        <w:rPr>
          <w:rFonts w:ascii="Arial" w:eastAsia="Arial Unicode MS" w:hAnsi="Arial" w:cs="Arial"/>
          <w:sz w:val="20"/>
          <w:szCs w:val="20"/>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6314BD"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Sobre esta medida en particular en este caso, la Corte IDH en la resolución de supervisión de cumplimiento de 26 d</w:t>
      </w:r>
      <w:r w:rsidR="006314BD">
        <w:rPr>
          <w:rFonts w:ascii="Arial" w:eastAsia="Arial Unicode MS" w:hAnsi="Arial" w:cs="Arial"/>
          <w:sz w:val="22"/>
          <w:szCs w:val="22"/>
          <w:u w:color="000000"/>
          <w:lang w:val="es-ES_tradnl"/>
        </w:rPr>
        <w:t>e agosto de 2010, declaró que el</w:t>
      </w:r>
      <w:r w:rsidRPr="00A75361">
        <w:rPr>
          <w:rFonts w:ascii="Arial" w:eastAsia="Arial Unicode MS" w:hAnsi="Arial" w:cs="Arial"/>
          <w:sz w:val="22"/>
          <w:szCs w:val="22"/>
          <w:u w:color="000000"/>
          <w:lang w:val="es-ES_tradnl"/>
        </w:rPr>
        <w:t xml:space="preserve"> Estado ha dado cumplimiento total a la obligación de capacitar en derechos humanos a los miembros de las fuerzas armadas colombianas. Sin embargo</w:t>
      </w:r>
      <w:r w:rsidR="006314BD">
        <w:rPr>
          <w:rFonts w:ascii="Arial" w:eastAsia="Arial Unicode MS" w:hAnsi="Arial" w:cs="Arial"/>
          <w:sz w:val="22"/>
          <w:szCs w:val="22"/>
          <w:u w:color="000000"/>
          <w:lang w:val="es-ES_tradnl"/>
        </w:rPr>
        <w:t>,</w:t>
      </w:r>
      <w:r w:rsidRPr="00A75361">
        <w:rPr>
          <w:rFonts w:ascii="Arial" w:eastAsia="Arial Unicode MS" w:hAnsi="Arial" w:cs="Arial"/>
          <w:sz w:val="22"/>
          <w:szCs w:val="22"/>
          <w:u w:color="000000"/>
          <w:lang w:val="es-ES_tradnl"/>
        </w:rPr>
        <w:t xml:space="preserve"> este caso tiene una particularidad que </w:t>
      </w:r>
      <w:r w:rsidRPr="00A75361">
        <w:rPr>
          <w:rFonts w:ascii="Arial" w:eastAsia="Arial Unicode MS" w:hAnsi="Arial" w:cs="Arial"/>
          <w:sz w:val="22"/>
          <w:szCs w:val="22"/>
          <w:u w:color="000000"/>
          <w:lang w:val="es-ES_tradnl"/>
        </w:rPr>
        <w:lastRenderedPageBreak/>
        <w:t xml:space="preserve">hay que notar, en los respectivos informes que el Estado de Colombia envió a la Corte IDH sobre el cumplimiento de esta medida, manifestó que al haberse ordenado en casos anteriores como la Masacre de </w:t>
      </w:r>
      <w:proofErr w:type="spellStart"/>
      <w:r w:rsidRPr="00A75361">
        <w:rPr>
          <w:rFonts w:ascii="Arial" w:eastAsia="Arial Unicode MS" w:hAnsi="Arial" w:cs="Arial"/>
          <w:sz w:val="22"/>
          <w:szCs w:val="22"/>
          <w:u w:color="000000"/>
          <w:lang w:val="es-ES_tradnl"/>
        </w:rPr>
        <w:t>Mapiripán</w:t>
      </w:r>
      <w:proofErr w:type="spellEnd"/>
      <w:r w:rsidRPr="00A75361">
        <w:rPr>
          <w:rFonts w:ascii="Arial" w:eastAsia="Arial Unicode MS" w:hAnsi="Arial" w:cs="Arial"/>
          <w:sz w:val="22"/>
          <w:szCs w:val="22"/>
          <w:u w:color="000000"/>
          <w:lang w:val="es-ES_tradnl"/>
        </w:rPr>
        <w:t xml:space="preserve"> y la Masacre de </w:t>
      </w:r>
      <w:proofErr w:type="spellStart"/>
      <w:r w:rsidRPr="00A75361">
        <w:rPr>
          <w:rFonts w:ascii="Arial" w:eastAsia="Arial Unicode MS" w:hAnsi="Arial" w:cs="Arial"/>
          <w:sz w:val="22"/>
          <w:szCs w:val="22"/>
          <w:u w:color="000000"/>
          <w:lang w:val="es-ES_tradnl"/>
        </w:rPr>
        <w:t>Ituangó</w:t>
      </w:r>
      <w:proofErr w:type="spellEnd"/>
      <w:r w:rsidRPr="00A75361">
        <w:rPr>
          <w:rFonts w:ascii="Arial" w:eastAsia="Arial Unicode MS" w:hAnsi="Arial" w:cs="Arial"/>
          <w:sz w:val="22"/>
          <w:szCs w:val="22"/>
          <w:u w:color="000000"/>
          <w:lang w:val="es-ES_tradnl"/>
        </w:rPr>
        <w:t xml:space="preserve"> medidas similares y al ser estas de carácter permanente, se está dando cumplimiento a la medida en este caso en particular ya que la Corte en su oportunidad había declarado el cumplimiento total de esta obligación</w:t>
      </w:r>
      <w:r w:rsidR="002F1251" w:rsidRPr="00A75361">
        <w:rPr>
          <w:rFonts w:ascii="Arial" w:eastAsia="Arial Unicode MS" w:hAnsi="Arial" w:cs="Arial"/>
          <w:sz w:val="22"/>
          <w:szCs w:val="22"/>
          <w:u w:color="000000"/>
          <w:vertAlign w:val="superscript"/>
          <w:lang w:val="es-ES_tradnl"/>
        </w:rPr>
        <w:footnoteReference w:id="168"/>
      </w:r>
      <w:r w:rsidRPr="00A75361">
        <w:rPr>
          <w:rFonts w:ascii="Arial" w:eastAsia="Arial Unicode MS" w:hAnsi="Arial" w:cs="Arial"/>
          <w:sz w:val="22"/>
          <w:szCs w:val="22"/>
          <w:u w:color="000000"/>
          <w:lang w:val="es-ES_tradnl"/>
        </w:rPr>
        <w:t xml:space="preserve">. </w:t>
      </w:r>
    </w:p>
    <w:p w:rsidR="006314BD" w:rsidRDefault="006314BD"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Si bien es lógico que esta medida por su carácter de permanente se está llevando a cabo y parecería innecesario que la Corte ordene su cumplimiento e</w:t>
      </w:r>
      <w:r w:rsidR="006314BD">
        <w:rPr>
          <w:rFonts w:ascii="Arial" w:eastAsia="Arial Unicode MS" w:hAnsi="Arial" w:cs="Arial"/>
          <w:sz w:val="22"/>
          <w:szCs w:val="22"/>
          <w:u w:color="000000"/>
          <w:lang w:val="es-ES_tradnl"/>
        </w:rPr>
        <w:t>n este caso, si debió realizar</w:t>
      </w:r>
      <w:r w:rsidRPr="00A75361">
        <w:rPr>
          <w:rFonts w:ascii="Arial" w:eastAsia="Arial Unicode MS" w:hAnsi="Arial" w:cs="Arial"/>
          <w:sz w:val="22"/>
          <w:szCs w:val="22"/>
          <w:u w:color="000000"/>
          <w:lang w:val="es-ES_tradnl"/>
        </w:rPr>
        <w:t xml:space="preserve"> una evaluación sobre la implementación de esta medida. Hay que tomar en cuenta que su objetivo es que los hechos no se vuelvan a repetir, sin embargo el presente caso es evidencia de que tal objetivo no se está cumpliendo.</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La implementación de medidas como esta también lleva a las autoridades del Estado a considerar la existencia de falencias en el actuar de la fuerza pública. En ciertos casos la Corte IDH ordena medidas de capacitación a miembros de la fuerza pública de una localidad específica del Estado, por ejemplo en el caso Torres </w:t>
      </w:r>
      <w:proofErr w:type="spellStart"/>
      <w:r w:rsidRPr="00A75361">
        <w:rPr>
          <w:rFonts w:ascii="Arial" w:eastAsia="Arial Unicode MS" w:hAnsi="Arial" w:cs="Arial"/>
          <w:color w:val="000000"/>
          <w:sz w:val="22"/>
          <w:szCs w:val="22"/>
          <w:u w:color="000000"/>
          <w:lang w:val="es-ES" w:eastAsia="es-ES"/>
        </w:rPr>
        <w:t>Millacura</w:t>
      </w:r>
      <w:proofErr w:type="spellEnd"/>
      <w:r w:rsidRPr="00A75361">
        <w:rPr>
          <w:rFonts w:ascii="Arial" w:eastAsia="Arial Unicode MS" w:hAnsi="Arial" w:cs="Arial"/>
          <w:color w:val="000000"/>
          <w:sz w:val="22"/>
          <w:szCs w:val="22"/>
          <w:u w:color="000000"/>
          <w:lang w:val="es-ES" w:eastAsia="es-ES"/>
        </w:rPr>
        <w:t xml:space="preserve"> vs. Argentina. La Corte IDH ordenó que se fortalezcan las capacidades institucionales del personal policial de la Provincia del Chubut mediante su capacitación sobre los principios y normas de protección de los derechos humanos, incluyendo los derechos a la vida, a la integridad personal y a la libertad de las personas, así como sobre los límites a los que se encuentran sometidos al detener a una persona, ello en consideración de que en la provincia de Chubut se cometían de manera frecuente abusos policiales como los que sufrió la víctima, esto con el fin de garantizar la no repetición de las violaciones a los derechos humanos</w:t>
      </w:r>
      <w:r w:rsidRPr="00A75361">
        <w:rPr>
          <w:rFonts w:ascii="Arial" w:eastAsia="Arial Unicode MS" w:hAnsi="Arial" w:cs="Arial"/>
          <w:color w:val="000000"/>
          <w:sz w:val="22"/>
          <w:szCs w:val="22"/>
          <w:vertAlign w:val="superscript"/>
          <w:lang w:val="es-ES" w:eastAsia="es-ES"/>
        </w:rPr>
        <w:footnoteReference w:id="169"/>
      </w:r>
      <w:r w:rsidRPr="00A75361">
        <w:rPr>
          <w:rFonts w:ascii="Arial" w:eastAsia="Arial Unicode MS" w:hAnsi="Arial" w:cs="Arial"/>
          <w:color w:val="000000"/>
          <w:sz w:val="22"/>
          <w:szCs w:val="22"/>
          <w:u w:color="000000"/>
          <w:lang w:val="es-ES" w:eastAsia="es-ES"/>
        </w:rPr>
        <w:t>.</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Si bien uno de los principales objetivos de los órganos que conforman el Sistema IDH es la protección de los derechos humanos, no debe convertirse el llamado de atención de los mencionados órganos a los Estados responsables en la única vía para poner en evidencia sus falencias legales e institucionales en la materia. Las medidas que ordena la Corte </w:t>
      </w:r>
      <w:r w:rsidR="00F86EA9" w:rsidRPr="00A75361">
        <w:rPr>
          <w:rFonts w:ascii="Arial" w:eastAsia="Arial Unicode MS" w:hAnsi="Arial" w:cs="Arial"/>
          <w:sz w:val="22"/>
          <w:szCs w:val="22"/>
          <w:u w:color="000000"/>
          <w:lang w:val="es-ES_tradnl"/>
        </w:rPr>
        <w:t>IDH</w:t>
      </w:r>
      <w:r w:rsidR="00F86EA9" w:rsidRPr="00A75361">
        <w:rPr>
          <w:rFonts w:ascii="Arial" w:eastAsia="Arial Unicode MS" w:hAnsi="Arial" w:cs="Arial"/>
          <w:color w:val="000000"/>
          <w:sz w:val="22"/>
          <w:szCs w:val="22"/>
          <w:u w:color="000000"/>
          <w:lang w:val="es-ES" w:eastAsia="es-ES"/>
        </w:rPr>
        <w:t xml:space="preserve"> </w:t>
      </w:r>
      <w:r w:rsidRPr="00A75361">
        <w:rPr>
          <w:rFonts w:ascii="Arial" w:eastAsia="Arial Unicode MS" w:hAnsi="Arial" w:cs="Arial"/>
          <w:color w:val="000000"/>
          <w:sz w:val="22"/>
          <w:szCs w:val="22"/>
          <w:u w:color="000000"/>
          <w:lang w:val="es-ES" w:eastAsia="es-ES"/>
        </w:rPr>
        <w:t xml:space="preserve">deben producir efectos profundos en los Estados, no quedarse únicamente en la satisfacción de las </w:t>
      </w:r>
      <w:proofErr w:type="spellStart"/>
      <w:r w:rsidRPr="00A75361">
        <w:rPr>
          <w:rFonts w:ascii="Arial" w:eastAsia="Arial Unicode MS" w:hAnsi="Arial" w:cs="Arial"/>
          <w:color w:val="000000"/>
          <w:sz w:val="22"/>
          <w:szCs w:val="22"/>
          <w:u w:color="000000"/>
          <w:lang w:val="es-ES" w:eastAsia="es-ES"/>
        </w:rPr>
        <w:t>victimas</w:t>
      </w:r>
      <w:proofErr w:type="spellEnd"/>
      <w:r w:rsidRPr="00A75361">
        <w:rPr>
          <w:rFonts w:ascii="Arial" w:eastAsia="Arial Unicode MS" w:hAnsi="Arial" w:cs="Arial"/>
          <w:color w:val="000000"/>
          <w:sz w:val="22"/>
          <w:szCs w:val="22"/>
          <w:u w:color="000000"/>
          <w:lang w:val="es-ES" w:eastAsia="es-ES"/>
        </w:rPr>
        <w:t xml:space="preserve"> en particular sino que en ocasión a la determinación de </w:t>
      </w:r>
      <w:r w:rsidRPr="00A75361">
        <w:rPr>
          <w:rFonts w:ascii="Arial" w:eastAsia="Arial Unicode MS" w:hAnsi="Arial" w:cs="Arial"/>
          <w:color w:val="000000"/>
          <w:sz w:val="22"/>
          <w:szCs w:val="22"/>
          <w:u w:color="000000"/>
          <w:lang w:val="es-ES" w:eastAsia="es-ES"/>
        </w:rPr>
        <w:lastRenderedPageBreak/>
        <w:t xml:space="preserve">responsabilidad internacional, hacer un examen exhaustivo </w:t>
      </w:r>
      <w:r w:rsidR="00F86EA9">
        <w:rPr>
          <w:rFonts w:ascii="Arial" w:eastAsia="Arial Unicode MS" w:hAnsi="Arial" w:cs="Arial"/>
          <w:color w:val="000000"/>
          <w:sz w:val="22"/>
          <w:szCs w:val="22"/>
          <w:u w:color="000000"/>
          <w:lang w:val="es-ES" w:eastAsia="es-ES"/>
        </w:rPr>
        <w:t xml:space="preserve">de </w:t>
      </w:r>
      <w:r w:rsidRPr="00A75361">
        <w:rPr>
          <w:rFonts w:ascii="Arial" w:eastAsia="Arial Unicode MS" w:hAnsi="Arial" w:cs="Arial"/>
          <w:color w:val="000000"/>
          <w:sz w:val="22"/>
          <w:szCs w:val="22"/>
          <w:u w:color="000000"/>
          <w:lang w:val="es-ES" w:eastAsia="es-ES"/>
        </w:rPr>
        <w:t xml:space="preserve">su entorno institucional frente a  los derechos humanos, determinar tanto falencias como avances e implementar políticas de estado para promover su desarrollo.     </w:t>
      </w:r>
    </w:p>
    <w:p w:rsidR="008F2951" w:rsidRPr="008F2951" w:rsidRDefault="008F2951" w:rsidP="008F2951">
      <w:pPr>
        <w:spacing w:before="20" w:line="360" w:lineRule="auto"/>
        <w:jc w:val="both"/>
        <w:rPr>
          <w:rFonts w:ascii="Arial" w:eastAsia="Arial Unicode MS" w:hAnsi="Arial"/>
          <w:color w:val="000000"/>
          <w:sz w:val="22"/>
          <w:szCs w:val="20"/>
          <w:u w:color="000000"/>
          <w:lang w:val="es-ES" w:eastAsia="es-ES"/>
        </w:rPr>
      </w:pPr>
      <w:r w:rsidRPr="008F2951">
        <w:rPr>
          <w:rFonts w:ascii="Arial" w:eastAsia="Arial Unicode MS" w:hAnsi="Arial"/>
          <w:color w:val="000000"/>
          <w:sz w:val="22"/>
          <w:szCs w:val="20"/>
          <w:u w:color="000000"/>
          <w:lang w:val="es-ES" w:eastAsia="es-ES"/>
        </w:rPr>
        <w:t xml:space="preserve"> </w:t>
      </w:r>
    </w:p>
    <w:p w:rsidR="008F2951" w:rsidRPr="00C45A27" w:rsidRDefault="00895FCF" w:rsidP="00C45A27">
      <w:pPr>
        <w:pStyle w:val="Ttulo2"/>
        <w:spacing w:line="360" w:lineRule="auto"/>
        <w:ind w:left="720" w:hanging="720"/>
        <w:rPr>
          <w:rFonts w:ascii="Arial" w:eastAsia="Arial Unicode MS" w:hAnsi="Arial"/>
          <w:color w:val="auto"/>
          <w:sz w:val="24"/>
          <w:szCs w:val="24"/>
          <w:u w:color="000000"/>
          <w:lang w:val="es-ES_tradnl"/>
        </w:rPr>
      </w:pPr>
      <w:bookmarkStart w:id="31" w:name="_Toc356432268"/>
      <w:r w:rsidRPr="00C45A27">
        <w:rPr>
          <w:rFonts w:ascii="Arial" w:eastAsia="Arial Unicode MS" w:hAnsi="Arial"/>
          <w:color w:val="auto"/>
          <w:sz w:val="24"/>
          <w:szCs w:val="24"/>
          <w:u w:color="000000"/>
          <w:lang w:val="es-ES_tradnl"/>
        </w:rPr>
        <w:t>3.2.</w:t>
      </w:r>
      <w:r w:rsidRPr="00C45A27">
        <w:rPr>
          <w:rFonts w:ascii="Arial" w:eastAsia="Arial Unicode MS" w:hAnsi="Arial"/>
          <w:color w:val="auto"/>
          <w:sz w:val="24"/>
          <w:szCs w:val="24"/>
          <w:u w:color="000000"/>
          <w:lang w:val="es-ES_tradnl"/>
        </w:rPr>
        <w:tab/>
      </w:r>
      <w:r w:rsidR="00E917DE" w:rsidRPr="00C45A27">
        <w:rPr>
          <w:rFonts w:ascii="Arial" w:eastAsia="Arial Unicode MS" w:hAnsi="Arial"/>
          <w:color w:val="auto"/>
          <w:sz w:val="24"/>
          <w:szCs w:val="24"/>
          <w:u w:color="000000"/>
          <w:lang w:val="es-ES_tradnl"/>
        </w:rPr>
        <w:t>La normativa interna de los Estados responsables frente a las disposiciones de la Corte IDH</w:t>
      </w:r>
      <w:bookmarkEnd w:id="31"/>
    </w:p>
    <w:p w:rsidR="008F2951" w:rsidRPr="008F2951" w:rsidRDefault="008F2951" w:rsidP="008F2951">
      <w:pPr>
        <w:spacing w:line="360" w:lineRule="auto"/>
        <w:jc w:val="both"/>
        <w:outlineLvl w:val="0"/>
        <w:rPr>
          <w:rFonts w:ascii="Arial" w:eastAsia="Arial Unicode MS" w:hAnsi="Arial"/>
          <w:sz w:val="22"/>
          <w:u w:color="000000"/>
          <w:lang w:val="es-ES_tradnl"/>
        </w:rPr>
      </w:pPr>
      <w:r w:rsidRPr="008F2951">
        <w:rPr>
          <w:rFonts w:ascii="Arial" w:eastAsia="Arial Unicode MS" w:hAnsi="Arial"/>
          <w:sz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En cuanto a la normativa interna de los Estados responsables con respecto a las disposiciones de la Corte IDH se pueden presentar varias dificultades sobre todo al momento de ejecutar las medidas de reparación correspondientes.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La Convención Americana sobre Derechos Humanos al respecto señala en el artículo 2 que:</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C37DB3" w:rsidRDefault="008F2951" w:rsidP="00DF72EE">
      <w:pPr>
        <w:pStyle w:val="Sinespaciado"/>
        <w:spacing w:line="276" w:lineRule="auto"/>
        <w:ind w:left="720"/>
        <w:jc w:val="both"/>
        <w:rPr>
          <w:rFonts w:ascii="Arial" w:eastAsia="Arial Unicode MS" w:hAnsi="Arial" w:cs="Arial"/>
          <w:sz w:val="20"/>
          <w:szCs w:val="20"/>
          <w:u w:color="000000"/>
          <w:lang w:val="es-ES_tradnl"/>
        </w:rPr>
      </w:pPr>
      <w:r w:rsidRPr="00C37DB3">
        <w:rPr>
          <w:rFonts w:ascii="Arial" w:eastAsia="Arial Unicode MS" w:hAnsi="Arial" w:cs="Arial"/>
          <w:sz w:val="20"/>
          <w:szCs w:val="20"/>
          <w:u w:color="000000"/>
          <w:lang w:val="es-ES_tradnl"/>
        </w:rPr>
        <w:t>Si el ejercicio de los derechos y libertades mencionados en el artículo 1 no estuviere ya garantizado por disposiciones legislativas o de otro carácter, los Estados Partes se comprometen a adoptar, con arreglo a sus procedimientos constitucionales y a las disposiciones de esta Convención, las medidas legislativas o de otro carácter que fueren necesarias para hacer efectivos tales derechos y libertades</w:t>
      </w:r>
      <w:r w:rsidRPr="00C37DB3">
        <w:rPr>
          <w:rFonts w:ascii="Arial" w:eastAsia="Arial Unicode MS" w:hAnsi="Arial" w:cs="Arial"/>
          <w:sz w:val="20"/>
          <w:szCs w:val="20"/>
          <w:u w:color="000000"/>
          <w:vertAlign w:val="superscript"/>
          <w:lang w:val="es-ES_tradnl"/>
        </w:rPr>
        <w:footnoteReference w:id="170"/>
      </w:r>
      <w:r w:rsidRPr="00C37DB3">
        <w:rPr>
          <w:rFonts w:ascii="Arial" w:eastAsia="Arial Unicode MS" w:hAnsi="Arial" w:cs="Arial"/>
          <w:sz w:val="20"/>
          <w:szCs w:val="20"/>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Los Estados suscriptores, tienen la obligación internacional de adecuar sus normativas internas para garantizar el libre y pleno ejercicio de los derechos y libertades establecidos en la Convención a toda persona que esté sujeta a su jurisdicción. En caso de conflicto</w:t>
      </w:r>
      <w:r w:rsidR="00DF72EE">
        <w:rPr>
          <w:rFonts w:ascii="Arial" w:eastAsia="Arial Unicode MS" w:hAnsi="Arial" w:cs="Arial"/>
          <w:sz w:val="22"/>
          <w:szCs w:val="22"/>
          <w:u w:color="000000"/>
          <w:lang w:val="es-ES_tradnl"/>
        </w:rPr>
        <w:t xml:space="preserve"> </w:t>
      </w:r>
      <w:r w:rsidRPr="00A75361">
        <w:rPr>
          <w:rFonts w:ascii="Arial" w:eastAsia="Arial Unicode MS" w:hAnsi="Arial" w:cs="Arial"/>
          <w:sz w:val="22"/>
          <w:szCs w:val="22"/>
          <w:u w:color="000000"/>
          <w:lang w:val="es-ES_tradnl"/>
        </w:rPr>
        <w:t xml:space="preserve">de normas se debe aplicar aquella que </w:t>
      </w:r>
      <w:proofErr w:type="spellStart"/>
      <w:r w:rsidRPr="00A75361">
        <w:rPr>
          <w:rFonts w:ascii="Arial" w:eastAsia="Arial Unicode MS" w:hAnsi="Arial" w:cs="Arial"/>
          <w:sz w:val="22"/>
          <w:szCs w:val="22"/>
          <w:u w:color="000000"/>
          <w:lang w:val="es-ES_tradnl"/>
        </w:rPr>
        <w:t>mas</w:t>
      </w:r>
      <w:proofErr w:type="spellEnd"/>
      <w:r w:rsidRPr="00A75361">
        <w:rPr>
          <w:rFonts w:ascii="Arial" w:eastAsia="Arial Unicode MS" w:hAnsi="Arial" w:cs="Arial"/>
          <w:sz w:val="22"/>
          <w:szCs w:val="22"/>
          <w:u w:color="000000"/>
          <w:lang w:val="es-ES_tradnl"/>
        </w:rPr>
        <w:t xml:space="preserve"> favorezca su efectiva vigencia, así como la aplicación de la interpretación más favorable.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Los problemas en materia de ejecución de sentencias surgen cuando en la normativa interna de los Estados responsables no se establecen mecanismos adecuados o específicos para su cumplimiento, se presentan dificultades en el cómo se debe proceder a la ejecución de determinadas medidas y qué órgano tiene la competencia para llevar a cabo este proceso. En este sentido los problemas no se presentan generalmente por conflicto de normas sino por falta de claridad o ausencia de las mismas.</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lastRenderedPageBreak/>
        <w:t>Carlos Ayala, ex comisionado CIDH señala que el cumplimiento se deriva de una obligación internacional</w:t>
      </w:r>
      <w:r w:rsidR="008243F4">
        <w:rPr>
          <w:rStyle w:val="Refdenotaalpie"/>
          <w:rFonts w:ascii="Arial" w:eastAsia="Arial Unicode MS" w:hAnsi="Arial" w:cs="Arial"/>
          <w:color w:val="000000"/>
          <w:sz w:val="22"/>
          <w:szCs w:val="22"/>
          <w:u w:color="000000"/>
          <w:lang w:val="es-ES" w:eastAsia="es-ES"/>
        </w:rPr>
        <w:footnoteReference w:id="171"/>
      </w:r>
      <w:r w:rsidRPr="00A75361">
        <w:rPr>
          <w:rFonts w:ascii="Arial" w:eastAsia="Arial Unicode MS" w:hAnsi="Arial" w:cs="Arial"/>
          <w:color w:val="000000"/>
          <w:sz w:val="22"/>
          <w:szCs w:val="22"/>
          <w:u w:color="000000"/>
          <w:lang w:val="es-ES" w:eastAsia="es-ES"/>
        </w:rPr>
        <w:t>, la Convención Americana indica que las sentencias de la Corte son de obligatorio cumplimiento para los Estados parte</w:t>
      </w:r>
      <w:r w:rsidRPr="00A75361">
        <w:rPr>
          <w:rFonts w:ascii="Arial" w:eastAsia="Arial Unicode MS" w:hAnsi="Arial" w:cs="Arial"/>
          <w:color w:val="000000"/>
          <w:sz w:val="22"/>
          <w:szCs w:val="22"/>
          <w:vertAlign w:val="superscript"/>
          <w:lang w:val="es-ES" w:eastAsia="es-ES"/>
        </w:rPr>
        <w:footnoteReference w:id="172"/>
      </w:r>
      <w:r w:rsidRPr="00A75361">
        <w:rPr>
          <w:rFonts w:ascii="Arial" w:eastAsia="Arial Unicode MS" w:hAnsi="Arial" w:cs="Arial"/>
          <w:color w:val="000000"/>
          <w:sz w:val="22"/>
          <w:szCs w:val="22"/>
          <w:u w:color="000000"/>
          <w:lang w:val="es-ES" w:eastAsia="es-ES"/>
        </w:rPr>
        <w:t>, es por ello que conjuntamente con lo que establece el artículo 2 de la Convención Americana</w:t>
      </w:r>
      <w:r w:rsidR="00DF72EE">
        <w:rPr>
          <w:rFonts w:ascii="Arial" w:eastAsia="Arial Unicode MS" w:hAnsi="Arial" w:cs="Arial"/>
          <w:color w:val="000000"/>
          <w:sz w:val="22"/>
          <w:szCs w:val="22"/>
          <w:u w:color="000000"/>
          <w:lang w:val="es-ES" w:eastAsia="es-ES"/>
        </w:rPr>
        <w:t>,</w:t>
      </w:r>
      <w:r w:rsidRPr="00A75361">
        <w:rPr>
          <w:rFonts w:ascii="Arial" w:eastAsia="Arial Unicode MS" w:hAnsi="Arial" w:cs="Arial"/>
          <w:color w:val="000000"/>
          <w:sz w:val="22"/>
          <w:szCs w:val="22"/>
          <w:u w:color="000000"/>
          <w:lang w:val="es-ES" w:eastAsia="es-ES"/>
        </w:rPr>
        <w:t xml:space="preserve"> cada que el Estado responsable es notificado con una sentencia de la Corte IDH deberá ajustar su normativa interna a fin de lograr un pleno cumplimiento, cabe anotar que las decisiones de la Corte no solo incluyen modificaciones legislativas sino también adoptar políticas públicas e implementar cambios en sus actos administrativos.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La suscripción de la Convención Americana conjuntamente con la acción de los órganos del Sistema IDH ha motivado la reforma de los ordenamientos jurídicos de los países suscriptores lo que ha significado verdaderos avances en cuanto a la protección de los derechos humanos, sobre todo en materia de reparaciones, al interior de los Estados se han hecho reconocimientos importantes sobre la necesidad de implementar nuevas herramientas y vías para garantizar el ejercicio de los derechos</w:t>
      </w:r>
      <w:r w:rsidRPr="00A75361">
        <w:rPr>
          <w:rFonts w:ascii="Arial" w:eastAsia="Arial Unicode MS" w:hAnsi="Arial" w:cs="Arial"/>
          <w:color w:val="000000"/>
          <w:sz w:val="22"/>
          <w:szCs w:val="22"/>
          <w:u w:color="000000"/>
          <w:vertAlign w:val="superscript"/>
          <w:lang w:val="es-ES" w:eastAsia="es-ES"/>
        </w:rPr>
        <w:footnoteReference w:id="173"/>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El papel de los representantes de las </w:t>
      </w:r>
      <w:proofErr w:type="spellStart"/>
      <w:r w:rsidRPr="00A75361">
        <w:rPr>
          <w:rFonts w:ascii="Arial" w:eastAsia="Arial Unicode MS" w:hAnsi="Arial" w:cs="Arial"/>
          <w:color w:val="000000"/>
          <w:sz w:val="22"/>
          <w:szCs w:val="22"/>
          <w:u w:color="000000"/>
          <w:lang w:val="es-ES" w:eastAsia="es-ES"/>
        </w:rPr>
        <w:t>victimas</w:t>
      </w:r>
      <w:proofErr w:type="spellEnd"/>
      <w:r w:rsidRPr="00A75361">
        <w:rPr>
          <w:rFonts w:ascii="Arial" w:eastAsia="Arial Unicode MS" w:hAnsi="Arial" w:cs="Arial"/>
          <w:color w:val="000000"/>
          <w:sz w:val="22"/>
          <w:szCs w:val="22"/>
          <w:u w:color="000000"/>
          <w:lang w:val="es-ES" w:eastAsia="es-ES"/>
        </w:rPr>
        <w:t xml:space="preserve"> es importante al momento de exponer frente a la Corte IDH los aspectos jurídicos que podrían ocasionar el desconocimiento de los derechos y al momento de ejecutar las sentencias dar evidencia de los obstáculos que se generan por la falta de normativa adecuada, o la errónea aplicación de preceptos jurídicos existentes. El Estado tiene la obligación de proveer las vías necesarias para garantizar un efectivo cumplimiento de las medidas de reparación y la implementación de mecanismos ágiles y efectivos, evitando siempre que los daños de agudicen. </w:t>
      </w:r>
    </w:p>
    <w:p w:rsidR="00DF72EE" w:rsidRPr="00A75361" w:rsidRDefault="00DF72EE"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La dificultad de ejecutar las sentencias de la Corte IDH se presenta además cuando la administración pública exige largos procesos burocráticos que se encuentran contenidos en reglamentos internos de las instituciones, al no estab</w:t>
      </w:r>
      <w:r w:rsidR="00DF72EE">
        <w:rPr>
          <w:rFonts w:ascii="Arial" w:eastAsia="Arial Unicode MS" w:hAnsi="Arial" w:cs="Arial"/>
          <w:color w:val="000000"/>
          <w:sz w:val="22"/>
          <w:szCs w:val="22"/>
          <w:u w:color="000000"/>
          <w:lang w:val="es-ES" w:eastAsia="es-ES"/>
        </w:rPr>
        <w:t xml:space="preserve">lecerse una vía específica para </w:t>
      </w:r>
      <w:r w:rsidRPr="00A75361">
        <w:rPr>
          <w:rFonts w:ascii="Arial" w:eastAsia="Arial Unicode MS" w:hAnsi="Arial" w:cs="Arial"/>
          <w:color w:val="000000"/>
          <w:sz w:val="22"/>
          <w:szCs w:val="22"/>
          <w:u w:color="000000"/>
          <w:lang w:val="es-ES" w:eastAsia="es-ES"/>
        </w:rPr>
        <w:t xml:space="preserve">ejecutar una medida de reparación, se opta por los mecanismos habituales lo que provoca que en el camino existan </w:t>
      </w:r>
      <w:proofErr w:type="spellStart"/>
      <w:r w:rsidRPr="00A75361">
        <w:rPr>
          <w:rFonts w:ascii="Arial" w:eastAsia="Arial Unicode MS" w:hAnsi="Arial" w:cs="Arial"/>
          <w:color w:val="000000"/>
          <w:sz w:val="22"/>
          <w:szCs w:val="22"/>
          <w:u w:color="000000"/>
          <w:lang w:val="es-ES" w:eastAsia="es-ES"/>
        </w:rPr>
        <w:t>vacios</w:t>
      </w:r>
      <w:proofErr w:type="spellEnd"/>
      <w:r w:rsidRPr="00A75361">
        <w:rPr>
          <w:rFonts w:ascii="Arial" w:eastAsia="Arial Unicode MS" w:hAnsi="Arial" w:cs="Arial"/>
          <w:color w:val="000000"/>
          <w:sz w:val="22"/>
          <w:szCs w:val="22"/>
          <w:u w:color="000000"/>
          <w:lang w:val="es-ES" w:eastAsia="es-ES"/>
        </w:rPr>
        <w:t xml:space="preserve"> en el procedimiento forzando la consulta a autoridad</w:t>
      </w:r>
      <w:r w:rsidR="00DF72EE">
        <w:rPr>
          <w:rFonts w:ascii="Arial" w:eastAsia="Arial Unicode MS" w:hAnsi="Arial" w:cs="Arial"/>
          <w:color w:val="000000"/>
          <w:sz w:val="22"/>
          <w:szCs w:val="22"/>
          <w:u w:color="000000"/>
          <w:lang w:val="es-ES" w:eastAsia="es-ES"/>
        </w:rPr>
        <w:t xml:space="preserve">es superiores lo que conlleva </w:t>
      </w:r>
      <w:r w:rsidRPr="00A75361">
        <w:rPr>
          <w:rFonts w:ascii="Arial" w:eastAsia="Arial Unicode MS" w:hAnsi="Arial" w:cs="Arial"/>
          <w:color w:val="000000"/>
          <w:sz w:val="22"/>
          <w:szCs w:val="22"/>
          <w:u w:color="000000"/>
          <w:lang w:val="es-ES" w:eastAsia="es-ES"/>
        </w:rPr>
        <w:t xml:space="preserve">una </w:t>
      </w:r>
      <w:r w:rsidR="00DF72EE" w:rsidRPr="00A75361">
        <w:rPr>
          <w:rFonts w:ascii="Arial" w:eastAsia="Arial Unicode MS" w:hAnsi="Arial" w:cs="Arial"/>
          <w:color w:val="000000"/>
          <w:sz w:val="22"/>
          <w:szCs w:val="22"/>
          <w:u w:color="000000"/>
          <w:lang w:val="es-ES" w:eastAsia="es-ES"/>
        </w:rPr>
        <w:t xml:space="preserve">mayor </w:t>
      </w:r>
      <w:r w:rsidRPr="00A75361">
        <w:rPr>
          <w:rFonts w:ascii="Arial" w:eastAsia="Arial Unicode MS" w:hAnsi="Arial" w:cs="Arial"/>
          <w:color w:val="000000"/>
          <w:sz w:val="22"/>
          <w:szCs w:val="22"/>
          <w:u w:color="000000"/>
          <w:lang w:val="es-ES" w:eastAsia="es-ES"/>
        </w:rPr>
        <w:t xml:space="preserve">inversión de tiempo y la desnaturalización del aspecto reparador de la medida ordenada.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lastRenderedPageBreak/>
        <w:t>Lo que se debe conseguir en los ordenamientos internos es la ampliación de los derechos y sus garantías a las personas, por ello estos no deben restringir de ningún modo el ejercicio de tales derechos ni desconocer las disposiciones de la Corte IDH, es importante que dentro de los Estados se maneje una cultura de protección a los derechos en el sentido de que estos</w:t>
      </w:r>
      <w:r w:rsidR="009308F9">
        <w:rPr>
          <w:rFonts w:ascii="Arial" w:eastAsia="Arial Unicode MS" w:hAnsi="Arial" w:cs="Arial"/>
          <w:color w:val="000000"/>
          <w:sz w:val="22"/>
          <w:szCs w:val="22"/>
          <w:u w:color="000000"/>
          <w:lang w:val="es-ES" w:eastAsia="es-ES"/>
        </w:rPr>
        <w:t>,</w:t>
      </w:r>
      <w:r w:rsidRPr="00A75361">
        <w:rPr>
          <w:rFonts w:ascii="Arial" w:eastAsia="Arial Unicode MS" w:hAnsi="Arial" w:cs="Arial"/>
          <w:color w:val="000000"/>
          <w:sz w:val="22"/>
          <w:szCs w:val="22"/>
          <w:u w:color="000000"/>
          <w:lang w:val="es-ES" w:eastAsia="es-ES"/>
        </w:rPr>
        <w:t xml:space="preserve"> al margen del Estado o nación del que forme parte la persona, deban ser reconocidos por sus atributos como ser humano, por ello se justifica su protección internacional, los argumentos de soberanía o independencia estatal no eximen de la obligación de respetar y proteger los derechos, por ello en caso de ser necesario se deben reformar los ordenamientos jurídicos internos para garantizar su ejercicio. </w:t>
      </w: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Default="008F2951" w:rsidP="00084C8E">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El establecimiento de un mecanismo de ejecución de sentencias de la Corte IDH por medio de una ley significaría un avance importante en su cumplimiento, determinando las respectivas sanciones por falta de actuación de las autoridades correspondientes.    </w:t>
      </w:r>
    </w:p>
    <w:p w:rsidR="00084C8E" w:rsidRPr="00084C8E" w:rsidRDefault="00084C8E" w:rsidP="00084C8E">
      <w:pPr>
        <w:pStyle w:val="Sinespaciado"/>
        <w:spacing w:line="360" w:lineRule="auto"/>
        <w:jc w:val="both"/>
        <w:rPr>
          <w:rFonts w:ascii="Arial" w:eastAsia="Arial Unicode MS" w:hAnsi="Arial" w:cs="Arial"/>
          <w:color w:val="000000"/>
          <w:sz w:val="22"/>
          <w:szCs w:val="22"/>
          <w:u w:color="000000"/>
          <w:lang w:val="es-ES" w:eastAsia="es-ES"/>
        </w:rPr>
      </w:pPr>
    </w:p>
    <w:p w:rsidR="008F2951" w:rsidRPr="00C45A27" w:rsidRDefault="00895FCF" w:rsidP="00C45A27">
      <w:pPr>
        <w:pStyle w:val="Ttulo3"/>
        <w:spacing w:line="360" w:lineRule="auto"/>
        <w:ind w:left="720" w:hanging="720"/>
        <w:jc w:val="both"/>
        <w:rPr>
          <w:rFonts w:ascii="Arial" w:eastAsia="Arial Unicode MS" w:hAnsi="Arial"/>
          <w:color w:val="auto"/>
          <w:sz w:val="22"/>
          <w:u w:color="000000"/>
          <w:lang w:val="es-ES_tradnl"/>
        </w:rPr>
      </w:pPr>
      <w:bookmarkStart w:id="32" w:name="_Toc356432269"/>
      <w:r w:rsidRPr="00C45A27">
        <w:rPr>
          <w:rFonts w:ascii="Arial" w:eastAsia="Arial Unicode MS" w:hAnsi="Arial"/>
          <w:color w:val="auto"/>
          <w:sz w:val="22"/>
          <w:u w:color="000000"/>
          <w:lang w:val="es-ES_tradnl"/>
        </w:rPr>
        <w:t>3.2.1.</w:t>
      </w:r>
      <w:r w:rsidRPr="00C45A27">
        <w:rPr>
          <w:rFonts w:ascii="Arial" w:eastAsia="Arial Unicode MS" w:hAnsi="Arial"/>
          <w:color w:val="auto"/>
          <w:sz w:val="22"/>
          <w:u w:color="000000"/>
          <w:lang w:val="es-ES_tradnl"/>
        </w:rPr>
        <w:tab/>
      </w:r>
      <w:r w:rsidR="00E917DE" w:rsidRPr="00C45A27">
        <w:rPr>
          <w:rFonts w:ascii="Arial" w:eastAsia="Arial Unicode MS" w:hAnsi="Arial"/>
          <w:color w:val="auto"/>
          <w:sz w:val="22"/>
          <w:u w:color="000000"/>
          <w:lang w:val="es-ES_tradnl"/>
        </w:rPr>
        <w:t>Imposibilidad en la ejecución de sentencias por incompatibilidad con normas internas del Estado responsable</w:t>
      </w:r>
      <w:bookmarkEnd w:id="32"/>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Se ha presentado como una dificultad para cumplir con las sentencias de la Corte IDH el hecho de que existen normas del Estado obligado que no son compatibles con ciertas medidas ordenadas, al presentarse estos casos son necesarias reformas en el marco jurídico del Estado en cuestión.</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En el derecho internacional se establecen normas que disponen las obligaciones de los Estados al suscribir un instrumento internacional, l</w:t>
      </w:r>
      <w:r w:rsidR="009308F9">
        <w:rPr>
          <w:rFonts w:ascii="Arial" w:eastAsia="Arial Unicode MS" w:hAnsi="Arial" w:cs="Arial"/>
          <w:sz w:val="22"/>
          <w:szCs w:val="22"/>
          <w:u w:color="000000"/>
          <w:lang w:val="es-ES_tradnl"/>
        </w:rPr>
        <w:t>a Convención de Viena sobre el Derecho de los T</w:t>
      </w:r>
      <w:r w:rsidRPr="00A75361">
        <w:rPr>
          <w:rFonts w:ascii="Arial" w:eastAsia="Arial Unicode MS" w:hAnsi="Arial" w:cs="Arial"/>
          <w:sz w:val="22"/>
          <w:szCs w:val="22"/>
          <w:u w:color="000000"/>
          <w:lang w:val="es-ES_tradnl"/>
        </w:rPr>
        <w:t xml:space="preserve">ratados en su artículo 27 señala que </w:t>
      </w:r>
      <w:r w:rsidRPr="00A75361">
        <w:rPr>
          <w:rFonts w:ascii="Arial" w:eastAsia="Arial Unicode MS" w:hAnsi="Arial" w:cs="Arial"/>
          <w:color w:val="000000"/>
          <w:sz w:val="22"/>
          <w:szCs w:val="22"/>
          <w:u w:color="000000"/>
          <w:shd w:val="clear" w:color="auto" w:fill="FFFFFF"/>
          <w:lang w:val="es-ES_tradnl"/>
        </w:rPr>
        <w:t>una parte no podrá invocar las disposiciones de su derecho interno como justificación del incumplimiento de un tratado</w:t>
      </w:r>
      <w:r w:rsidRPr="00A75361">
        <w:rPr>
          <w:rFonts w:ascii="Arial" w:eastAsia="Arial Unicode MS" w:hAnsi="Arial" w:cs="Arial"/>
          <w:color w:val="000000"/>
          <w:sz w:val="22"/>
          <w:szCs w:val="22"/>
          <w:u w:color="000000"/>
          <w:vertAlign w:val="superscript"/>
          <w:lang w:val="es-ES_tradnl"/>
        </w:rPr>
        <w:footnoteReference w:id="174"/>
      </w:r>
      <w:r w:rsidRPr="00A75361">
        <w:rPr>
          <w:rFonts w:ascii="Arial" w:eastAsia="Arial Unicode MS" w:hAnsi="Arial" w:cs="Arial"/>
          <w:color w:val="000000"/>
          <w:sz w:val="22"/>
          <w:szCs w:val="22"/>
          <w:u w:color="000000"/>
          <w:shd w:val="clear" w:color="auto" w:fill="FFFFFF"/>
          <w:lang w:val="es-ES_tradnl"/>
        </w:rPr>
        <w:t>.</w:t>
      </w:r>
      <w:r w:rsidRPr="00A75361">
        <w:rPr>
          <w:rFonts w:ascii="Arial" w:eastAsia="Arial Unicode MS" w:hAnsi="Arial" w:cs="Arial"/>
          <w:sz w:val="22"/>
          <w:szCs w:val="22"/>
          <w:u w:color="000000"/>
          <w:lang w:val="es-ES_tradnl"/>
        </w:rPr>
        <w:t xml:space="preserve">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Corte IDH por su parte, ha señalado categóricamente en sus fallos que la obligación de reparar, que se regula en todos los aspectos (alcance, naturaleza, modalidades y </w:t>
      </w:r>
      <w:r w:rsidRPr="00A75361">
        <w:rPr>
          <w:rFonts w:ascii="Arial" w:eastAsia="Arial Unicode MS" w:hAnsi="Arial" w:cs="Arial"/>
          <w:sz w:val="22"/>
          <w:szCs w:val="22"/>
          <w:u w:color="000000"/>
          <w:lang w:val="es-ES_tradnl"/>
        </w:rPr>
        <w:lastRenderedPageBreak/>
        <w:t>determinación de los beneficiarios) por el Derecho Internacional, no puede ser modificada o incumplida por el Estado obligado invocando disposiciones de su derecho interno</w:t>
      </w:r>
      <w:r w:rsidRPr="00A75361">
        <w:rPr>
          <w:rFonts w:ascii="Arial" w:eastAsia="Arial Unicode MS" w:hAnsi="Arial" w:cs="Arial"/>
          <w:sz w:val="22"/>
          <w:szCs w:val="22"/>
          <w:u w:color="000000"/>
          <w:vertAlign w:val="superscript"/>
          <w:lang w:val="es-ES_tradnl"/>
        </w:rPr>
        <w:footnoteReference w:id="175"/>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Los Estados reconocen además la jerarquía y aplicación de los convenios y tratados internacionales en materia de derechos humanos en sus ordenamientos internos. En términos generales el incumplimiento no se da por normas directamente contrarias o por conflictos sobre su aplicación, los problemas surgen en su mayoría por la falta de desarrollo de normas internas que vayan a la par con las disposiciones de la Corte IDH, principalmente esto ocurre con la reparación pues es un tema que ha visto un gran desarrollo en los últimos años por parte de la Corte </w:t>
      </w:r>
      <w:r w:rsidR="009308F9" w:rsidRPr="00A75361">
        <w:rPr>
          <w:rFonts w:ascii="Arial" w:eastAsia="Arial Unicode MS" w:hAnsi="Arial" w:cs="Arial"/>
          <w:sz w:val="22"/>
          <w:szCs w:val="22"/>
          <w:u w:color="000000"/>
          <w:lang w:val="es-ES_tradnl"/>
        </w:rPr>
        <w:t xml:space="preserve">IDH </w:t>
      </w:r>
      <w:r w:rsidRPr="00A75361">
        <w:rPr>
          <w:rFonts w:ascii="Arial" w:eastAsia="Arial Unicode MS" w:hAnsi="Arial" w:cs="Arial"/>
          <w:sz w:val="22"/>
          <w:szCs w:val="22"/>
          <w:u w:color="000000"/>
          <w:lang w:val="es-ES_tradnl"/>
        </w:rPr>
        <w:t xml:space="preserve">y que por otro lado, la normativa interna de los Estados a quedado corta.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Los Estados comúnmente reconocen la indemnización como medida de reparación y está incluida en sus ordenamientos internos, pero el estándar de reparación que pretende la Corte IDH no se alcanza únicamente con el pago de un suma de dinero, existen medidas de rehabilitación, satisfacción y aquellas destinadas a evitar la repetición de los hechos que generaron la violación que no han sido contempladas por los Estados, de allí la dificultad que encuentra</w:t>
      </w:r>
      <w:r w:rsidR="009308F9">
        <w:rPr>
          <w:rFonts w:ascii="Arial" w:eastAsia="Arial Unicode MS" w:hAnsi="Arial" w:cs="Arial"/>
          <w:sz w:val="22"/>
          <w:szCs w:val="22"/>
          <w:u w:color="000000"/>
          <w:lang w:val="es-ES_tradnl"/>
        </w:rPr>
        <w:t>n</w:t>
      </w:r>
      <w:r w:rsidRPr="00A75361">
        <w:rPr>
          <w:rFonts w:ascii="Arial" w:eastAsia="Arial Unicode MS" w:hAnsi="Arial" w:cs="Arial"/>
          <w:sz w:val="22"/>
          <w:szCs w:val="22"/>
          <w:u w:color="000000"/>
          <w:lang w:val="es-ES_tradnl"/>
        </w:rPr>
        <w:t xml:space="preserve"> para ejecutar tales medidas. Los Estados obligados no pueden alegar falta de desarrollo en sus normas para incumplir las sentencias de la Corte IDH, esta situación en todo caso puede presentarse como una oportunidad para que el Estado reforme sus normas y alcance cierto estándar de protección internacional de los derechos humanos. </w:t>
      </w: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_tradnl" w:eastAsia="es-ES"/>
        </w:rPr>
        <w:t>Sin embargo l</w:t>
      </w:r>
      <w:r w:rsidR="004A1848">
        <w:rPr>
          <w:rFonts w:ascii="Arial" w:eastAsia="Arial Unicode MS" w:hAnsi="Arial" w:cs="Arial"/>
          <w:color w:val="000000"/>
          <w:sz w:val="22"/>
          <w:szCs w:val="22"/>
          <w:u w:color="000000"/>
          <w:lang w:val="es-ES" w:eastAsia="es-ES"/>
        </w:rPr>
        <w:t>a indemnización a las ví</w:t>
      </w:r>
      <w:r w:rsidRPr="00A75361">
        <w:rPr>
          <w:rFonts w:ascii="Arial" w:eastAsia="Arial Unicode MS" w:hAnsi="Arial" w:cs="Arial"/>
          <w:color w:val="000000"/>
          <w:sz w:val="22"/>
          <w:szCs w:val="22"/>
          <w:u w:color="000000"/>
          <w:lang w:val="es-ES" w:eastAsia="es-ES"/>
        </w:rPr>
        <w:t xml:space="preserve">ctimas suele ser un referente para determinar que aún esta medida que supone cierta facilidad para su cumplimento presenta dificultades en el proceso, sobre todo esto ocurre porque no se contemplan en el presupuesto del Estado partidas específicas para efectuar los pagos, cuando la sentencia llega los órganos responsables de la ejecución deben hallar la forma de cumplir esta obligación. Para ciertos Estados el pago se hace muy difícil por la falta de recursos. </w:t>
      </w:r>
    </w:p>
    <w:p w:rsidR="00895FCF" w:rsidRPr="00A75361" w:rsidRDefault="00895FCF"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En este punto cabe recordar que si el Estado ejerciera el derecho a la repetición luego de identificar y sancionar a los responsables, estos pagos no saldrían de los fondos públicos. Así mismo la satisfacción de esta medida no debe estar supeditada a la realización de </w:t>
      </w:r>
      <w:r w:rsidRPr="00A75361">
        <w:rPr>
          <w:rFonts w:ascii="Arial" w:eastAsia="Arial Unicode MS" w:hAnsi="Arial" w:cs="Arial"/>
          <w:color w:val="000000"/>
          <w:sz w:val="22"/>
          <w:szCs w:val="22"/>
          <w:u w:color="000000"/>
          <w:lang w:val="es-ES" w:eastAsia="es-ES"/>
        </w:rPr>
        <w:lastRenderedPageBreak/>
        <w:t xml:space="preserve">engorrosos procesos burocráticos, pues la ejecución de la sentencia en ningún momento debe suponer nuevas dificultades para la víctima.  </w:t>
      </w:r>
    </w:p>
    <w:p w:rsidR="00895FCF" w:rsidRPr="00A75361" w:rsidRDefault="00895FCF" w:rsidP="00A75361">
      <w:pPr>
        <w:pStyle w:val="Sinespaciado"/>
        <w:spacing w:line="360" w:lineRule="auto"/>
        <w:jc w:val="both"/>
        <w:rPr>
          <w:rFonts w:ascii="Arial" w:eastAsia="Arial Unicode MS" w:hAnsi="Arial" w:cs="Arial"/>
          <w:sz w:val="22"/>
          <w:szCs w:val="22"/>
          <w:u w:color="000000"/>
          <w:lang w:val="es-ES_tradnl"/>
        </w:rPr>
      </w:pPr>
    </w:p>
    <w:p w:rsidR="00895FCF"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sz w:val="22"/>
          <w:szCs w:val="22"/>
          <w:u w:color="000000"/>
          <w:lang w:val="es-ES_tradnl"/>
        </w:rPr>
        <w:t xml:space="preserve">La falta de una vía legal expedita para ejecutar las sentencias pone a los Estados en una situación de incertidumbre al ser notificados, en muchos casos deben realizarse procesos internos para definir qué órganos tiene la competencia para realizar determinada medida esto sumado a la falta de comprensión y presión de otro grupo de medidas </w:t>
      </w:r>
      <w:r w:rsidR="004A1848">
        <w:rPr>
          <w:rFonts w:ascii="Arial" w:eastAsia="Arial Unicode MS" w:hAnsi="Arial" w:cs="Arial"/>
          <w:sz w:val="22"/>
          <w:szCs w:val="22"/>
          <w:u w:color="000000"/>
          <w:lang w:val="es-ES_tradnl"/>
        </w:rPr>
        <w:t xml:space="preserve">que </w:t>
      </w:r>
      <w:r w:rsidRPr="00A75361">
        <w:rPr>
          <w:rFonts w:ascii="Arial" w:eastAsia="Arial Unicode MS" w:hAnsi="Arial" w:cs="Arial"/>
          <w:sz w:val="22"/>
          <w:szCs w:val="22"/>
          <w:u w:color="000000"/>
          <w:lang w:val="es-ES_tradnl"/>
        </w:rPr>
        <w:t>obliga a los Estados a buscar consensos con los representantes de las víctimas, en fin, estos procesos toman cierto tiempo. Pero por otro lado, en</w:t>
      </w:r>
      <w:r w:rsidR="00C37DB3">
        <w:rPr>
          <w:rFonts w:ascii="Arial" w:eastAsia="Arial Unicode MS" w:hAnsi="Arial" w:cs="Arial"/>
          <w:sz w:val="22"/>
          <w:szCs w:val="22"/>
          <w:u w:color="000000"/>
          <w:lang w:val="es-ES_tradnl"/>
        </w:rPr>
        <w:t xml:space="preserve"> </w:t>
      </w:r>
      <w:r w:rsidRPr="00A75361">
        <w:rPr>
          <w:rFonts w:ascii="Arial" w:eastAsia="Arial Unicode MS" w:hAnsi="Arial" w:cs="Arial"/>
          <w:sz w:val="22"/>
          <w:szCs w:val="22"/>
          <w:u w:color="000000"/>
          <w:lang w:val="es-ES_tradnl"/>
        </w:rPr>
        <w:t xml:space="preserve">la aplicación de ciertas medidas es conveniente tomarse un tiempo prudente para definir los planes de ejecución, ya que una acción acelerada podría no satisfacer a las víctimas o no reunir las condiciones esperadas por la Corte IDH.  </w:t>
      </w:r>
    </w:p>
    <w:p w:rsidR="004A1848" w:rsidRPr="00A75361" w:rsidRDefault="004A1848" w:rsidP="00A75361">
      <w:pPr>
        <w:pStyle w:val="Sinespaciado"/>
        <w:spacing w:line="360" w:lineRule="auto"/>
        <w:jc w:val="both"/>
        <w:rPr>
          <w:rFonts w:ascii="Arial" w:eastAsia="Arial Unicode MS" w:hAnsi="Arial" w:cs="Arial"/>
          <w:sz w:val="22"/>
          <w:szCs w:val="22"/>
          <w:u w:color="000000"/>
          <w:lang w:val="es-ES_tradnl"/>
        </w:rPr>
      </w:pPr>
    </w:p>
    <w:p w:rsidR="00895FCF"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color w:val="000000"/>
          <w:sz w:val="22"/>
          <w:szCs w:val="22"/>
          <w:u w:color="000000"/>
          <w:lang w:val="es-ES" w:eastAsia="es-ES"/>
        </w:rPr>
        <w:t>Los Estados deben tomar especial atención a la normativa internacional en materia de derechos humanos, reconociéndola como parte del ordenamiento jurídico nacional, su aplicación debe ser directa e inmediata; no se pueden oponer a dicha normativa disposiciones de carácter secundario que limiten o violenten derechos humanos.</w:t>
      </w:r>
    </w:p>
    <w:p w:rsidR="00895FCF" w:rsidRPr="00A75361" w:rsidRDefault="00895FCF" w:rsidP="00A75361">
      <w:pPr>
        <w:pStyle w:val="Sinespaciado"/>
        <w:spacing w:line="360" w:lineRule="auto"/>
        <w:jc w:val="both"/>
        <w:rPr>
          <w:rFonts w:ascii="Arial" w:eastAsia="Arial Unicode MS" w:hAnsi="Arial" w:cs="Arial"/>
          <w:sz w:val="22"/>
          <w:szCs w:val="22"/>
          <w:u w:color="000000"/>
          <w:lang w:val="es-ES_tradnl"/>
        </w:rPr>
      </w:pPr>
    </w:p>
    <w:p w:rsidR="00895FCF"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Si bien la voluntad política es un aspecto fundamental en el cumplimiento de las sentencias de la Corte</w:t>
      </w:r>
      <w:r w:rsidR="004A1848" w:rsidRPr="004A1848">
        <w:rPr>
          <w:rFonts w:ascii="Arial" w:eastAsia="Arial Unicode MS" w:hAnsi="Arial" w:cs="Arial"/>
          <w:sz w:val="22"/>
          <w:szCs w:val="22"/>
          <w:u w:color="000000"/>
          <w:lang w:val="es-ES_tradnl"/>
        </w:rPr>
        <w:t xml:space="preserve"> </w:t>
      </w:r>
      <w:r w:rsidR="004A1848" w:rsidRPr="00A75361">
        <w:rPr>
          <w:rFonts w:ascii="Arial" w:eastAsia="Arial Unicode MS" w:hAnsi="Arial" w:cs="Arial"/>
          <w:sz w:val="22"/>
          <w:szCs w:val="22"/>
          <w:u w:color="000000"/>
          <w:lang w:val="es-ES_tradnl"/>
        </w:rPr>
        <w:t>IDH</w:t>
      </w:r>
      <w:r w:rsidRPr="00A75361">
        <w:rPr>
          <w:rFonts w:ascii="Arial" w:eastAsia="Arial Unicode MS" w:hAnsi="Arial" w:cs="Arial"/>
          <w:color w:val="000000"/>
          <w:sz w:val="22"/>
          <w:szCs w:val="22"/>
          <w:u w:color="000000"/>
          <w:lang w:val="es-ES" w:eastAsia="es-ES"/>
        </w:rPr>
        <w:t>, es igualmente importante la presencia de mecanismos operativos eficaces para hacer viable la reparación. Es conveniente que estos aspectos operativos generales en la ejecución de toda sentencia de la Corte IDH estén contemplados en la norm</w:t>
      </w:r>
      <w:r w:rsidR="00C05AD4">
        <w:rPr>
          <w:rFonts w:ascii="Arial" w:eastAsia="Arial Unicode MS" w:hAnsi="Arial" w:cs="Arial"/>
          <w:color w:val="000000"/>
          <w:sz w:val="22"/>
          <w:szCs w:val="22"/>
          <w:u w:color="000000"/>
          <w:lang w:val="es-ES" w:eastAsia="es-ES"/>
        </w:rPr>
        <w:t>ativa interna y de ser posible</w:t>
      </w:r>
      <w:r w:rsidRPr="00A75361">
        <w:rPr>
          <w:rFonts w:ascii="Arial" w:eastAsia="Arial Unicode MS" w:hAnsi="Arial" w:cs="Arial"/>
          <w:color w:val="000000"/>
          <w:sz w:val="22"/>
          <w:szCs w:val="22"/>
          <w:u w:color="000000"/>
          <w:lang w:val="es-ES" w:eastAsia="es-ES"/>
        </w:rPr>
        <w:t xml:space="preserve"> tener rango de ley para reforzar su institucionalización. Aspectos como la creación de órganos que manejen de forma permanente y exclusiva la ejecución de las sentencias, que posean suficientes atribuciones y autoridad como para supervisar el cumplimiento de cada institución correspondiente, además contar con el personal adecuado, y la infraestructura necesaria, </w:t>
      </w:r>
      <w:r w:rsidR="004A1848">
        <w:rPr>
          <w:rFonts w:ascii="Arial" w:eastAsia="Arial Unicode MS" w:hAnsi="Arial" w:cs="Arial"/>
          <w:color w:val="000000"/>
          <w:sz w:val="22"/>
          <w:szCs w:val="22"/>
          <w:u w:color="000000"/>
          <w:lang w:val="es-ES" w:eastAsia="es-ES"/>
        </w:rPr>
        <w:t xml:space="preserve">y </w:t>
      </w:r>
      <w:r w:rsidRPr="00A75361">
        <w:rPr>
          <w:rFonts w:ascii="Arial" w:eastAsia="Arial Unicode MS" w:hAnsi="Arial" w:cs="Arial"/>
          <w:color w:val="000000"/>
          <w:sz w:val="22"/>
          <w:szCs w:val="22"/>
          <w:u w:color="000000"/>
          <w:lang w:val="es-ES" w:eastAsia="es-ES"/>
        </w:rPr>
        <w:t xml:space="preserve">presupuesto específico, son de enorme importancia para dar pleno cumplimiento a las disposiciones de la Corte IDH. </w:t>
      </w:r>
    </w:p>
    <w:p w:rsidR="004A1848" w:rsidRPr="00A75361" w:rsidRDefault="004A1848" w:rsidP="00A75361">
      <w:pPr>
        <w:pStyle w:val="Sinespaciado"/>
        <w:spacing w:line="360" w:lineRule="auto"/>
        <w:jc w:val="both"/>
        <w:rPr>
          <w:rFonts w:ascii="Arial" w:eastAsia="Arial Unicode MS" w:hAnsi="Arial" w:cs="Arial"/>
          <w:sz w:val="22"/>
          <w:szCs w:val="22"/>
          <w:u w:color="000000"/>
          <w:lang w:val="es-ES_tradnl"/>
        </w:rPr>
      </w:pPr>
    </w:p>
    <w:p w:rsidR="008F2951" w:rsidRPr="00A75361" w:rsidRDefault="008F2951" w:rsidP="00A75361">
      <w:pPr>
        <w:pStyle w:val="Sinespaciado"/>
        <w:spacing w:line="360" w:lineRule="auto"/>
        <w:jc w:val="both"/>
        <w:rPr>
          <w:rFonts w:ascii="Arial" w:eastAsia="Arial Unicode MS" w:hAnsi="Arial" w:cs="Arial"/>
          <w:sz w:val="22"/>
          <w:szCs w:val="22"/>
          <w:u w:color="000000"/>
          <w:lang w:val="es-ES_tradnl"/>
        </w:rPr>
      </w:pPr>
      <w:r w:rsidRPr="00A75361">
        <w:rPr>
          <w:rFonts w:ascii="Arial" w:eastAsia="Arial Unicode MS" w:hAnsi="Arial" w:cs="Arial"/>
          <w:color w:val="000000"/>
          <w:sz w:val="22"/>
          <w:szCs w:val="22"/>
          <w:u w:color="000000"/>
          <w:lang w:val="es-ES" w:eastAsia="es-ES"/>
        </w:rPr>
        <w:t xml:space="preserve">Respecto al cumplimiento de las sentencias por parte de los Estados responsables, el Juez </w:t>
      </w:r>
      <w:proofErr w:type="spellStart"/>
      <w:r w:rsidRPr="00A75361">
        <w:rPr>
          <w:rFonts w:ascii="Arial" w:eastAsia="Arial Unicode MS" w:hAnsi="Arial" w:cs="Arial"/>
          <w:color w:val="000000"/>
          <w:sz w:val="22"/>
          <w:szCs w:val="22"/>
          <w:u w:color="000000"/>
          <w:lang w:val="es-ES" w:eastAsia="es-ES"/>
        </w:rPr>
        <w:t>Cançado</w:t>
      </w:r>
      <w:proofErr w:type="spellEnd"/>
      <w:r w:rsidRPr="00A75361">
        <w:rPr>
          <w:rFonts w:ascii="Arial" w:eastAsia="Arial Unicode MS" w:hAnsi="Arial" w:cs="Arial"/>
          <w:color w:val="000000"/>
          <w:sz w:val="22"/>
          <w:szCs w:val="22"/>
          <w:u w:color="000000"/>
          <w:lang w:val="es-ES" w:eastAsia="es-ES"/>
        </w:rPr>
        <w:t xml:space="preserve"> </w:t>
      </w:r>
      <w:proofErr w:type="spellStart"/>
      <w:r w:rsidRPr="00A75361">
        <w:rPr>
          <w:rFonts w:ascii="Arial" w:eastAsia="Arial Unicode MS" w:hAnsi="Arial" w:cs="Arial"/>
          <w:color w:val="000000"/>
          <w:sz w:val="22"/>
          <w:szCs w:val="22"/>
          <w:u w:color="000000"/>
          <w:lang w:val="es-ES" w:eastAsia="es-ES"/>
        </w:rPr>
        <w:t>Trindade</w:t>
      </w:r>
      <w:proofErr w:type="spellEnd"/>
      <w:r w:rsidRPr="00A75361">
        <w:rPr>
          <w:rFonts w:ascii="Arial" w:eastAsia="Arial Unicode MS" w:hAnsi="Arial" w:cs="Arial"/>
          <w:color w:val="000000"/>
          <w:sz w:val="22"/>
          <w:szCs w:val="22"/>
          <w:u w:color="000000"/>
          <w:lang w:val="es-ES" w:eastAsia="es-ES"/>
        </w:rPr>
        <w:t xml:space="preserve"> señala que la normativa de protección de la Convención Americana es directamente aplicable, por lo tanto los Estados deben dar fiel ejecución a las sentencias de la Corte IDH. Señala además que en algunos casos los Estados han procedido a ejecutar la sentencias homologándolas, esto es errado ya que, las sentencias de la Corte IDH no son extranjeras sino son sentencias internacionales, no se trata de </w:t>
      </w:r>
      <w:r w:rsidRPr="00A75361">
        <w:rPr>
          <w:rFonts w:ascii="Arial" w:eastAsia="Arial Unicode MS" w:hAnsi="Arial" w:cs="Arial"/>
          <w:color w:val="000000"/>
          <w:sz w:val="22"/>
          <w:szCs w:val="22"/>
          <w:u w:color="000000"/>
          <w:lang w:val="es-ES" w:eastAsia="es-ES"/>
        </w:rPr>
        <w:lastRenderedPageBreak/>
        <w:t>buscar en la normativa interna figuras jurídicas similares para proceder a la ejecución de la sentencia, sino que esta debe cumplirse en la forma cómo ha sido determinada por la Corte IDH</w:t>
      </w:r>
      <w:r w:rsidRPr="00A75361">
        <w:rPr>
          <w:rFonts w:ascii="Arial" w:eastAsia="Arial Unicode MS" w:hAnsi="Arial" w:cs="Arial"/>
          <w:color w:val="000000"/>
          <w:sz w:val="22"/>
          <w:szCs w:val="22"/>
          <w:vertAlign w:val="superscript"/>
          <w:lang w:val="es-ES" w:eastAsia="es-ES"/>
        </w:rPr>
        <w:footnoteReference w:id="176"/>
      </w:r>
      <w:r w:rsidRPr="00A75361">
        <w:rPr>
          <w:rFonts w:ascii="Arial" w:eastAsia="Arial Unicode MS" w:hAnsi="Arial" w:cs="Arial"/>
          <w:color w:val="000000"/>
          <w:sz w:val="22"/>
          <w:szCs w:val="22"/>
          <w:u w:color="000000"/>
          <w:lang w:val="es-ES" w:eastAsia="es-ES"/>
        </w:rPr>
        <w:t xml:space="preserve"> </w:t>
      </w:r>
    </w:p>
    <w:p w:rsidR="00895FCF" w:rsidRPr="00A75361" w:rsidRDefault="00895FCF" w:rsidP="00A75361">
      <w:pPr>
        <w:pStyle w:val="Sinespaciado"/>
        <w:spacing w:line="360" w:lineRule="auto"/>
        <w:jc w:val="both"/>
        <w:rPr>
          <w:rFonts w:ascii="Arial" w:eastAsia="Arial Unicode MS" w:hAnsi="Arial" w:cs="Arial"/>
          <w:color w:val="000000"/>
          <w:sz w:val="22"/>
          <w:szCs w:val="22"/>
          <w:u w:color="000000"/>
          <w:lang w:val="es-ES_tradnl"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Los mecanismos permanentes para la ejecución de sentencias de la Corte IDH deben tener la suficiente flexibilidad para ajustarse a la diversidad y particularidad de cada medida ordenada; mecanismos excesivamente rígidos podrían significar nuevos obstáculos cuando se presenten situaciones no contempladas, tornarían el proceso lento e ineficaz, por ello implica justamente un desafío buscar elementos generales a los procesos de ejecución para permitir que las particularidades en cada caso sean resueltas por medio de un plan específico. </w:t>
      </w:r>
    </w:p>
    <w:p w:rsidR="00895FCF" w:rsidRPr="00A75361" w:rsidRDefault="00895FCF"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 xml:space="preserve">La base para iniciar un mecanismo adecuado para ejecutar las sentencias es una verdadera institucionalización de los órganos del Estado, ello implica además una determinación clara de sus competencias, lo que permite generar acuerdos y dinámicas positivas. El proceso de ejecución es importante dentro de los Estados pues además de que se busca dar cumplimiento a las sentencias de la Corte IDH, se pueden evidenciar defectos en la ejecución de planes y logro de objetivos que requieren la cooperación de varias instituciones a la vez, permite realizar un sondeo de las relaciones interinstitucionales, y si sus actuaciones están marchando en conjunto a objetivos que respondan a un plan nacional de desarrollo. Las relaciones que se pueden crear en ocasión a la ejecución de las sentencias de la Corte IDH pueden ser fructíferas para la ejecución de proyectos internos logrando un mejor manejo administrativo. </w:t>
      </w:r>
    </w:p>
    <w:p w:rsidR="00895FCF" w:rsidRPr="00A75361" w:rsidRDefault="00895FCF" w:rsidP="00A75361">
      <w:pPr>
        <w:pStyle w:val="Sinespaciado"/>
        <w:spacing w:line="360" w:lineRule="auto"/>
        <w:jc w:val="both"/>
        <w:rPr>
          <w:rFonts w:ascii="Arial" w:eastAsia="Arial Unicode MS" w:hAnsi="Arial" w:cs="Arial"/>
          <w:color w:val="000000"/>
          <w:sz w:val="22"/>
          <w:szCs w:val="22"/>
          <w:u w:color="000000"/>
          <w:lang w:val="es-ES" w:eastAsia="es-ES"/>
        </w:rPr>
      </w:pPr>
    </w:p>
    <w:p w:rsidR="008F2951" w:rsidRPr="00A75361" w:rsidRDefault="008F2951" w:rsidP="00A75361">
      <w:pPr>
        <w:pStyle w:val="Sinespaciado"/>
        <w:spacing w:line="360" w:lineRule="auto"/>
        <w:jc w:val="both"/>
        <w:rPr>
          <w:rFonts w:ascii="Arial" w:eastAsia="Arial Unicode MS" w:hAnsi="Arial" w:cs="Arial"/>
          <w:color w:val="000000"/>
          <w:sz w:val="22"/>
          <w:szCs w:val="22"/>
          <w:u w:color="000000"/>
          <w:lang w:val="es-ES" w:eastAsia="es-ES"/>
        </w:rPr>
      </w:pPr>
      <w:r w:rsidRPr="00A75361">
        <w:rPr>
          <w:rFonts w:ascii="Arial" w:eastAsia="Arial Unicode MS" w:hAnsi="Arial" w:cs="Arial"/>
          <w:color w:val="000000"/>
          <w:sz w:val="22"/>
          <w:szCs w:val="22"/>
          <w:u w:color="000000"/>
          <w:lang w:val="es-ES" w:eastAsia="es-ES"/>
        </w:rPr>
        <w:t>Usualmente dentro de las instituciones públicas, en especial de la función ejecutiva, al generarse conflictos y falta de acuerdos en la ejecución de las sentencias, se espera que sus autoridades solucionen los problemas, este es un defecto significativo pues si dentro de las insti</w:t>
      </w:r>
      <w:r w:rsidR="00E17B55">
        <w:rPr>
          <w:rFonts w:ascii="Arial" w:eastAsia="Arial Unicode MS" w:hAnsi="Arial" w:cs="Arial"/>
          <w:color w:val="000000"/>
          <w:sz w:val="22"/>
          <w:szCs w:val="22"/>
          <w:u w:color="000000"/>
          <w:lang w:val="es-ES" w:eastAsia="es-ES"/>
        </w:rPr>
        <w:t xml:space="preserve">tuciones del Estado no se puede </w:t>
      </w:r>
      <w:r w:rsidRPr="00A75361">
        <w:rPr>
          <w:rFonts w:ascii="Arial" w:eastAsia="Arial Unicode MS" w:hAnsi="Arial" w:cs="Arial"/>
          <w:color w:val="000000"/>
          <w:sz w:val="22"/>
          <w:szCs w:val="22"/>
          <w:u w:color="000000"/>
          <w:lang w:val="es-ES" w:eastAsia="es-ES"/>
        </w:rPr>
        <w:t xml:space="preserve"> llegar a acuerdos y consensos, etapas donde se requerirá la opinión y participación de los representantes de las victimas traerán más complicaciones. El pretender que para cada etapa de la ejecución de determinadas medidas se requerirá la aprobación de las máximas autoridades, representa cierta inversión de tiempo pues el visto bueno de los titulares de los órganos se da luego de procesos internos de revisión, estudio y análisis y muchas veces la reasignación de las tareas a nuevos funcionarios por falta de experiencia o conocimiento</w:t>
      </w:r>
      <w:r w:rsidR="00AC780A">
        <w:rPr>
          <w:rFonts w:ascii="Arial" w:eastAsia="Arial Unicode MS" w:hAnsi="Arial" w:cs="Arial"/>
          <w:color w:val="000000"/>
          <w:sz w:val="22"/>
          <w:szCs w:val="22"/>
          <w:u w:color="000000"/>
          <w:lang w:val="es-ES" w:eastAsia="es-ES"/>
        </w:rPr>
        <w:t>,</w:t>
      </w:r>
      <w:r w:rsidRPr="00A75361">
        <w:rPr>
          <w:rFonts w:ascii="Arial" w:eastAsia="Arial Unicode MS" w:hAnsi="Arial" w:cs="Arial"/>
          <w:color w:val="000000"/>
          <w:sz w:val="22"/>
          <w:szCs w:val="22"/>
          <w:u w:color="000000"/>
          <w:lang w:val="es-ES" w:eastAsia="es-ES"/>
        </w:rPr>
        <w:t xml:space="preserve"> retrasando los </w:t>
      </w:r>
      <w:r w:rsidRPr="00A75361">
        <w:rPr>
          <w:rFonts w:ascii="Arial" w:eastAsia="Arial Unicode MS" w:hAnsi="Arial" w:cs="Arial"/>
          <w:color w:val="000000"/>
          <w:sz w:val="22"/>
          <w:szCs w:val="22"/>
          <w:u w:color="000000"/>
          <w:lang w:val="es-ES" w:eastAsia="es-ES"/>
        </w:rPr>
        <w:lastRenderedPageBreak/>
        <w:t xml:space="preserve">procesos significativamente. Lo que se busca en definitiva es que se </w:t>
      </w:r>
      <w:proofErr w:type="spellStart"/>
      <w:r w:rsidRPr="00A75361">
        <w:rPr>
          <w:rFonts w:ascii="Arial" w:eastAsia="Arial Unicode MS" w:hAnsi="Arial" w:cs="Arial"/>
          <w:color w:val="000000"/>
          <w:sz w:val="22"/>
          <w:szCs w:val="22"/>
          <w:u w:color="000000"/>
          <w:lang w:val="es-ES" w:eastAsia="es-ES"/>
        </w:rPr>
        <w:t>cimenten</w:t>
      </w:r>
      <w:proofErr w:type="spellEnd"/>
      <w:r w:rsidRPr="00A75361">
        <w:rPr>
          <w:rFonts w:ascii="Arial" w:eastAsia="Arial Unicode MS" w:hAnsi="Arial" w:cs="Arial"/>
          <w:color w:val="000000"/>
          <w:sz w:val="22"/>
          <w:szCs w:val="22"/>
          <w:u w:color="000000"/>
          <w:lang w:val="es-ES" w:eastAsia="es-ES"/>
        </w:rPr>
        <w:t xml:space="preserve"> las bases para un eficaz manejo administrativo en la fase de ejecución de las sentencias de la Corte IDH, no se puede pretender que se someta a las víctimas a conflictos internos de la administración por falta de </w:t>
      </w:r>
      <w:r w:rsidR="00AC780A">
        <w:rPr>
          <w:rFonts w:ascii="Arial" w:eastAsia="Arial Unicode MS" w:hAnsi="Arial" w:cs="Arial"/>
          <w:color w:val="000000"/>
          <w:sz w:val="22"/>
          <w:szCs w:val="22"/>
          <w:u w:color="000000"/>
          <w:lang w:val="es-ES" w:eastAsia="es-ES"/>
        </w:rPr>
        <w:t>claridad de competencias o planifica</w:t>
      </w:r>
      <w:r w:rsidRPr="00A75361">
        <w:rPr>
          <w:rFonts w:ascii="Arial" w:eastAsia="Arial Unicode MS" w:hAnsi="Arial" w:cs="Arial"/>
          <w:color w:val="000000"/>
          <w:sz w:val="22"/>
          <w:szCs w:val="22"/>
          <w:u w:color="000000"/>
          <w:lang w:val="es-ES" w:eastAsia="es-ES"/>
        </w:rPr>
        <w:t>ción, es importante que la normativa contemple mecanismos adecuados para la ejecución de sentencias siempre que no representen la implementación de procesos burocráticos innecesarios.</w:t>
      </w:r>
    </w:p>
    <w:p w:rsidR="00921AE1" w:rsidRPr="008F2951" w:rsidRDefault="008F2951" w:rsidP="008F2951">
      <w:pPr>
        <w:spacing w:before="20" w:line="360" w:lineRule="auto"/>
        <w:jc w:val="both"/>
        <w:outlineLvl w:val="0"/>
        <w:rPr>
          <w:rFonts w:ascii="Arial" w:eastAsia="Arial Unicode MS" w:hAnsi="Arial Unicode MS"/>
          <w:color w:val="000000"/>
          <w:sz w:val="22"/>
          <w:szCs w:val="20"/>
          <w:u w:color="000000"/>
          <w:lang w:val="es-ES" w:eastAsia="es-ES"/>
        </w:rPr>
      </w:pPr>
      <w:r w:rsidRPr="008F2951">
        <w:rPr>
          <w:rFonts w:ascii="Arial" w:eastAsia="Arial Unicode MS" w:hAnsi="Arial Unicode MS"/>
          <w:color w:val="000000"/>
          <w:sz w:val="22"/>
          <w:szCs w:val="20"/>
          <w:u w:color="000000"/>
          <w:lang w:val="es-ES" w:eastAsia="es-ES"/>
        </w:rPr>
        <w:t xml:space="preserve">  </w:t>
      </w:r>
    </w:p>
    <w:p w:rsidR="008F2951" w:rsidRPr="00C45A27" w:rsidRDefault="00895FCF" w:rsidP="00C45A27">
      <w:pPr>
        <w:pStyle w:val="Ttulo3"/>
        <w:spacing w:line="360" w:lineRule="auto"/>
        <w:ind w:left="720" w:hanging="720"/>
        <w:jc w:val="both"/>
        <w:rPr>
          <w:rFonts w:ascii="Arial" w:eastAsia="Arial Unicode MS" w:hAnsi="Arial"/>
          <w:color w:val="000000"/>
          <w:sz w:val="22"/>
          <w:szCs w:val="20"/>
          <w:u w:color="000000"/>
          <w:lang w:val="es-ES" w:eastAsia="es-ES"/>
        </w:rPr>
      </w:pPr>
      <w:bookmarkStart w:id="33" w:name="_Toc356432270"/>
      <w:r w:rsidRPr="00C45A27">
        <w:rPr>
          <w:rFonts w:ascii="Arial" w:eastAsia="Arial Unicode MS" w:hAnsi="Arial" w:cs="Arial"/>
          <w:color w:val="000000"/>
          <w:sz w:val="22"/>
          <w:szCs w:val="22"/>
          <w:lang w:val="es-ES" w:eastAsia="es-ES"/>
        </w:rPr>
        <w:t>3.2.2.</w:t>
      </w:r>
      <w:r w:rsidRPr="00C45A27">
        <w:rPr>
          <w:rFonts w:ascii="Arial" w:eastAsia="Arial Unicode MS" w:hAnsi="Arial" w:cs="Arial"/>
          <w:color w:val="000000"/>
          <w:sz w:val="22"/>
          <w:szCs w:val="22"/>
          <w:lang w:val="es-ES" w:eastAsia="es-ES"/>
        </w:rPr>
        <w:tab/>
      </w:r>
      <w:r w:rsidR="00B8434B">
        <w:rPr>
          <w:rFonts w:ascii="Arial" w:eastAsia="Arial Unicode MS" w:hAnsi="Arial" w:cs="Arial"/>
          <w:color w:val="000000"/>
          <w:sz w:val="22"/>
          <w:szCs w:val="22"/>
          <w:u w:color="000000"/>
          <w:lang w:val="es-ES" w:eastAsia="es-ES"/>
        </w:rPr>
        <w:t>Reformas legislativas en los E</w:t>
      </w:r>
      <w:r w:rsidR="00E917DE" w:rsidRPr="00C45A27">
        <w:rPr>
          <w:rFonts w:ascii="Arial" w:eastAsia="Arial Unicode MS" w:hAnsi="Arial" w:cs="Arial"/>
          <w:color w:val="000000"/>
          <w:sz w:val="22"/>
          <w:szCs w:val="22"/>
          <w:u w:color="000000"/>
          <w:lang w:val="es-ES" w:eastAsia="es-ES"/>
        </w:rPr>
        <w:t>stados responsables dispuestas por la Corte IDH</w:t>
      </w:r>
      <w:bookmarkEnd w:id="33"/>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Dentro de las medidas que tienen como objetivo el evitar la repetición de los hechos que provocaron la violación de los derechos, la Corte IDH ha determinado reformas en la normativa interna de los Estados responsables, la Corte </w:t>
      </w:r>
      <w:r w:rsidR="00FC166B" w:rsidRPr="00A75361">
        <w:rPr>
          <w:rFonts w:ascii="Arial" w:eastAsia="Arial Unicode MS" w:hAnsi="Arial" w:cs="Arial"/>
          <w:sz w:val="22"/>
          <w:szCs w:val="22"/>
          <w:u w:color="000000"/>
          <w:lang w:val="es-ES_tradnl"/>
        </w:rPr>
        <w:t>IDH</w:t>
      </w:r>
      <w:r w:rsidR="00FC166B" w:rsidRPr="009E04F2">
        <w:rPr>
          <w:rFonts w:ascii="Arial" w:eastAsia="Arial Unicode MS" w:hAnsi="Arial" w:cs="Arial"/>
          <w:sz w:val="22"/>
          <w:szCs w:val="22"/>
          <w:u w:color="000000"/>
          <w:lang w:val="es-ES_tradnl"/>
        </w:rPr>
        <w:t xml:space="preserve"> </w:t>
      </w:r>
      <w:r w:rsidRPr="009E04F2">
        <w:rPr>
          <w:rFonts w:ascii="Arial" w:eastAsia="Arial Unicode MS" w:hAnsi="Arial" w:cs="Arial"/>
          <w:sz w:val="22"/>
          <w:szCs w:val="22"/>
          <w:u w:color="000000"/>
          <w:lang w:val="es-ES_tradnl"/>
        </w:rPr>
        <w:t>además ha establecido en ciertos casos la creación de preceptos jurídicos por la presencia de vacíos respecto a la protección de determinados derechos, y adicionalmente puede ordenarse la derogatoria de normas que vulneran los derechos humanos.</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La atribución de la Corte IDH para establecer reformas en los ordenamientos internos nace del artículo 2 de la Convención Americana sobre derechos humanos, en el que se establece que los Estados tienen el deber de ajustar su normativa interna para hacer efectivos los derechos y libertades consagrados en la Convención. Cuando en el estudio de un determinado caso, la Corte IDH encuentra normas nacionales contrarias o falta de normas que garanticen los derechos protegidos por la Convención Americana, ordena inmediatamente que a través de los mecanismos dispuestos en el Estado en cuestión se realicen las reformas correspondientes. Los efectos generales de este tipo de medidas tienen gran impacto en la vigencia de los derechos garantizados en la Conve</w:t>
      </w:r>
      <w:r w:rsidR="00FC166B">
        <w:rPr>
          <w:rFonts w:ascii="Arial" w:eastAsia="Arial Unicode MS" w:hAnsi="Arial" w:cs="Arial"/>
          <w:sz w:val="22"/>
          <w:szCs w:val="22"/>
          <w:u w:color="000000"/>
          <w:lang w:val="es-ES_tradnl"/>
        </w:rPr>
        <w:t>nción Americana en los Estados P</w:t>
      </w:r>
      <w:r w:rsidRPr="009E04F2">
        <w:rPr>
          <w:rFonts w:ascii="Arial" w:eastAsia="Arial Unicode MS" w:hAnsi="Arial" w:cs="Arial"/>
          <w:sz w:val="22"/>
          <w:szCs w:val="22"/>
          <w:u w:color="000000"/>
          <w:lang w:val="es-ES_tradnl"/>
        </w:rPr>
        <w:t>arte</w:t>
      </w:r>
      <w:r w:rsidR="00FC166B">
        <w:rPr>
          <w:rFonts w:ascii="Arial" w:eastAsia="Arial Unicode MS" w:hAnsi="Arial" w:cs="Arial"/>
          <w:sz w:val="22"/>
          <w:szCs w:val="22"/>
          <w:u w:color="000000"/>
          <w:lang w:val="es-ES_tradnl"/>
        </w:rPr>
        <w:t>s</w:t>
      </w:r>
      <w:r w:rsidRPr="009E04F2">
        <w:rPr>
          <w:rFonts w:ascii="Arial" w:eastAsia="Arial Unicode MS" w:hAnsi="Arial" w:cs="Arial"/>
          <w:sz w:val="22"/>
          <w:szCs w:val="22"/>
          <w:u w:color="000000"/>
          <w:lang w:val="es-ES_tradnl"/>
        </w:rPr>
        <w:t>.</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 xml:space="preserve">La Corte </w:t>
      </w:r>
      <w:r w:rsidR="00F87E21" w:rsidRPr="00A75361">
        <w:rPr>
          <w:rFonts w:ascii="Arial" w:eastAsia="Arial Unicode MS" w:hAnsi="Arial" w:cs="Arial"/>
          <w:sz w:val="22"/>
          <w:szCs w:val="22"/>
          <w:u w:color="000000"/>
          <w:lang w:val="es-ES_tradnl"/>
        </w:rPr>
        <w:t>IDH</w:t>
      </w:r>
      <w:r w:rsidR="00F87E21" w:rsidRPr="009E04F2">
        <w:rPr>
          <w:rFonts w:ascii="Arial" w:eastAsia="Arial Unicode MS" w:hAnsi="Arial" w:cs="Arial"/>
          <w:color w:val="000000"/>
          <w:sz w:val="22"/>
          <w:szCs w:val="22"/>
          <w:u w:color="000000"/>
          <w:lang w:val="es-ES_tradnl"/>
        </w:rPr>
        <w:t xml:space="preserve"> </w:t>
      </w:r>
      <w:r w:rsidRPr="009E04F2">
        <w:rPr>
          <w:rFonts w:ascii="Arial" w:eastAsia="Arial Unicode MS" w:hAnsi="Arial" w:cs="Arial"/>
          <w:color w:val="000000"/>
          <w:sz w:val="22"/>
          <w:szCs w:val="22"/>
          <w:u w:color="000000"/>
          <w:lang w:val="es-ES_tradnl"/>
        </w:rPr>
        <w:t>ha sido categórica al determinar en su jurisprudencia el deber de los Estados de suprimir de su ordenamiento jurídico las normas vigentes que impliquen una violación a la Convención, al respecto ha señalado que:</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C05AD4" w:rsidRDefault="008F2951" w:rsidP="00F87E21">
      <w:pPr>
        <w:pStyle w:val="Sinespaciado"/>
        <w:spacing w:line="276" w:lineRule="auto"/>
        <w:ind w:left="720"/>
        <w:jc w:val="both"/>
        <w:rPr>
          <w:rFonts w:ascii="Arial" w:eastAsia="Arial Unicode MS" w:hAnsi="Arial" w:cs="Arial"/>
          <w:color w:val="000000"/>
          <w:sz w:val="20"/>
          <w:szCs w:val="20"/>
          <w:u w:color="000000"/>
          <w:lang w:val="es-ES_tradnl"/>
        </w:rPr>
      </w:pPr>
      <w:r w:rsidRPr="00C05AD4">
        <w:rPr>
          <w:rFonts w:ascii="Arial" w:eastAsia="Arial Unicode MS" w:hAnsi="Arial" w:cs="Arial"/>
          <w:color w:val="000000"/>
          <w:sz w:val="20"/>
          <w:szCs w:val="20"/>
          <w:u w:color="000000"/>
          <w:lang w:val="es-ES_tradnl"/>
        </w:rPr>
        <w:t xml:space="preserve">En el derecho de gentes, una norma consuetudinaria prescribe que un Estado que ha ratificado un tratado de derechos humanos debe introducir en su derecho interno las modificaciones necesarias para asegurar el fiel cumplimiento de las obligaciones asumidas. Esta norma es universalmente aceptada, con respaldo jurisprudencial. La Convención Americana establece la obligación general de cada Estado Parte de adecuar </w:t>
      </w:r>
      <w:r w:rsidRPr="00C05AD4">
        <w:rPr>
          <w:rFonts w:ascii="Arial" w:eastAsia="Arial Unicode MS" w:hAnsi="Arial" w:cs="Arial"/>
          <w:color w:val="000000"/>
          <w:sz w:val="20"/>
          <w:szCs w:val="20"/>
          <w:u w:color="000000"/>
          <w:lang w:val="es-ES_tradnl"/>
        </w:rPr>
        <w:lastRenderedPageBreak/>
        <w:t xml:space="preserve">su derecho interno a las disposiciones de dicha Convención, para garantizar los derechos en ella consagrados. Este deber general del Estado Parte implica que las medidas de derecho interno han de ser efectivas (principio del </w:t>
      </w:r>
      <w:proofErr w:type="spellStart"/>
      <w:r w:rsidRPr="00B8434B">
        <w:rPr>
          <w:rFonts w:ascii="Arial" w:eastAsia="Arial Unicode MS" w:hAnsi="Arial" w:cs="Arial"/>
          <w:i/>
          <w:color w:val="000000"/>
          <w:sz w:val="20"/>
          <w:szCs w:val="20"/>
          <w:u w:color="000000"/>
          <w:lang w:val="es-ES_tradnl"/>
        </w:rPr>
        <w:t>effet</w:t>
      </w:r>
      <w:proofErr w:type="spellEnd"/>
      <w:r w:rsidRPr="00B8434B">
        <w:rPr>
          <w:rFonts w:ascii="Arial" w:eastAsia="Arial Unicode MS" w:hAnsi="Arial" w:cs="Arial"/>
          <w:i/>
          <w:color w:val="000000"/>
          <w:sz w:val="20"/>
          <w:szCs w:val="20"/>
          <w:u w:color="000000"/>
          <w:lang w:val="es-ES_tradnl"/>
        </w:rPr>
        <w:t xml:space="preserve"> </w:t>
      </w:r>
      <w:proofErr w:type="spellStart"/>
      <w:r w:rsidRPr="00B8434B">
        <w:rPr>
          <w:rFonts w:ascii="Arial" w:eastAsia="Arial Unicode MS" w:hAnsi="Arial" w:cs="Arial"/>
          <w:i/>
          <w:color w:val="000000"/>
          <w:sz w:val="20"/>
          <w:szCs w:val="20"/>
          <w:u w:color="000000"/>
          <w:lang w:val="es-ES_tradnl"/>
        </w:rPr>
        <w:t>utile</w:t>
      </w:r>
      <w:proofErr w:type="spellEnd"/>
      <w:r w:rsidRPr="00C05AD4">
        <w:rPr>
          <w:rFonts w:ascii="Arial" w:eastAsia="Arial Unicode MS" w:hAnsi="Arial" w:cs="Arial"/>
          <w:color w:val="000000"/>
          <w:sz w:val="20"/>
          <w:szCs w:val="20"/>
          <w:u w:color="000000"/>
          <w:lang w:val="es-ES_tradnl"/>
        </w:rPr>
        <w:t>). Esto significa que el Estado ha de adoptar todas las medidas para que lo establecido en la Convención sea efectivamente cumplido en su ordenamiento jurídico interno, tal como lo requiere el artículo 2 de la Convención. Dichas medidas sólo son efectivas cuando el Estado adapta su actuación a la normativa de protección de la Convención</w:t>
      </w:r>
      <w:r w:rsidRPr="00C05AD4">
        <w:rPr>
          <w:rFonts w:ascii="Arial" w:eastAsia="Arial Unicode MS" w:hAnsi="Arial" w:cs="Arial"/>
          <w:color w:val="000000"/>
          <w:sz w:val="20"/>
          <w:szCs w:val="20"/>
          <w:u w:color="000000"/>
          <w:vertAlign w:val="superscript"/>
          <w:lang w:val="es-ES_tradnl"/>
        </w:rPr>
        <w:footnoteReference w:id="177"/>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66208C"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 xml:space="preserve">Las medidas para evitar la repetición de hechos violatorios de derechos ordenadas por la Corte IDH, han llevado incluso a que los Estados realicen reformas en sus constituciones, que se evalúen además las normas que garantizan el derecho al debido proceso, se han motivado además mejoras en las condiciones carcelarias, además que los Estados pongan límites determinados a las acciones de la fuerza pública. </w:t>
      </w:r>
    </w:p>
    <w:p w:rsidR="0066208C" w:rsidRPr="009E04F2" w:rsidRDefault="0066208C"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 xml:space="preserve">La Corte IDH ha ordenado también que se implementen normas tendientes a la tipificación de delitos como de desaparición forzada de personas y ejecuciones extrajudiciales, además normas que garanticen el ejercicio del derecho a la propiedad, y aquellas necesarias para regular la propiedad de tierras de grupos indígenas ancestrales. Normas que además tienen por objeto mejorar la administración de justicia para avanzar en la judicialización a los responsables de las violaciones y normas que permitan la creación y funcionamiento de comisiones de la verdad y reconciliación.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Las reformas normativas son medidas con efectos generales que buscan mejorar de forma permanente las condiciones de protección y respeto a los derechos humanos dentro de los Estados responsables, por ello los órganos encargados de cumplir estas medidas deben ejecutarlas no solamente por satisfacer a las victimas particulares o por la supervisión de cumplimiento que mantiene la Corte IDH, sino adicionalmente por una obligació</w:t>
      </w:r>
      <w:r w:rsidR="00674441">
        <w:rPr>
          <w:rFonts w:ascii="Arial" w:eastAsia="Arial Unicode MS" w:hAnsi="Arial" w:cs="Arial"/>
          <w:color w:val="000000"/>
          <w:sz w:val="22"/>
          <w:szCs w:val="22"/>
          <w:u w:color="000000"/>
          <w:lang w:val="es-ES_tradnl"/>
        </w:rPr>
        <w:t>n internacional de los Estados P</w:t>
      </w:r>
      <w:r w:rsidRPr="009E04F2">
        <w:rPr>
          <w:rFonts w:ascii="Arial" w:eastAsia="Arial Unicode MS" w:hAnsi="Arial" w:cs="Arial"/>
          <w:color w:val="000000"/>
          <w:sz w:val="22"/>
          <w:szCs w:val="22"/>
          <w:u w:color="000000"/>
          <w:lang w:val="es-ES_tradnl"/>
        </w:rPr>
        <w:t xml:space="preserve">artes de la Convención Americana.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 xml:space="preserve">En varios casos en que ha sido necesario, la Corte </w:t>
      </w:r>
      <w:r w:rsidR="00674441" w:rsidRPr="00A75361">
        <w:rPr>
          <w:rFonts w:ascii="Arial" w:eastAsia="Arial Unicode MS" w:hAnsi="Arial" w:cs="Arial"/>
          <w:sz w:val="22"/>
          <w:szCs w:val="22"/>
          <w:u w:color="000000"/>
          <w:lang w:val="es-ES_tradnl"/>
        </w:rPr>
        <w:t>IDH</w:t>
      </w:r>
      <w:r w:rsidR="00674441" w:rsidRPr="009E04F2">
        <w:rPr>
          <w:rFonts w:ascii="Arial" w:eastAsia="Arial Unicode MS" w:hAnsi="Arial" w:cs="Arial"/>
          <w:color w:val="000000"/>
          <w:sz w:val="22"/>
          <w:szCs w:val="22"/>
          <w:u w:color="000000"/>
          <w:lang w:val="es-ES_tradnl"/>
        </w:rPr>
        <w:t xml:space="preserve"> </w:t>
      </w:r>
      <w:r w:rsidRPr="009E04F2">
        <w:rPr>
          <w:rFonts w:ascii="Arial" w:eastAsia="Arial Unicode MS" w:hAnsi="Arial" w:cs="Arial"/>
          <w:color w:val="000000"/>
          <w:sz w:val="22"/>
          <w:szCs w:val="22"/>
          <w:u w:color="000000"/>
          <w:lang w:val="es-ES_tradnl"/>
        </w:rPr>
        <w:t xml:space="preserve">ha ordenado medidas de reformas normativas, por ejemplo en el caso Barrios Altos vs Perú, en la sentencia de reparaciones y costas, se decidió que el Estado del Perú inicie el proceso por el cual se incorpore la figura jurídica que resulte más conveniente para tipificar el delito de ejecuciones extrajudiciales, además que dé inicio al procedimiento para suscribir y promover la ratificación de la Convención Internacional sobre Imprescriptibilidad de Crímenes de Lesa Humanidad, también que se declare la ineficacia de las Leyes Nº </w:t>
      </w:r>
      <w:r w:rsidRPr="009E04F2">
        <w:rPr>
          <w:rFonts w:ascii="Arial" w:eastAsia="Arial Unicode MS" w:hAnsi="Arial" w:cs="Arial"/>
          <w:color w:val="000000"/>
          <w:sz w:val="22"/>
          <w:szCs w:val="22"/>
          <w:u w:color="000000"/>
          <w:lang w:val="es-ES_tradnl"/>
        </w:rPr>
        <w:lastRenderedPageBreak/>
        <w:t>26479 y Nº26492, sobre amnistía que impedían la judicialización de los responsables de las violaciones</w:t>
      </w:r>
      <w:r w:rsidRPr="009E04F2">
        <w:rPr>
          <w:rFonts w:ascii="Arial" w:eastAsia="Arial Unicode MS" w:hAnsi="Arial" w:cs="Arial"/>
          <w:color w:val="000000"/>
          <w:sz w:val="22"/>
          <w:szCs w:val="22"/>
          <w:u w:color="000000"/>
          <w:vertAlign w:val="superscript"/>
          <w:lang w:val="es-ES_tradnl"/>
        </w:rPr>
        <w:footnoteReference w:id="178"/>
      </w:r>
      <w:r w:rsidRPr="009E04F2">
        <w:rPr>
          <w:rFonts w:ascii="Arial" w:eastAsia="Arial Unicode MS" w:hAnsi="Arial" w:cs="Arial"/>
          <w:color w:val="000000"/>
          <w:sz w:val="22"/>
          <w:szCs w:val="22"/>
          <w:u w:color="000000"/>
          <w:lang w:val="es-ES_tradnl"/>
        </w:rPr>
        <w:t>. En la resolución de la Corte IDH de 7 de septiembre del 2012 sobre supervisión de cumplimiento de sentencia del presente caso, se declaró que estaba pendiente de cumplimiento entre otros puntos, el avance en la incorporación de la figura jurídica que resulte más conveniente para tipificar el delito de ejecuciones extrajudiciales</w:t>
      </w:r>
      <w:r w:rsidRPr="009E04F2">
        <w:rPr>
          <w:rFonts w:ascii="Arial" w:eastAsia="Arial Unicode MS" w:hAnsi="Arial" w:cs="Arial"/>
          <w:color w:val="000000"/>
          <w:sz w:val="22"/>
          <w:szCs w:val="22"/>
          <w:u w:color="000000"/>
          <w:vertAlign w:val="superscript"/>
          <w:lang w:val="es-ES_tradnl"/>
        </w:rPr>
        <w:footnoteReference w:id="179"/>
      </w:r>
      <w:r w:rsidRPr="009E04F2">
        <w:rPr>
          <w:rFonts w:ascii="Arial" w:eastAsia="Arial Unicode MS" w:hAnsi="Arial" w:cs="Arial"/>
          <w:color w:val="000000"/>
          <w:sz w:val="22"/>
          <w:szCs w:val="22"/>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t xml:space="preserve">En el caso de la Comunidad Indígena </w:t>
      </w:r>
      <w:proofErr w:type="spellStart"/>
      <w:r w:rsidRPr="009E04F2">
        <w:rPr>
          <w:rFonts w:ascii="Arial" w:eastAsia="Arial Unicode MS" w:hAnsi="Arial" w:cs="Arial"/>
          <w:color w:val="000000"/>
          <w:sz w:val="22"/>
          <w:szCs w:val="22"/>
          <w:u w:color="000000"/>
          <w:lang w:val="es-ES" w:eastAsia="es-ES"/>
        </w:rPr>
        <w:t>Sawhoyamaxa</w:t>
      </w:r>
      <w:proofErr w:type="spellEnd"/>
      <w:r w:rsidRPr="009E04F2">
        <w:rPr>
          <w:rFonts w:ascii="Arial" w:eastAsia="Arial Unicode MS" w:hAnsi="Arial" w:cs="Arial"/>
          <w:color w:val="000000"/>
          <w:sz w:val="22"/>
          <w:szCs w:val="22"/>
          <w:u w:color="000000"/>
          <w:lang w:val="es-ES" w:eastAsia="es-ES"/>
        </w:rPr>
        <w:t xml:space="preserve"> vs. Paraguay, la Corte IDH en cuanto a medidas de adecuación de la legislación interna a la Convención Americana, considerando que es necesario que el Estado garantice el goce efectivo los derechos reconocidos en su Constitución Política y en su legislación, de conformidad con la Convención Americana, ordenó que en un plazo razonable se adopten las medidas legislativas, administrativas y de cualquier otro carácter que sean necesarias para crear un mecanismo eficaz de reclamación de tierras ancestrales de los pueblos indígenas que haga cierto su derecho de propiedad y que tenga en cuenta su derecho consuetudinario, valores, usos y costumbres.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t xml:space="preserve">Como vemos, en el caso de la Comunidad Indígena </w:t>
      </w:r>
      <w:proofErr w:type="spellStart"/>
      <w:r w:rsidRPr="009E04F2">
        <w:rPr>
          <w:rFonts w:ascii="Arial" w:eastAsia="Arial Unicode MS" w:hAnsi="Arial" w:cs="Arial"/>
          <w:color w:val="000000"/>
          <w:sz w:val="22"/>
          <w:szCs w:val="22"/>
          <w:u w:color="000000"/>
          <w:lang w:val="es-ES" w:eastAsia="es-ES"/>
        </w:rPr>
        <w:t>Sawhoyamaxa</w:t>
      </w:r>
      <w:proofErr w:type="spellEnd"/>
      <w:r w:rsidRPr="009E04F2">
        <w:rPr>
          <w:rFonts w:ascii="Arial" w:eastAsia="Arial Unicode MS" w:hAnsi="Arial" w:cs="Arial"/>
          <w:color w:val="000000"/>
          <w:sz w:val="22"/>
          <w:szCs w:val="22"/>
          <w:u w:color="000000"/>
          <w:lang w:val="es-ES" w:eastAsia="es-ES"/>
        </w:rPr>
        <w:t xml:space="preserve"> a diferencia de Barrios Altos vs Perú, la obligación de adecuación de la legislación interna se presenta en términos más generales, es decir, no se ordena de forma determinada la derogación o creación de una determinada ley, en este caso se deja al Estado que adopte medidas de cualquier tipo siempre que se logre el objetivo de garantizar determinado derecho, esta indeterminación puede eventualmente causar dificultades en la ejecución pues las acciones realizadas podrían no adecuarse a las expectativas que señala la Corte IDH y por tanto provocar demoras en el cumplimiento.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t xml:space="preserve">En la resolución de 20 de mayo del 2009 sobre supervisión de cumplimiento de sentencia del caso de la Comunidad Indígena </w:t>
      </w:r>
      <w:proofErr w:type="spellStart"/>
      <w:r w:rsidRPr="009E04F2">
        <w:rPr>
          <w:rFonts w:ascii="Arial" w:eastAsia="Arial Unicode MS" w:hAnsi="Arial" w:cs="Arial"/>
          <w:color w:val="000000"/>
          <w:sz w:val="22"/>
          <w:szCs w:val="22"/>
          <w:u w:color="000000"/>
          <w:lang w:val="es-ES" w:eastAsia="es-ES"/>
        </w:rPr>
        <w:t>Sawhoyamaxa</w:t>
      </w:r>
      <w:proofErr w:type="spellEnd"/>
      <w:r w:rsidRPr="009E04F2">
        <w:rPr>
          <w:rFonts w:ascii="Arial" w:eastAsia="Arial Unicode MS" w:hAnsi="Arial" w:cs="Arial"/>
          <w:color w:val="000000"/>
          <w:sz w:val="22"/>
          <w:szCs w:val="22"/>
          <w:u w:color="000000"/>
          <w:lang w:val="es-ES" w:eastAsia="es-ES"/>
        </w:rPr>
        <w:t xml:space="preserve"> vs. Paraguay, la Presidencia observó que el plazo máximo de tres años para que el Estado adopte todas las medidas legislativas, administrativas y de cualquier otra índole necesarias para la entrega física y formal de las tierras tradicionales a los miembros de la Comunidad ya había vencido y que este Tribunal aún no contaba con los elementos necesarios para establecer el cumplimiento de esta obligación, por lo que fue necesario requerir al Estado información </w:t>
      </w:r>
      <w:r w:rsidRPr="009E04F2">
        <w:rPr>
          <w:rFonts w:ascii="Arial" w:eastAsia="Arial Unicode MS" w:hAnsi="Arial" w:cs="Arial"/>
          <w:color w:val="000000"/>
          <w:sz w:val="22"/>
          <w:szCs w:val="22"/>
          <w:u w:color="000000"/>
          <w:lang w:val="es-ES" w:eastAsia="es-ES"/>
        </w:rPr>
        <w:lastRenderedPageBreak/>
        <w:t>detallada sobre las gestiones que había emprendido para este proceso de titularización y entrega de tierras</w:t>
      </w:r>
      <w:r w:rsidRPr="009E04F2">
        <w:rPr>
          <w:rFonts w:ascii="Arial" w:eastAsia="Arial Unicode MS" w:hAnsi="Arial" w:cs="Arial"/>
          <w:color w:val="000000"/>
          <w:sz w:val="22"/>
          <w:szCs w:val="22"/>
          <w:vertAlign w:val="superscript"/>
          <w:lang w:val="es-ES" w:eastAsia="es-ES"/>
        </w:rPr>
        <w:footnoteReference w:id="180"/>
      </w:r>
      <w:r w:rsidRPr="009E04F2">
        <w:rPr>
          <w:rFonts w:ascii="Arial" w:eastAsia="Arial Unicode MS" w:hAnsi="Arial" w:cs="Arial"/>
          <w:color w:val="000000"/>
          <w:sz w:val="22"/>
          <w:szCs w:val="22"/>
          <w:u w:color="000000"/>
          <w:lang w:val="es-ES" w:eastAsia="es-ES"/>
        </w:rPr>
        <w:t xml:space="preserve">.  En esta resolución se resolvió convocar a la Comisión Interamericana de Derechos Humanos, a los representantes de las víctimas y a la República del Paraguay a una audiencia pública que se celebraría en el día 15 de julio de 2009, con el propósito de que la Corte </w:t>
      </w:r>
      <w:r w:rsidR="009D3C8B" w:rsidRPr="00A75361">
        <w:rPr>
          <w:rFonts w:ascii="Arial" w:eastAsia="Arial Unicode MS" w:hAnsi="Arial" w:cs="Arial"/>
          <w:sz w:val="22"/>
          <w:szCs w:val="22"/>
          <w:u w:color="000000"/>
          <w:lang w:val="es-ES_tradnl"/>
        </w:rPr>
        <w:t>IDH</w:t>
      </w:r>
      <w:r w:rsidR="009D3C8B" w:rsidRPr="009E04F2">
        <w:rPr>
          <w:rFonts w:ascii="Arial" w:eastAsia="Arial Unicode MS" w:hAnsi="Arial" w:cs="Arial"/>
          <w:color w:val="000000"/>
          <w:sz w:val="22"/>
          <w:szCs w:val="22"/>
          <w:u w:color="000000"/>
          <w:lang w:val="es-ES" w:eastAsia="es-ES"/>
        </w:rPr>
        <w:t xml:space="preserve"> </w:t>
      </w:r>
      <w:r w:rsidRPr="009E04F2">
        <w:rPr>
          <w:rFonts w:ascii="Arial" w:eastAsia="Arial Unicode MS" w:hAnsi="Arial" w:cs="Arial"/>
          <w:color w:val="000000"/>
          <w:sz w:val="22"/>
          <w:szCs w:val="22"/>
          <w:u w:color="000000"/>
          <w:lang w:val="es-ES" w:eastAsia="es-ES"/>
        </w:rPr>
        <w:t>obtenga información por parte del Estado sobre el cumplimiento de la Sentencia de fondo, reparaciones y costas emitida en el presente caso, sin embargo en la página web oficial de la Corte IDH no consta algún documento posterior que contenga resoluciones sobre el estado de cumplimiento de esta sentencia</w:t>
      </w:r>
      <w:r w:rsidRPr="009E04F2">
        <w:rPr>
          <w:rFonts w:ascii="Arial" w:eastAsia="Arial Unicode MS" w:hAnsi="Arial" w:cs="Arial"/>
          <w:color w:val="000000"/>
          <w:sz w:val="22"/>
          <w:szCs w:val="22"/>
          <w:vertAlign w:val="superscript"/>
          <w:lang w:val="es-ES" w:eastAsia="es-ES"/>
        </w:rPr>
        <w:footnoteReference w:id="181"/>
      </w:r>
      <w:r w:rsidRPr="009E04F2">
        <w:rPr>
          <w:rFonts w:ascii="Arial" w:eastAsia="Arial Unicode MS" w:hAnsi="Arial" w:cs="Arial"/>
          <w:color w:val="000000"/>
          <w:sz w:val="22"/>
          <w:szCs w:val="22"/>
          <w:u w:color="000000"/>
          <w:lang w:val="es-ES" w:eastAsia="es-ES"/>
        </w:rPr>
        <w:t xml:space="preserve">.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p>
    <w:p w:rsidR="008F2951" w:rsidRDefault="008F2951" w:rsidP="006E1739">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Como vemos existen casos donde las medidas de reformas o adecuación de la normativa interna de los Estados ordenadas por la Corte IDH, envisten una relativa facilidad para su cumplimiento respecto de otros, una de las razones puede ser la identificación inequívoca de cierta norma que re</w:t>
      </w:r>
      <w:r w:rsidR="009D3C8B">
        <w:rPr>
          <w:rFonts w:ascii="Arial" w:eastAsia="Arial Unicode MS" w:hAnsi="Arial" w:cs="Arial"/>
          <w:color w:val="000000"/>
          <w:sz w:val="22"/>
          <w:szCs w:val="22"/>
          <w:u w:color="000000"/>
          <w:lang w:val="es-ES_tradnl"/>
        </w:rPr>
        <w:t>quiere ser reformada o derogada</w:t>
      </w:r>
      <w:r w:rsidRPr="009E04F2">
        <w:rPr>
          <w:rFonts w:ascii="Arial" w:eastAsia="Arial Unicode MS" w:hAnsi="Arial" w:cs="Arial"/>
          <w:color w:val="000000"/>
          <w:sz w:val="22"/>
          <w:szCs w:val="22"/>
          <w:u w:color="000000"/>
          <w:lang w:val="es-ES_tradnl"/>
        </w:rPr>
        <w:t xml:space="preserve">, por otro lado cuando se ordena la adecuación del ordenamiento jurídico tendiente a regular cierta situación que por su complejidad no puede ser precisada de forma absoluta, surgen dificultades sobre el alcance y sentido que dichas normas deben contener. Es indispensable además que la sanción de leyes que promueven la protección de los derechos humanos estén libres de intereses políticos de ciertos sectores del Estado, las normas deben emitirse de forma breve y eficaz y no por mejorar la imagen pública de cierta bancada legislativa en ocasión al cumplimiento de las sentencias de la Corte IDH. </w:t>
      </w:r>
    </w:p>
    <w:p w:rsidR="00D31021" w:rsidRPr="006E1739" w:rsidRDefault="00D31021" w:rsidP="006E1739">
      <w:pPr>
        <w:pStyle w:val="Sinespaciado"/>
        <w:spacing w:line="360" w:lineRule="auto"/>
        <w:jc w:val="both"/>
        <w:rPr>
          <w:rFonts w:ascii="Arial" w:eastAsia="Arial Unicode MS" w:hAnsi="Arial" w:cs="Arial"/>
          <w:color w:val="000000"/>
          <w:sz w:val="22"/>
          <w:szCs w:val="22"/>
          <w:u w:color="000000"/>
          <w:lang w:val="es-ES_tradnl"/>
        </w:rPr>
      </w:pPr>
    </w:p>
    <w:p w:rsidR="008F2951" w:rsidRPr="00C45A27" w:rsidRDefault="00895FCF" w:rsidP="00C45A27">
      <w:pPr>
        <w:pStyle w:val="Ttulo3"/>
        <w:spacing w:line="360" w:lineRule="auto"/>
        <w:ind w:left="720" w:hanging="720"/>
        <w:jc w:val="both"/>
        <w:rPr>
          <w:rFonts w:ascii="Arial" w:eastAsia="Arial Unicode MS" w:hAnsi="Arial"/>
          <w:color w:val="auto"/>
          <w:sz w:val="22"/>
          <w:u w:color="000000"/>
          <w:lang w:val="es-ES_tradnl"/>
        </w:rPr>
      </w:pPr>
      <w:bookmarkStart w:id="34" w:name="_Toc356432271"/>
      <w:r w:rsidRPr="00C45A27">
        <w:rPr>
          <w:rFonts w:ascii="Arial" w:eastAsia="Arial Unicode MS" w:hAnsi="Arial"/>
          <w:color w:val="auto"/>
          <w:sz w:val="22"/>
          <w:u w:color="000000"/>
          <w:lang w:val="es-ES_tradnl"/>
        </w:rPr>
        <w:t>3.2.3.</w:t>
      </w:r>
      <w:r w:rsidRPr="00C45A27">
        <w:rPr>
          <w:rFonts w:ascii="Arial" w:eastAsia="Arial Unicode MS" w:hAnsi="Arial"/>
          <w:color w:val="auto"/>
          <w:sz w:val="22"/>
          <w:u w:color="000000"/>
          <w:lang w:val="es-ES_tradnl"/>
        </w:rPr>
        <w:tab/>
      </w:r>
      <w:r w:rsidR="00E917DE" w:rsidRPr="00C45A27">
        <w:rPr>
          <w:rFonts w:ascii="Arial" w:eastAsia="Arial Unicode MS" w:hAnsi="Arial"/>
          <w:color w:val="auto"/>
          <w:sz w:val="22"/>
          <w:u w:color="000000"/>
          <w:lang w:val="es-ES_tradnl"/>
        </w:rPr>
        <w:t>Organismos internos responsables de la ejecución las sentencias de la Corte IDH</w:t>
      </w:r>
      <w:bookmarkEnd w:id="34"/>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Las normas que los Estados emitan para regular la ejecución de las sentencias de la Corte IDH deben complementarse con órganos que las cumplan a cabalidad. Se estima conveniente que tales normas contemplen la creación de estos órganos y determinen sus competencias. No existe una tendencia marcada entre los países miembros en cuanto a las instituciones encargadas del cumplimiento, pues la Convención Americana no determina que los Estados deban implementar un mecanismo determinado para este fin.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Las diferencias que se presentan sobre los mecanismos para ejecutar las sentencias en los Estados, dan evidencia de las distintas realidades y entornos jurídicos y políticos de cada uno. Procesos plenamente desarrollados y vías perfectamente delineadas son reflejo de Estados comprometidos con la protección y respeto por los derechos humanos, y que además presentan un elevado grado de institucionalidad en sus funciones, ello da señales también de un correcto funcionamiento en las relaciones interinstitucionales, y capacidad para articular y desarrollar proyectos conjuntos. </w:t>
      </w:r>
    </w:p>
    <w:p w:rsidR="00420AE7" w:rsidRDefault="00420AE7"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Es evidente por otro lado que la ausencia de órganos especializados o la falta de regulación en los procesos de ejecución de las sentencias, de cómo resultado la implementación de vías incongruentes, ineficaces e improvisadas que generan conflictos dentro de los mismos órganos y falta de acuerdo con las víctimas. Si bien es necesario que todos los órganos del Estado vayan a la par del desarrollo jurisprudencial de la Corte IDH en materia de protección de derechos, los órganos encargados de la ejecución de las </w:t>
      </w:r>
      <w:r w:rsidR="002B32A6">
        <w:rPr>
          <w:rFonts w:ascii="Arial" w:eastAsia="Arial Unicode MS" w:hAnsi="Arial" w:cs="Arial"/>
          <w:sz w:val="22"/>
          <w:szCs w:val="22"/>
          <w:u w:color="000000"/>
          <w:lang w:val="es-ES_tradnl"/>
        </w:rPr>
        <w:t>sentencias deben ser los primero</w:t>
      </w:r>
      <w:r w:rsidRPr="009E04F2">
        <w:rPr>
          <w:rFonts w:ascii="Arial" w:eastAsia="Arial Unicode MS" w:hAnsi="Arial" w:cs="Arial"/>
          <w:sz w:val="22"/>
          <w:szCs w:val="22"/>
          <w:u w:color="000000"/>
          <w:lang w:val="es-ES_tradnl"/>
        </w:rPr>
        <w:t>s en implementar y dominar los preceptos de la Corte sobre todo los relacionados a las medidas de reparación como la satisfacción, rehabilitación y aquellas que evitan la repetición de los hechos, los mecanismos para ejecutar tales medidas deben desarro</w:t>
      </w:r>
      <w:r w:rsidR="002B32A6">
        <w:rPr>
          <w:rFonts w:ascii="Arial" w:eastAsia="Arial Unicode MS" w:hAnsi="Arial" w:cs="Arial"/>
          <w:sz w:val="22"/>
          <w:szCs w:val="22"/>
          <w:u w:color="000000"/>
          <w:lang w:val="es-ES_tradnl"/>
        </w:rPr>
        <w:t>llarse de tal modo que eviten</w:t>
      </w:r>
      <w:r w:rsidRPr="009E04F2">
        <w:rPr>
          <w:rFonts w:ascii="Arial" w:eastAsia="Arial Unicode MS" w:hAnsi="Arial" w:cs="Arial"/>
          <w:sz w:val="22"/>
          <w:szCs w:val="22"/>
          <w:u w:color="000000"/>
          <w:lang w:val="es-ES_tradnl"/>
        </w:rPr>
        <w:t xml:space="preserve"> confrontaciones por procesos burocráticos y retraso injustificado en el cumplimiento.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6E1739"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Los problemas al determinar que cierto órgano del Estado se encargará de la ejecución de la sentencia surgen cuando tales órganos no tienen el poder o cierta capacidad política para agilizar y ordenar al resto de órganos como ministerios de salud, vivienda y educación que las acciones deben iniciarse de inmediato, ello se presenta además por la inexistencia de sanciones en caso de incumplimiento. Si bien lo conveniente sería la creación de un órgano con suficiente autoridad para ordenar sobre las demás funciones del Estado, ello también generaría cierta desconfianza porque se estaría ante un órgano con excesivas atribuciones que eventualmente podría perjudicar la estructura del Estado y la independencia de los poderes. </w:t>
      </w:r>
    </w:p>
    <w:p w:rsidR="002B32A6" w:rsidRDefault="002B32A6"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Lo esencial dentro de los órganos de ejecución de sentencias es que se busque una continuidad en sus políticas y procesos, que funcionen de forma permanente y no se limiten a eventuales sesiones en ocasión a la notificación de determinada sentencia de la Corte IDH, es fundamental además que no sea obstruida por cambios casuales e innecesarios, del mismo modo que los funcionarios a su cargo adquieran cierta experticia</w:t>
      </w:r>
      <w:r w:rsidR="002B32A6">
        <w:rPr>
          <w:rFonts w:ascii="Arial" w:eastAsia="Arial Unicode MS" w:hAnsi="Arial" w:cs="Arial"/>
          <w:sz w:val="22"/>
          <w:szCs w:val="22"/>
          <w:u w:color="000000"/>
          <w:lang w:val="es-ES_tradnl"/>
        </w:rPr>
        <w:t xml:space="preserve"> </w:t>
      </w:r>
      <w:r w:rsidRPr="009E04F2">
        <w:rPr>
          <w:rFonts w:ascii="Arial" w:eastAsia="Arial Unicode MS" w:hAnsi="Arial" w:cs="Arial"/>
          <w:sz w:val="22"/>
          <w:szCs w:val="22"/>
          <w:u w:color="000000"/>
          <w:lang w:val="es-ES_tradnl"/>
        </w:rPr>
        <w:lastRenderedPageBreak/>
        <w:t xml:space="preserve">y no sean trasladados a otras entidades en periodos cortos, en general es necesario que su actividad no esté sometida a constantes cambios por la voluntad de cada gobierno de turno.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Usualmente al ser notificados los Estados con las sentencias de la Corte IDH, la</w:t>
      </w:r>
      <w:r w:rsidR="002B32A6">
        <w:rPr>
          <w:rFonts w:ascii="Arial" w:eastAsia="Arial Unicode MS" w:hAnsi="Arial" w:cs="Arial"/>
          <w:sz w:val="22"/>
          <w:szCs w:val="22"/>
          <w:u w:color="000000"/>
          <w:lang w:val="es-ES_tradnl"/>
        </w:rPr>
        <w:t>s</w:t>
      </w:r>
      <w:r w:rsidRPr="009E04F2">
        <w:rPr>
          <w:rFonts w:ascii="Arial" w:eastAsia="Arial Unicode MS" w:hAnsi="Arial" w:cs="Arial"/>
          <w:sz w:val="22"/>
          <w:szCs w:val="22"/>
          <w:u w:color="000000"/>
          <w:lang w:val="es-ES_tradnl"/>
        </w:rPr>
        <w:t xml:space="preserve"> Cancillería</w:t>
      </w:r>
      <w:r w:rsidR="002B32A6">
        <w:rPr>
          <w:rFonts w:ascii="Arial" w:eastAsia="Arial Unicode MS" w:hAnsi="Arial" w:cs="Arial"/>
          <w:sz w:val="22"/>
          <w:szCs w:val="22"/>
          <w:u w:color="000000"/>
          <w:lang w:val="es-ES_tradnl"/>
        </w:rPr>
        <w:t>s</w:t>
      </w:r>
      <w:r w:rsidRPr="009E04F2">
        <w:rPr>
          <w:rFonts w:ascii="Arial" w:eastAsia="Arial Unicode MS" w:hAnsi="Arial" w:cs="Arial"/>
          <w:sz w:val="22"/>
          <w:szCs w:val="22"/>
          <w:u w:color="000000"/>
          <w:lang w:val="es-ES_tradnl"/>
        </w:rPr>
        <w:t xml:space="preserve"> asume</w:t>
      </w:r>
      <w:r w:rsidR="002B32A6">
        <w:rPr>
          <w:rFonts w:ascii="Arial" w:eastAsia="Arial Unicode MS" w:hAnsi="Arial" w:cs="Arial"/>
          <w:sz w:val="22"/>
          <w:szCs w:val="22"/>
          <w:u w:color="000000"/>
          <w:lang w:val="es-ES_tradnl"/>
        </w:rPr>
        <w:t>n</w:t>
      </w:r>
      <w:r w:rsidRPr="009E04F2">
        <w:rPr>
          <w:rFonts w:ascii="Arial" w:eastAsia="Arial Unicode MS" w:hAnsi="Arial" w:cs="Arial"/>
          <w:sz w:val="22"/>
          <w:szCs w:val="22"/>
          <w:u w:color="000000"/>
          <w:lang w:val="es-ES_tradnl"/>
        </w:rPr>
        <w:t xml:space="preserve"> el proceso de ejecución bajo órdenes de </w:t>
      </w:r>
      <w:r w:rsidR="00416178">
        <w:rPr>
          <w:rFonts w:ascii="Arial" w:eastAsia="Arial Unicode MS" w:hAnsi="Arial" w:cs="Arial"/>
          <w:sz w:val="22"/>
          <w:szCs w:val="22"/>
          <w:u w:color="000000"/>
          <w:lang w:val="es-ES_tradnl"/>
        </w:rPr>
        <w:t>la P</w:t>
      </w:r>
      <w:r w:rsidRPr="009E04F2">
        <w:rPr>
          <w:rFonts w:ascii="Arial" w:eastAsia="Arial Unicode MS" w:hAnsi="Arial" w:cs="Arial"/>
          <w:sz w:val="22"/>
          <w:szCs w:val="22"/>
          <w:u w:color="000000"/>
          <w:lang w:val="es-ES_tradnl"/>
        </w:rPr>
        <w:t xml:space="preserve">residencia, lo que provoca que dicho proceso se encierre en la competencia del ejecutivo y no se cuente con la participación activa de los demás poderes del Estado, hay que tomar en cuenta que las medidas que buscan judicializar a los responsables están a cargo de la función judicial, y las medidas para reformar la normativa generalmente a cargo de la función legislativa, por lo que se requiere de un esfuerzo conjunto de todas estas funciones evitando confrontaciones por su independencia, esto evidencia de forma general la voluntad política respecto al cumplimiento de las sentencias.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2C5C90" w:rsidP="009E04F2">
      <w:pPr>
        <w:pStyle w:val="Sinespaciado"/>
        <w:spacing w:line="360" w:lineRule="auto"/>
        <w:jc w:val="both"/>
        <w:rPr>
          <w:rFonts w:ascii="Arial" w:eastAsia="Arial Unicode MS" w:hAnsi="Arial" w:cs="Arial"/>
          <w:sz w:val="22"/>
          <w:szCs w:val="22"/>
          <w:u w:color="000000"/>
          <w:lang w:val="es-ES_tradnl"/>
        </w:rPr>
      </w:pPr>
      <w:r>
        <w:rPr>
          <w:rFonts w:ascii="Arial" w:eastAsia="Arial Unicode MS" w:hAnsi="Arial" w:cs="Arial"/>
          <w:sz w:val="22"/>
          <w:szCs w:val="22"/>
          <w:u w:color="000000"/>
          <w:lang w:val="es-ES_tradnl"/>
        </w:rPr>
        <w:t>Cabe señalar</w:t>
      </w:r>
      <w:r w:rsidR="008F2951" w:rsidRPr="009E04F2">
        <w:rPr>
          <w:rFonts w:ascii="Arial" w:eastAsia="Arial Unicode MS" w:hAnsi="Arial" w:cs="Arial"/>
          <w:sz w:val="22"/>
          <w:szCs w:val="22"/>
          <w:u w:color="000000"/>
          <w:lang w:val="es-ES_tradnl"/>
        </w:rPr>
        <w:t xml:space="preserve"> que </w:t>
      </w:r>
      <w:r>
        <w:rPr>
          <w:rFonts w:ascii="Arial" w:eastAsia="Arial Unicode MS" w:hAnsi="Arial" w:cs="Arial"/>
          <w:sz w:val="22"/>
          <w:szCs w:val="22"/>
          <w:u w:color="000000"/>
          <w:lang w:val="es-ES_tradnl"/>
        </w:rPr>
        <w:t xml:space="preserve">generalmente las cancillerías </w:t>
      </w:r>
      <w:r w:rsidR="00B7528C">
        <w:rPr>
          <w:rFonts w:ascii="Arial" w:eastAsia="Arial Unicode MS" w:hAnsi="Arial" w:cs="Arial"/>
          <w:sz w:val="22"/>
          <w:szCs w:val="22"/>
          <w:u w:color="000000"/>
          <w:lang w:val="es-ES_tradnl"/>
        </w:rPr>
        <w:t xml:space="preserve">y procuradurías </w:t>
      </w:r>
      <w:r>
        <w:rPr>
          <w:rFonts w:ascii="Arial" w:eastAsia="Arial Unicode MS" w:hAnsi="Arial" w:cs="Arial"/>
          <w:sz w:val="22"/>
          <w:szCs w:val="22"/>
          <w:u w:color="000000"/>
          <w:lang w:val="es-ES_tradnl"/>
        </w:rPr>
        <w:t>no cuentan con todos los atributos que necesita</w:t>
      </w:r>
      <w:r w:rsidR="00B7528C">
        <w:rPr>
          <w:rFonts w:ascii="Arial" w:eastAsia="Arial Unicode MS" w:hAnsi="Arial" w:cs="Arial"/>
          <w:sz w:val="22"/>
          <w:szCs w:val="22"/>
          <w:u w:color="000000"/>
          <w:lang w:val="es-ES_tradnl"/>
        </w:rPr>
        <w:t>n los</w:t>
      </w:r>
      <w:r>
        <w:rPr>
          <w:rFonts w:ascii="Arial" w:eastAsia="Arial Unicode MS" w:hAnsi="Arial" w:cs="Arial"/>
          <w:sz w:val="22"/>
          <w:szCs w:val="22"/>
          <w:u w:color="000000"/>
          <w:lang w:val="es-ES_tradnl"/>
        </w:rPr>
        <w:t xml:space="preserve"> órgano</w:t>
      </w:r>
      <w:r w:rsidR="00B7528C">
        <w:rPr>
          <w:rFonts w:ascii="Arial" w:eastAsia="Arial Unicode MS" w:hAnsi="Arial" w:cs="Arial"/>
          <w:sz w:val="22"/>
          <w:szCs w:val="22"/>
          <w:u w:color="000000"/>
          <w:lang w:val="es-ES_tradnl"/>
        </w:rPr>
        <w:t>s</w:t>
      </w:r>
      <w:r>
        <w:rPr>
          <w:rFonts w:ascii="Arial" w:eastAsia="Arial Unicode MS" w:hAnsi="Arial" w:cs="Arial"/>
          <w:sz w:val="22"/>
          <w:szCs w:val="22"/>
          <w:u w:color="000000"/>
          <w:lang w:val="es-ES_tradnl"/>
        </w:rPr>
        <w:t xml:space="preserve"> que se</w:t>
      </w:r>
      <w:r w:rsidR="008F2951" w:rsidRPr="009E04F2">
        <w:rPr>
          <w:rFonts w:ascii="Arial" w:eastAsia="Arial Unicode MS" w:hAnsi="Arial" w:cs="Arial"/>
          <w:sz w:val="22"/>
          <w:szCs w:val="22"/>
          <w:u w:color="000000"/>
          <w:lang w:val="es-ES_tradnl"/>
        </w:rPr>
        <w:t xml:space="preserve"> </w:t>
      </w:r>
      <w:r w:rsidR="00B7528C">
        <w:rPr>
          <w:rFonts w:ascii="Arial" w:eastAsia="Arial Unicode MS" w:hAnsi="Arial" w:cs="Arial"/>
          <w:sz w:val="22"/>
          <w:szCs w:val="22"/>
          <w:u w:color="000000"/>
          <w:lang w:val="es-ES_tradnl"/>
        </w:rPr>
        <w:t>encargan</w:t>
      </w:r>
      <w:r w:rsidR="008F2951" w:rsidRPr="009E04F2">
        <w:rPr>
          <w:rFonts w:ascii="Arial" w:eastAsia="Arial Unicode MS" w:hAnsi="Arial" w:cs="Arial"/>
          <w:sz w:val="22"/>
          <w:szCs w:val="22"/>
          <w:u w:color="000000"/>
          <w:lang w:val="es-ES_tradnl"/>
        </w:rPr>
        <w:t xml:space="preserve"> de la ejecución de las sentencias</w:t>
      </w:r>
      <w:r>
        <w:rPr>
          <w:rFonts w:ascii="Arial" w:eastAsia="Arial Unicode MS" w:hAnsi="Arial" w:cs="Arial"/>
          <w:sz w:val="22"/>
          <w:szCs w:val="22"/>
          <w:u w:color="000000"/>
          <w:lang w:val="es-ES_tradnl"/>
        </w:rPr>
        <w:t xml:space="preserve">, atributos como </w:t>
      </w:r>
      <w:r w:rsidR="008F2951" w:rsidRPr="009E04F2">
        <w:rPr>
          <w:rFonts w:ascii="Arial" w:eastAsia="Arial Unicode MS" w:hAnsi="Arial" w:cs="Arial"/>
          <w:sz w:val="22"/>
          <w:szCs w:val="22"/>
          <w:u w:color="000000"/>
          <w:lang w:val="es-ES_tradnl"/>
        </w:rPr>
        <w:t>el personal necesario</w:t>
      </w:r>
      <w:r w:rsidR="00A1109A">
        <w:rPr>
          <w:rFonts w:ascii="Arial" w:eastAsia="Arial Unicode MS" w:hAnsi="Arial" w:cs="Arial"/>
          <w:sz w:val="22"/>
          <w:szCs w:val="22"/>
          <w:u w:color="000000"/>
          <w:lang w:val="es-ES_tradnl"/>
        </w:rPr>
        <w:t xml:space="preserve">, infraestructura y </w:t>
      </w:r>
      <w:r w:rsidR="008F2951" w:rsidRPr="009E04F2">
        <w:rPr>
          <w:rFonts w:ascii="Arial" w:eastAsia="Arial Unicode MS" w:hAnsi="Arial" w:cs="Arial"/>
          <w:sz w:val="22"/>
          <w:szCs w:val="22"/>
          <w:u w:color="000000"/>
          <w:lang w:val="es-ES_tradnl"/>
        </w:rPr>
        <w:t xml:space="preserve">recursos económicos.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Juan Méndez, ex Comisionado CIDH, señala que en algunos países la función judicial se ha hecho cargo de la implementación de las medidas, con o sin impulso del ejecutivo</w:t>
      </w:r>
      <w:r w:rsidRPr="009E04F2">
        <w:rPr>
          <w:rFonts w:ascii="Arial" w:eastAsia="Arial Unicode MS" w:hAnsi="Arial" w:cs="Arial"/>
          <w:sz w:val="22"/>
          <w:szCs w:val="22"/>
          <w:u w:color="000000"/>
          <w:vertAlign w:val="superscript"/>
          <w:lang w:val="es-ES_tradnl"/>
        </w:rPr>
        <w:footnoteReference w:id="182"/>
      </w:r>
      <w:r w:rsidRPr="009E04F2">
        <w:rPr>
          <w:rFonts w:ascii="Arial" w:eastAsia="Arial Unicode MS" w:hAnsi="Arial" w:cs="Arial"/>
          <w:sz w:val="22"/>
          <w:szCs w:val="22"/>
          <w:u w:color="000000"/>
          <w:lang w:val="es-ES_tradnl"/>
        </w:rPr>
        <w:t xml:space="preserve">. La propuesta de que la función judicial se haga cargo de la ejecución de las sentencias de la Corte </w:t>
      </w:r>
      <w:r w:rsidR="00B7528C" w:rsidRPr="00A75361">
        <w:rPr>
          <w:rFonts w:ascii="Arial" w:eastAsia="Arial Unicode MS" w:hAnsi="Arial" w:cs="Arial"/>
          <w:sz w:val="22"/>
          <w:szCs w:val="22"/>
          <w:u w:color="000000"/>
          <w:lang w:val="es-ES_tradnl"/>
        </w:rPr>
        <w:t>IDH</w:t>
      </w:r>
      <w:r w:rsidR="00B7528C" w:rsidRPr="009E04F2">
        <w:rPr>
          <w:rFonts w:ascii="Arial" w:eastAsia="Arial Unicode MS" w:hAnsi="Arial" w:cs="Arial"/>
          <w:sz w:val="22"/>
          <w:szCs w:val="22"/>
          <w:u w:color="000000"/>
          <w:lang w:val="es-ES_tradnl"/>
        </w:rPr>
        <w:t xml:space="preserve"> </w:t>
      </w:r>
      <w:r w:rsidRPr="009E04F2">
        <w:rPr>
          <w:rFonts w:ascii="Arial" w:eastAsia="Arial Unicode MS" w:hAnsi="Arial" w:cs="Arial"/>
          <w:sz w:val="22"/>
          <w:szCs w:val="22"/>
          <w:u w:color="000000"/>
          <w:lang w:val="es-ES_tradnl"/>
        </w:rPr>
        <w:t>genera interesantes posibilidades sobre todo en el cumplimiento de medidas para judicializar a los culpables lo que garantiza su realización, esto además promueve mecanismos adecuados para terminar con la impunidad. Por otro lado, ello puede llevar a una mayor implementación de la jurisprudencia de la Corte IDH en los fallos de la justicia interna, lo que a más de ser una obligación de los Estados miembros permite un mayor</w:t>
      </w:r>
      <w:r w:rsidR="00F6613F">
        <w:rPr>
          <w:rFonts w:ascii="Arial" w:eastAsia="Arial Unicode MS" w:hAnsi="Arial" w:cs="Arial"/>
          <w:sz w:val="22"/>
          <w:szCs w:val="22"/>
          <w:u w:color="000000"/>
          <w:lang w:val="es-ES_tradnl"/>
        </w:rPr>
        <w:t xml:space="preserve"> </w:t>
      </w:r>
      <w:r w:rsidRPr="009E04F2">
        <w:rPr>
          <w:rFonts w:ascii="Arial" w:eastAsia="Arial Unicode MS" w:hAnsi="Arial" w:cs="Arial"/>
          <w:sz w:val="22"/>
          <w:szCs w:val="22"/>
          <w:u w:color="000000"/>
          <w:lang w:val="es-ES_tradnl"/>
        </w:rPr>
        <w:t xml:space="preserve">conocimiento y entendimiento de los preceptos de la Corte IDH lo que redunda en una mayor protección y reconocimiento a los derechos. </w:t>
      </w:r>
      <w:r w:rsidR="0005387D">
        <w:rPr>
          <w:rFonts w:ascii="Arial" w:eastAsia="Arial Unicode MS" w:hAnsi="Arial" w:cs="Arial"/>
          <w:sz w:val="22"/>
          <w:szCs w:val="22"/>
          <w:u w:color="000000"/>
          <w:lang w:val="es-ES_tradnl"/>
        </w:rPr>
        <w:t>A pesar de que existen medidas</w:t>
      </w:r>
      <w:r w:rsidRPr="009E04F2">
        <w:rPr>
          <w:rFonts w:ascii="Arial" w:eastAsia="Arial Unicode MS" w:hAnsi="Arial" w:cs="Arial"/>
          <w:sz w:val="22"/>
          <w:szCs w:val="22"/>
          <w:u w:color="000000"/>
          <w:lang w:val="es-ES_tradnl"/>
        </w:rPr>
        <w:t xml:space="preserve"> </w:t>
      </w:r>
      <w:r w:rsidR="0005387D">
        <w:rPr>
          <w:rFonts w:ascii="Arial" w:eastAsia="Arial Unicode MS" w:hAnsi="Arial" w:cs="Arial"/>
          <w:sz w:val="22"/>
          <w:szCs w:val="22"/>
          <w:u w:color="000000"/>
          <w:lang w:val="es-ES_tradnl"/>
        </w:rPr>
        <w:t xml:space="preserve">cuya ejecución </w:t>
      </w:r>
      <w:r w:rsidR="00B7528C">
        <w:rPr>
          <w:rFonts w:ascii="Arial" w:eastAsia="Arial Unicode MS" w:hAnsi="Arial" w:cs="Arial"/>
          <w:sz w:val="22"/>
          <w:szCs w:val="22"/>
          <w:u w:color="000000"/>
          <w:lang w:val="es-ES_tradnl"/>
        </w:rPr>
        <w:t>no son</w:t>
      </w:r>
      <w:r w:rsidRPr="009E04F2">
        <w:rPr>
          <w:rFonts w:ascii="Arial" w:eastAsia="Arial Unicode MS" w:hAnsi="Arial" w:cs="Arial"/>
          <w:sz w:val="22"/>
          <w:szCs w:val="22"/>
          <w:u w:color="000000"/>
          <w:lang w:val="es-ES_tradnl"/>
        </w:rPr>
        <w:t xml:space="preserve"> de competencia de la función judicial</w:t>
      </w:r>
      <w:r w:rsidR="00E63C17">
        <w:rPr>
          <w:rFonts w:ascii="Arial" w:eastAsia="Arial Unicode MS" w:hAnsi="Arial" w:cs="Arial"/>
          <w:sz w:val="22"/>
          <w:szCs w:val="22"/>
          <w:u w:color="000000"/>
          <w:lang w:val="es-ES_tradnl"/>
        </w:rPr>
        <w:t>, estas pueden ser ordenadas por los jueces por lo que se requiere</w:t>
      </w:r>
      <w:r w:rsidRPr="009E04F2">
        <w:rPr>
          <w:rFonts w:ascii="Arial" w:eastAsia="Arial Unicode MS" w:hAnsi="Arial" w:cs="Arial"/>
          <w:sz w:val="22"/>
          <w:szCs w:val="22"/>
          <w:u w:color="000000"/>
          <w:lang w:val="es-ES_tradnl"/>
        </w:rPr>
        <w:t xml:space="preserve"> </w:t>
      </w:r>
      <w:r w:rsidR="00E63C17">
        <w:rPr>
          <w:rFonts w:ascii="Arial" w:eastAsia="Arial Unicode MS" w:hAnsi="Arial" w:cs="Arial"/>
          <w:sz w:val="22"/>
          <w:szCs w:val="22"/>
          <w:u w:color="000000"/>
          <w:lang w:val="es-ES_tradnl"/>
        </w:rPr>
        <w:t xml:space="preserve">de la colaboración </w:t>
      </w:r>
      <w:r w:rsidRPr="009E04F2">
        <w:rPr>
          <w:rFonts w:ascii="Arial" w:eastAsia="Arial Unicode MS" w:hAnsi="Arial" w:cs="Arial"/>
          <w:sz w:val="22"/>
          <w:szCs w:val="22"/>
          <w:u w:color="000000"/>
          <w:lang w:val="es-ES_tradnl"/>
        </w:rPr>
        <w:t>de las otras funciones estatales.</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En los órganos encargados de la ejecución de las sentencias es de suma importancia la permanente comunicación con las víctimas y sus representantes, debe existir la apertura </w:t>
      </w:r>
      <w:r w:rsidRPr="009E04F2">
        <w:rPr>
          <w:rFonts w:ascii="Arial" w:eastAsia="Arial Unicode MS" w:hAnsi="Arial" w:cs="Arial"/>
          <w:sz w:val="22"/>
          <w:szCs w:val="22"/>
          <w:u w:color="000000"/>
          <w:lang w:val="es-ES_tradnl"/>
        </w:rPr>
        <w:lastRenderedPageBreak/>
        <w:t xml:space="preserve">necesaria para que la ejecución se realice a su satisfacción evitándoles nuevos sufrimientos, la comunicación es esencial sobre todo para informar sobre el avance de gestiones y la consulta de aspectos que requieren acuerdos y consensos, la victimas deben tener conocimiento del funcionario específico que está llevando el proceso para saber a quién dirigirse con sus inquietudes.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Estos órganos del Estado también deben mantener buenas relacionares con organizaciones de derechos humanos que patrocinan a las víctimas, usualmente los conflictos se inician entre estas partes y se deja a la </w:t>
      </w:r>
      <w:proofErr w:type="spellStart"/>
      <w:r w:rsidRPr="009E04F2">
        <w:rPr>
          <w:rFonts w:ascii="Arial" w:eastAsia="Arial Unicode MS" w:hAnsi="Arial" w:cs="Arial"/>
          <w:sz w:val="22"/>
          <w:szCs w:val="22"/>
          <w:u w:color="000000"/>
          <w:lang w:val="es-ES_tradnl"/>
        </w:rPr>
        <w:t>victima</w:t>
      </w:r>
      <w:proofErr w:type="spellEnd"/>
      <w:r w:rsidRPr="009E04F2">
        <w:rPr>
          <w:rFonts w:ascii="Arial" w:eastAsia="Arial Unicode MS" w:hAnsi="Arial" w:cs="Arial"/>
          <w:sz w:val="22"/>
          <w:szCs w:val="22"/>
          <w:u w:color="000000"/>
          <w:lang w:val="es-ES_tradnl"/>
        </w:rPr>
        <w:t xml:space="preserve"> excluida del proceso. La relación debe pasar de la confrontación a la colaboración. El Estado debe darle a las organizaciones de derechos humanos el espacio y respeto adecuados pues estas organizaciones tienen un papel importante en la supervisión de los procesos de ejecución y además ponen en evidencia al Estado frente a Corte </w:t>
      </w:r>
      <w:r w:rsidR="00F206C9" w:rsidRPr="00A75361">
        <w:rPr>
          <w:rFonts w:ascii="Arial" w:eastAsia="Arial Unicode MS" w:hAnsi="Arial" w:cs="Arial"/>
          <w:sz w:val="22"/>
          <w:szCs w:val="22"/>
          <w:u w:color="000000"/>
          <w:lang w:val="es-ES_tradnl"/>
        </w:rPr>
        <w:t>IDH</w:t>
      </w:r>
      <w:r w:rsidR="00F206C9" w:rsidRPr="009E04F2">
        <w:rPr>
          <w:rFonts w:ascii="Arial" w:eastAsia="Arial Unicode MS" w:hAnsi="Arial" w:cs="Arial"/>
          <w:sz w:val="22"/>
          <w:szCs w:val="22"/>
          <w:u w:color="000000"/>
          <w:lang w:val="es-ES_tradnl"/>
        </w:rPr>
        <w:t xml:space="preserve"> </w:t>
      </w:r>
      <w:r w:rsidRPr="009E04F2">
        <w:rPr>
          <w:rFonts w:ascii="Arial" w:eastAsia="Arial Unicode MS" w:hAnsi="Arial" w:cs="Arial"/>
          <w:sz w:val="22"/>
          <w:szCs w:val="22"/>
          <w:u w:color="000000"/>
          <w:lang w:val="es-ES_tradnl"/>
        </w:rPr>
        <w:t xml:space="preserve">sobre las deficiencias que se mantienen en el cumplimiento de la sentencias.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En definitiva es necesario que el órgano encargado de la ejecución de las sentencias vaya ganando fuerza dentro del Estado, que sus atribuciones y estatus se desarrollen en pos de la protección de los derechos, se deben evitar intereses políticos de determinados partidos y deben estar trazados por una política de Estado permanente y clara sobre todo con objetivos comunes al cumplimiento de la Convención Americana sobre derechos humanos.  </w:t>
      </w:r>
    </w:p>
    <w:p w:rsidR="006E1739" w:rsidRDefault="008F2951" w:rsidP="006E1739">
      <w:pPr>
        <w:spacing w:before="20" w:line="360" w:lineRule="auto"/>
        <w:jc w:val="both"/>
        <w:outlineLvl w:val="0"/>
        <w:rPr>
          <w:rFonts w:ascii="Arial" w:eastAsia="Arial Unicode MS" w:hAnsi="Arial Unicode MS"/>
          <w:color w:val="000000"/>
          <w:sz w:val="22"/>
          <w:szCs w:val="20"/>
          <w:u w:color="000000"/>
          <w:lang w:val="es-ES" w:eastAsia="es-ES"/>
        </w:rPr>
      </w:pPr>
      <w:r w:rsidRPr="008F2951">
        <w:rPr>
          <w:rFonts w:ascii="Arial" w:eastAsia="Arial Unicode MS" w:hAnsi="Arial Unicode MS"/>
          <w:color w:val="000000"/>
          <w:sz w:val="22"/>
          <w:szCs w:val="20"/>
          <w:u w:color="000000"/>
          <w:lang w:val="es-ES" w:eastAsia="es-ES"/>
        </w:rPr>
        <w:t xml:space="preserve"> </w:t>
      </w:r>
      <w:bookmarkStart w:id="35" w:name="_Toc356432272"/>
    </w:p>
    <w:p w:rsidR="008F2951" w:rsidRPr="006E1739" w:rsidRDefault="00895FCF" w:rsidP="006E1739">
      <w:pPr>
        <w:spacing w:before="20" w:line="360" w:lineRule="auto"/>
        <w:jc w:val="both"/>
        <w:outlineLvl w:val="0"/>
        <w:rPr>
          <w:rFonts w:ascii="Arial" w:eastAsia="Arial Unicode MS" w:hAnsi="Arial Unicode MS"/>
          <w:b/>
          <w:color w:val="000000"/>
          <w:sz w:val="22"/>
          <w:szCs w:val="20"/>
          <w:u w:color="000000"/>
          <w:lang w:val="es-ES" w:eastAsia="es-ES"/>
        </w:rPr>
      </w:pPr>
      <w:r w:rsidRPr="006E1739">
        <w:rPr>
          <w:rFonts w:ascii="Arial" w:eastAsia="Arial Unicode MS" w:hAnsi="Arial" w:cs="Arial"/>
          <w:b/>
          <w:color w:val="000000"/>
          <w:lang w:val="es-ES" w:eastAsia="es-ES"/>
        </w:rPr>
        <w:t>3.3.</w:t>
      </w:r>
      <w:r w:rsidRPr="006E1739">
        <w:rPr>
          <w:rFonts w:ascii="Arial" w:eastAsia="Arial Unicode MS" w:hAnsi="Arial" w:cs="Arial"/>
          <w:b/>
          <w:color w:val="000000"/>
          <w:lang w:val="es-ES" w:eastAsia="es-ES"/>
        </w:rPr>
        <w:tab/>
      </w:r>
      <w:r w:rsidR="00E917DE" w:rsidRPr="006E1739">
        <w:rPr>
          <w:rFonts w:ascii="Arial" w:eastAsia="Arial Unicode MS" w:hAnsi="Arial" w:cs="Arial"/>
          <w:b/>
          <w:color w:val="000000"/>
          <w:lang w:val="es-ES" w:eastAsia="es-ES"/>
        </w:rPr>
        <w:t>Ejecución de sentencias de la Corte IDH en el caso ecuatoriano</w:t>
      </w:r>
      <w:bookmarkEnd w:id="35"/>
    </w:p>
    <w:p w:rsidR="008F2951" w:rsidRPr="008F2951" w:rsidRDefault="008F2951" w:rsidP="008F2951">
      <w:pPr>
        <w:spacing w:before="20" w:line="360" w:lineRule="auto"/>
        <w:jc w:val="both"/>
        <w:outlineLvl w:val="0"/>
        <w:rPr>
          <w:rFonts w:ascii="Arial" w:eastAsia="Arial Unicode MS" w:hAnsi="Arial" w:cs="Arial"/>
          <w:color w:val="000000"/>
          <w:sz w:val="22"/>
          <w:szCs w:val="22"/>
          <w:u w:color="000000"/>
          <w:lang w:val="es-ES" w:eastAsia="es-ES"/>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
        </w:rPr>
      </w:pPr>
      <w:r w:rsidRPr="009E04F2">
        <w:rPr>
          <w:rFonts w:ascii="Arial" w:eastAsia="Arial Unicode MS" w:hAnsi="Arial" w:cs="Arial"/>
          <w:sz w:val="22"/>
          <w:szCs w:val="22"/>
          <w:u w:color="000000"/>
          <w:lang w:val="es-ES"/>
        </w:rPr>
        <w:t xml:space="preserve">El Estado ecuatoriano como parte de la Convención Americana sobre </w:t>
      </w:r>
      <w:r w:rsidR="00F206C9">
        <w:rPr>
          <w:rFonts w:ascii="Arial" w:eastAsia="Arial Unicode MS" w:hAnsi="Arial" w:cs="Arial"/>
          <w:sz w:val="22"/>
          <w:szCs w:val="22"/>
          <w:u w:color="000000"/>
          <w:lang w:val="es-ES"/>
        </w:rPr>
        <w:t>Derechos H</w:t>
      </w:r>
      <w:r w:rsidRPr="009E04F2">
        <w:rPr>
          <w:rFonts w:ascii="Arial" w:eastAsia="Arial Unicode MS" w:hAnsi="Arial" w:cs="Arial"/>
          <w:sz w:val="22"/>
          <w:szCs w:val="22"/>
          <w:u w:color="000000"/>
          <w:lang w:val="es-ES"/>
        </w:rPr>
        <w:t xml:space="preserve">umanos, está obligado a cumplir con los preceptos de este instrumento a la luz de las normas del derecho internacional. Ecuador es parte de la Convención </w:t>
      </w:r>
      <w:r w:rsidR="00F206C9">
        <w:rPr>
          <w:rFonts w:ascii="Arial" w:eastAsia="Arial Unicode MS" w:hAnsi="Arial" w:cs="Arial"/>
          <w:sz w:val="22"/>
          <w:szCs w:val="22"/>
          <w:u w:color="000000"/>
          <w:lang w:val="es-ES"/>
        </w:rPr>
        <w:t xml:space="preserve">Americana </w:t>
      </w:r>
      <w:r w:rsidRPr="009E04F2">
        <w:rPr>
          <w:rFonts w:ascii="Arial" w:eastAsia="Arial Unicode MS" w:hAnsi="Arial" w:cs="Arial"/>
          <w:sz w:val="22"/>
          <w:szCs w:val="22"/>
          <w:u w:color="000000"/>
          <w:lang w:val="es-ES"/>
        </w:rPr>
        <w:t xml:space="preserve">desde el 28 de diciembre de 1977, y reconoció la jurisdicción contenciosa de la Corte IDH el 24 de julio de 1984. Por otro lado, es facultad inherente a las funciones jurisdiccionales de la Corte </w:t>
      </w:r>
      <w:r w:rsidR="00F206C9" w:rsidRPr="00A75361">
        <w:rPr>
          <w:rFonts w:ascii="Arial" w:eastAsia="Arial Unicode MS" w:hAnsi="Arial" w:cs="Arial"/>
          <w:sz w:val="22"/>
          <w:szCs w:val="22"/>
          <w:u w:color="000000"/>
          <w:lang w:val="es-ES_tradnl"/>
        </w:rPr>
        <w:t>IDH</w:t>
      </w:r>
      <w:r w:rsidR="00F206C9" w:rsidRPr="009E04F2">
        <w:rPr>
          <w:rFonts w:ascii="Arial" w:eastAsia="Arial Unicode MS" w:hAnsi="Arial" w:cs="Arial"/>
          <w:sz w:val="22"/>
          <w:szCs w:val="22"/>
          <w:u w:color="000000"/>
          <w:lang w:val="es-ES"/>
        </w:rPr>
        <w:t xml:space="preserve"> </w:t>
      </w:r>
      <w:r w:rsidRPr="009E04F2">
        <w:rPr>
          <w:rFonts w:ascii="Arial" w:eastAsia="Arial Unicode MS" w:hAnsi="Arial" w:cs="Arial"/>
          <w:sz w:val="22"/>
          <w:szCs w:val="22"/>
          <w:u w:color="000000"/>
          <w:lang w:val="es-ES"/>
        </w:rPr>
        <w:t xml:space="preserve">la supervisión del cumplimiento de sus decisiones. El artículo 68.1 de la Convención Americana estipula que los Estados Partes en la Convención se comprometen a cumplir la decisión de la Corte </w:t>
      </w:r>
      <w:r w:rsidR="00F206C9" w:rsidRPr="00A75361">
        <w:rPr>
          <w:rFonts w:ascii="Arial" w:eastAsia="Arial Unicode MS" w:hAnsi="Arial" w:cs="Arial"/>
          <w:sz w:val="22"/>
          <w:szCs w:val="22"/>
          <w:u w:color="000000"/>
          <w:lang w:val="es-ES_tradnl"/>
        </w:rPr>
        <w:t>IDH</w:t>
      </w:r>
      <w:r w:rsidR="00F206C9" w:rsidRPr="009E04F2">
        <w:rPr>
          <w:rFonts w:ascii="Arial" w:eastAsia="Arial Unicode MS" w:hAnsi="Arial" w:cs="Arial"/>
          <w:sz w:val="22"/>
          <w:szCs w:val="22"/>
          <w:u w:color="000000"/>
          <w:lang w:val="es-ES"/>
        </w:rPr>
        <w:t xml:space="preserve"> </w:t>
      </w:r>
      <w:r w:rsidRPr="009E04F2">
        <w:rPr>
          <w:rFonts w:ascii="Arial" w:eastAsia="Arial Unicode MS" w:hAnsi="Arial" w:cs="Arial"/>
          <w:sz w:val="22"/>
          <w:szCs w:val="22"/>
          <w:u w:color="000000"/>
          <w:lang w:val="es-ES"/>
        </w:rPr>
        <w:t xml:space="preserve">en todo caso en que sean partes. Adicionalmente, en virtud del carácter definitivo e inapelable de las sentencias de la Corte, según lo establecido en el artículo 67 de la Convención Americana, éstas deben </w:t>
      </w:r>
      <w:r w:rsidRPr="009E04F2">
        <w:rPr>
          <w:rFonts w:ascii="Arial" w:eastAsia="Arial Unicode MS" w:hAnsi="Arial" w:cs="Arial"/>
          <w:sz w:val="22"/>
          <w:szCs w:val="22"/>
          <w:u w:color="000000"/>
          <w:lang w:val="es-ES"/>
        </w:rPr>
        <w:lastRenderedPageBreak/>
        <w:t>ser prontamente cumplidas por el Estado en forma íntegra</w:t>
      </w:r>
      <w:r w:rsidRPr="009E04F2">
        <w:rPr>
          <w:rFonts w:ascii="Arial" w:eastAsia="Arial Unicode MS" w:hAnsi="Arial" w:cs="Arial"/>
          <w:sz w:val="22"/>
          <w:szCs w:val="22"/>
          <w:u w:color="000000"/>
          <w:vertAlign w:val="superscript"/>
          <w:lang w:val="es-ES"/>
        </w:rPr>
        <w:footnoteReference w:id="183"/>
      </w:r>
      <w:r w:rsidRPr="009E04F2">
        <w:rPr>
          <w:rFonts w:ascii="Arial" w:eastAsia="Arial Unicode MS" w:hAnsi="Arial" w:cs="Arial"/>
          <w:sz w:val="22"/>
          <w:szCs w:val="22"/>
          <w:u w:color="000000"/>
          <w:lang w:val="es-ES"/>
        </w:rPr>
        <w:t>.</w:t>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r w:rsidRPr="009E04F2">
        <w:rPr>
          <w:rFonts w:ascii="Arial" w:eastAsia="Arial Unicode MS" w:hAnsi="Arial" w:cs="Arial"/>
          <w:sz w:val="22"/>
          <w:szCs w:val="22"/>
          <w:u w:color="000000"/>
          <w:lang w:val="es-ES"/>
        </w:rPr>
        <w:tab/>
      </w:r>
    </w:p>
    <w:p w:rsidR="008F2951" w:rsidRPr="009E04F2" w:rsidRDefault="004E0E25" w:rsidP="009E04F2">
      <w:pPr>
        <w:pStyle w:val="Sinespaciado"/>
        <w:spacing w:line="360" w:lineRule="auto"/>
        <w:jc w:val="both"/>
        <w:rPr>
          <w:rFonts w:ascii="Arial" w:eastAsia="Arial Unicode MS" w:hAnsi="Arial" w:cs="Arial"/>
          <w:sz w:val="22"/>
          <w:szCs w:val="22"/>
          <w:u w:color="000000"/>
          <w:lang w:val="es-ES"/>
        </w:rPr>
      </w:pPr>
      <w:r>
        <w:rPr>
          <w:rFonts w:ascii="Arial" w:eastAsia="Arial Unicode MS" w:hAnsi="Arial" w:cs="Arial"/>
          <w:sz w:val="22"/>
          <w:szCs w:val="22"/>
          <w:u w:color="000000"/>
          <w:lang w:val="es-ES"/>
        </w:rPr>
        <w:t xml:space="preserve">Considerando </w:t>
      </w:r>
      <w:r w:rsidR="008F2951" w:rsidRPr="009E04F2">
        <w:rPr>
          <w:rFonts w:ascii="Arial" w:eastAsia="Arial Unicode MS" w:hAnsi="Arial" w:cs="Arial"/>
          <w:sz w:val="22"/>
          <w:szCs w:val="22"/>
          <w:u w:color="000000"/>
          <w:lang w:val="es-ES"/>
        </w:rPr>
        <w:t xml:space="preserve">el gran número de cumplimientos parciales de las sentencias de la Corte IDH por parte de los Estados miembros, </w:t>
      </w:r>
      <w:r w:rsidR="0061277D">
        <w:rPr>
          <w:rFonts w:ascii="Arial" w:eastAsia="Arial Unicode MS" w:hAnsi="Arial" w:cs="Arial"/>
          <w:sz w:val="22"/>
          <w:szCs w:val="22"/>
          <w:u w:color="000000"/>
          <w:lang w:val="es-ES"/>
        </w:rPr>
        <w:t xml:space="preserve">es necesario establecer </w:t>
      </w:r>
      <w:r w:rsidR="008F2951" w:rsidRPr="009E04F2">
        <w:rPr>
          <w:rFonts w:ascii="Arial" w:eastAsia="Arial Unicode MS" w:hAnsi="Arial" w:cs="Arial"/>
          <w:sz w:val="22"/>
          <w:szCs w:val="22"/>
          <w:u w:color="000000"/>
          <w:lang w:val="es-ES"/>
        </w:rPr>
        <w:t xml:space="preserve">cuál ha sido el grado de cumplimiento del Ecuador hasta la actualidad y cómo se presentan las condiciones políticas y jurídicas para llevar a cabo esta obligación internacional. </w:t>
      </w:r>
      <w:r w:rsidR="0061277D" w:rsidRPr="009E04F2">
        <w:rPr>
          <w:rFonts w:ascii="Arial" w:eastAsia="Arial Unicode MS" w:hAnsi="Arial" w:cs="Arial"/>
          <w:sz w:val="22"/>
          <w:szCs w:val="22"/>
          <w:u w:color="000000"/>
          <w:lang w:val="es-ES"/>
        </w:rPr>
        <w:t xml:space="preserve">La obligación del Ecuador de cumplir la sentencias de la Corte IDH </w:t>
      </w:r>
      <w:r w:rsidR="00F912B3">
        <w:rPr>
          <w:rFonts w:ascii="Arial" w:eastAsia="Arial Unicode MS" w:hAnsi="Arial" w:cs="Arial"/>
          <w:sz w:val="22"/>
          <w:szCs w:val="22"/>
          <w:u w:color="000000"/>
          <w:lang w:val="es-ES"/>
        </w:rPr>
        <w:t>está claramente determina y</w:t>
      </w:r>
      <w:r w:rsidR="0061277D" w:rsidRPr="009E04F2">
        <w:rPr>
          <w:rFonts w:ascii="Arial" w:eastAsia="Arial Unicode MS" w:hAnsi="Arial" w:cs="Arial"/>
          <w:sz w:val="22"/>
          <w:szCs w:val="22"/>
          <w:u w:color="000000"/>
          <w:lang w:val="es-ES"/>
        </w:rPr>
        <w:t xml:space="preserve"> ha sido absolu</w:t>
      </w:r>
      <w:r w:rsidR="0061277D">
        <w:rPr>
          <w:rFonts w:ascii="Arial" w:eastAsia="Arial Unicode MS" w:hAnsi="Arial" w:cs="Arial"/>
          <w:sz w:val="22"/>
          <w:szCs w:val="22"/>
          <w:u w:color="000000"/>
          <w:lang w:val="es-ES"/>
        </w:rPr>
        <w:t>tamente reconocida.</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
        </w:rPr>
      </w:pPr>
      <w:r w:rsidRPr="009E04F2">
        <w:rPr>
          <w:rFonts w:ascii="Arial" w:eastAsia="Arial Unicode MS" w:hAnsi="Arial" w:cs="Arial"/>
          <w:sz w:val="22"/>
          <w:szCs w:val="22"/>
          <w:u w:color="000000"/>
          <w:lang w:val="es-ES"/>
        </w:rPr>
        <w:t xml:space="preserve">Como se ha dicho a lo largo de esta investigación, uno de los factores principales que determinan un total compromiso hacia el cumplimiento de las sentencias de la Corte IDH es la voluntad política, por lo que es necesario hacer una revisión de las sentencias contra el Ecuador y establecer en qué estado se encuentran en cuanto a su ejecución.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t xml:space="preserve">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t>Una sentencia en contra implica que el Estado ha sido declarado como responsable por la violación de derechos establecidos en la Convención Americana, de allí que surge adicionalmente la obligación moral de reparar  los daños ocasionados con la urgencia debida y sobre todo contando con la participación de las víctimas, por ello es importante dilucidar cuál es la impresión de las victimas sobre el proceso de ejecución de las sentencias de las que son beneficiarias.</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t>Dentro del marco del cumplimiento de las sentencias de la Corte IDH es importante observar si en ocasión a la existencia de normas que garantizan la protección y respeto por los derechos humanos las instituciones públicas encargadas de la ejecución han avanzado en la materia conforme a los estándares que determina la Corte, y de presentarse dificultades, si estas han sido identificadas y qué acciones se han tomado para solucionarlas.</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t>Es necesario también que se examine sobre el impacto positivo que han generado las sentencias en el panorama general del Ecuador, así por ejemplo si existen programas de capacitación a los miembros de la fuerza pública. Por otro lado, en qué medida se está aplicando jurisprudencia de la Corte IDH por parte de los jueces de todas las instancias.</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lastRenderedPageBreak/>
        <w:t xml:space="preserve">Es importante señalar además cuales son las medidas que presentan más dificultades para el cumplimiento en el caso ecuatoriano basándose en las resoluciones sobre supervisión de cumplimiento de la Corte IDH.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 w:eastAsia="es-ES"/>
        </w:rPr>
      </w:pPr>
      <w:r w:rsidRPr="009E04F2">
        <w:rPr>
          <w:rFonts w:ascii="Arial" w:eastAsia="Arial Unicode MS" w:hAnsi="Arial" w:cs="Arial"/>
          <w:color w:val="000000"/>
          <w:sz w:val="22"/>
          <w:szCs w:val="22"/>
          <w:u w:color="000000"/>
          <w:lang w:val="es-ES" w:eastAsia="es-ES"/>
        </w:rPr>
        <w:t>La observación permanente que se realice respecto  al cumplimiento de las obligaciones internacionales del Estado ecuatoriano, permitirá definir si se han hecho avances respecto al reconocimiento y protección de derechos humanos,  además mostrar las falencias en el sistema que dificultan los procesos de ejecución y conllevan al incumpliendo de las sentencia de la Corte IDH.</w:t>
      </w:r>
    </w:p>
    <w:p w:rsidR="008F2951" w:rsidRPr="008F2951" w:rsidRDefault="008F2951" w:rsidP="008F2951">
      <w:pPr>
        <w:spacing w:before="20" w:line="360" w:lineRule="auto"/>
        <w:jc w:val="both"/>
        <w:outlineLvl w:val="0"/>
        <w:rPr>
          <w:rFonts w:ascii="Arial" w:eastAsia="Arial Unicode MS" w:hAnsi="Arial Unicode MS"/>
          <w:color w:val="000000"/>
          <w:sz w:val="22"/>
          <w:szCs w:val="20"/>
          <w:u w:color="000000"/>
          <w:lang w:val="es-ES" w:eastAsia="es-ES"/>
        </w:rPr>
      </w:pPr>
      <w:r w:rsidRPr="008F2951">
        <w:rPr>
          <w:rFonts w:ascii="Arial" w:eastAsia="Arial Unicode MS" w:hAnsi="Arial Unicode MS"/>
          <w:color w:val="000000"/>
          <w:sz w:val="22"/>
          <w:szCs w:val="20"/>
          <w:u w:color="000000"/>
          <w:lang w:val="es-ES" w:eastAsia="es-ES"/>
        </w:rPr>
        <w:t xml:space="preserve">          </w:t>
      </w:r>
    </w:p>
    <w:p w:rsidR="008F2951" w:rsidRPr="00C45A27" w:rsidRDefault="00895FCF" w:rsidP="00C45A27">
      <w:pPr>
        <w:pStyle w:val="Ttulo3"/>
        <w:spacing w:line="360" w:lineRule="auto"/>
        <w:ind w:left="720" w:hanging="720"/>
        <w:jc w:val="both"/>
        <w:rPr>
          <w:rFonts w:ascii="Arial" w:eastAsia="Arial Unicode MS" w:hAnsi="Arial"/>
          <w:color w:val="auto"/>
          <w:sz w:val="22"/>
          <w:u w:color="000000"/>
          <w:lang w:val="es-ES_tradnl"/>
        </w:rPr>
      </w:pPr>
      <w:bookmarkStart w:id="36" w:name="_Toc356432273"/>
      <w:r w:rsidRPr="00C45A27">
        <w:rPr>
          <w:rFonts w:ascii="Arial" w:eastAsia="Arial Unicode MS" w:hAnsi="Arial"/>
          <w:color w:val="auto"/>
          <w:sz w:val="22"/>
          <w:u w:color="000000"/>
          <w:lang w:val="es-ES_tradnl"/>
        </w:rPr>
        <w:t>3.3.1.</w:t>
      </w:r>
      <w:r w:rsidRPr="00C45A27">
        <w:rPr>
          <w:rFonts w:ascii="Arial" w:eastAsia="Arial Unicode MS" w:hAnsi="Arial"/>
          <w:color w:val="auto"/>
          <w:sz w:val="22"/>
          <w:u w:color="000000"/>
          <w:lang w:val="es-ES_tradnl"/>
        </w:rPr>
        <w:tab/>
      </w:r>
      <w:r w:rsidR="00E917DE" w:rsidRPr="00C45A27">
        <w:rPr>
          <w:rFonts w:ascii="Arial" w:eastAsia="Arial Unicode MS" w:hAnsi="Arial"/>
          <w:color w:val="auto"/>
          <w:sz w:val="22"/>
          <w:u w:color="000000"/>
          <w:lang w:val="es-ES_tradnl"/>
        </w:rPr>
        <w:t>Panorama jurídico y político general en torno al cumpli</w:t>
      </w:r>
      <w:r w:rsidR="00B50DBA" w:rsidRPr="00C45A27">
        <w:rPr>
          <w:rFonts w:ascii="Arial" w:eastAsia="Arial Unicode MS" w:hAnsi="Arial"/>
          <w:color w:val="auto"/>
          <w:sz w:val="22"/>
          <w:u w:color="000000"/>
          <w:lang w:val="es-ES_tradnl"/>
        </w:rPr>
        <w:t>miento de las sentencias de la Corte IDH</w:t>
      </w:r>
      <w:bookmarkEnd w:id="36"/>
      <w:r w:rsidR="00E917DE" w:rsidRPr="00C45A27">
        <w:rPr>
          <w:rFonts w:ascii="Arial" w:eastAsia="Arial Unicode MS" w:hAnsi="Arial"/>
          <w:color w:val="auto"/>
          <w:sz w:val="22"/>
          <w:u w:color="000000"/>
          <w:lang w:val="es-ES_tradnl"/>
        </w:rPr>
        <w:t xml:space="preserve"> </w:t>
      </w:r>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sz w:val="22"/>
          <w:szCs w:val="22"/>
          <w:u w:color="000000"/>
          <w:lang w:val="es-ES_tradnl"/>
        </w:rPr>
        <w:t>En materia de protección internacional de derechos humanos la Constitución del Ecuador señala que el Estado garantiza el efectivo goce de los derechos establecidos en los instrumentos internacionales</w:t>
      </w:r>
      <w:r w:rsidRPr="009E04F2">
        <w:rPr>
          <w:rFonts w:ascii="Arial" w:eastAsia="Arial Unicode MS" w:hAnsi="Arial" w:cs="Arial"/>
          <w:sz w:val="22"/>
          <w:szCs w:val="22"/>
          <w:u w:color="000000"/>
          <w:vertAlign w:val="superscript"/>
          <w:lang w:val="es-ES_tradnl"/>
        </w:rPr>
        <w:footnoteReference w:id="184"/>
      </w:r>
      <w:r w:rsidRPr="009E04F2">
        <w:rPr>
          <w:rFonts w:ascii="Arial" w:eastAsia="Arial Unicode MS" w:hAnsi="Arial" w:cs="Arial"/>
          <w:sz w:val="22"/>
          <w:szCs w:val="22"/>
          <w:u w:color="000000"/>
          <w:lang w:val="es-ES_tradnl"/>
        </w:rPr>
        <w:t>, además que los derechos y garantías establecidos en los instrumentos internacionales de derechos humanos serán de directa e inmediata aplicación por y ante cualquier servidora o servidor público, administrativo o judicial, de oficio o a petición de parte</w:t>
      </w:r>
      <w:r w:rsidRPr="009E04F2">
        <w:rPr>
          <w:rFonts w:ascii="Arial" w:eastAsia="Arial Unicode MS" w:hAnsi="Arial" w:cs="Arial"/>
          <w:sz w:val="22"/>
          <w:szCs w:val="22"/>
          <w:u w:color="000000"/>
          <w:vertAlign w:val="superscript"/>
          <w:lang w:val="es-ES_tradnl"/>
        </w:rPr>
        <w:footnoteReference w:id="185"/>
      </w:r>
      <w:r w:rsidRPr="009E04F2">
        <w:rPr>
          <w:rFonts w:ascii="Arial" w:eastAsia="Arial Unicode MS" w:hAnsi="Arial" w:cs="Arial"/>
          <w:sz w:val="22"/>
          <w:szCs w:val="22"/>
          <w:u w:color="000000"/>
          <w:lang w:val="es-ES_tradnl"/>
        </w:rPr>
        <w:t>.</w:t>
      </w:r>
      <w:r w:rsidRPr="009E04F2">
        <w:rPr>
          <w:rFonts w:ascii="Arial" w:eastAsia="Arial Unicode MS" w:hAnsi="Arial" w:cs="Arial"/>
          <w:color w:val="000000"/>
          <w:sz w:val="22"/>
          <w:szCs w:val="22"/>
          <w:u w:color="000000"/>
          <w:lang w:val="es-ES_tradnl"/>
        </w:rPr>
        <w:t xml:space="preserve"> Se señala también que el reconocimiento de los derechos y garantías establecidos en los instrumentos internacionales de derechos humanos, no excluirá los demás derechos derivados de la dignidad de las personas, comunidades, pueblos y nacionalidades, que sean necesarios para pleno desenvolvimiento</w:t>
      </w:r>
      <w:r w:rsidRPr="009E04F2">
        <w:rPr>
          <w:rFonts w:ascii="Arial" w:eastAsia="Arial Unicode MS" w:hAnsi="Arial" w:cs="Arial"/>
          <w:color w:val="000000"/>
          <w:sz w:val="22"/>
          <w:szCs w:val="22"/>
          <w:u w:color="000000"/>
          <w:vertAlign w:val="superscript"/>
          <w:lang w:val="es-ES_tradnl"/>
        </w:rPr>
        <w:footnoteReference w:id="186"/>
      </w:r>
      <w:r w:rsidRPr="009E04F2">
        <w:rPr>
          <w:rFonts w:ascii="Arial" w:eastAsia="Arial Unicode MS" w:hAnsi="Arial" w:cs="Arial"/>
          <w:color w:val="000000"/>
          <w:sz w:val="22"/>
          <w:szCs w:val="22"/>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En la Constitución de Ecuador se establece que toda violación</w:t>
      </w:r>
      <w:r w:rsidR="0061277D">
        <w:rPr>
          <w:rFonts w:ascii="Arial" w:eastAsia="Arial Unicode MS" w:hAnsi="Arial" w:cs="Arial"/>
          <w:color w:val="000000"/>
          <w:sz w:val="22"/>
          <w:szCs w:val="22"/>
          <w:u w:color="000000"/>
          <w:lang w:val="es-ES_tradnl"/>
        </w:rPr>
        <w:t xml:space="preserve"> de</w:t>
      </w:r>
      <w:r w:rsidRPr="009E04F2">
        <w:rPr>
          <w:rFonts w:ascii="Arial" w:eastAsia="Arial Unicode MS" w:hAnsi="Arial" w:cs="Arial"/>
          <w:color w:val="000000"/>
          <w:sz w:val="22"/>
          <w:szCs w:val="22"/>
          <w:u w:color="000000"/>
          <w:lang w:val="es-ES_tradnl"/>
        </w:rPr>
        <w:t xml:space="preserve"> derechos por parte del Estado, sus delegatarios, concesionarios y toda persona que actúe en ejercicio de una potestad pública conlleva la obligación de reparación, violaciones producto de la falta o deficiencia en la prestación de los servicios públicos, o por las acciones u omisiones de sus funcionarias o funcionarios, y empleadas y empleados públicos en el desempeño de sus cargos; se determina además que el Estado ejercerá el derecho de repetición en contra de las personas responsables del daño producido</w:t>
      </w:r>
      <w:r w:rsidRPr="009E04F2">
        <w:rPr>
          <w:rFonts w:ascii="Arial" w:eastAsia="Arial Unicode MS" w:hAnsi="Arial" w:cs="Arial"/>
          <w:color w:val="000000"/>
          <w:sz w:val="22"/>
          <w:szCs w:val="22"/>
          <w:u w:color="000000"/>
          <w:vertAlign w:val="superscript"/>
          <w:lang w:val="es-ES_tradnl"/>
        </w:rPr>
        <w:footnoteReference w:id="187"/>
      </w:r>
      <w:r w:rsidR="00275B04">
        <w:rPr>
          <w:rFonts w:ascii="Arial" w:eastAsia="Arial Unicode MS" w:hAnsi="Arial" w:cs="Arial"/>
          <w:color w:val="000000"/>
          <w:sz w:val="22"/>
          <w:szCs w:val="22"/>
          <w:u w:color="000000"/>
          <w:lang w:val="es-ES_tradnl"/>
        </w:rPr>
        <w:t>, no hay que olvidar que</w:t>
      </w:r>
      <w:r w:rsidRPr="009E04F2">
        <w:rPr>
          <w:rFonts w:ascii="Arial" w:eastAsia="Arial Unicode MS" w:hAnsi="Arial" w:cs="Arial"/>
          <w:color w:val="000000"/>
          <w:sz w:val="22"/>
          <w:szCs w:val="22"/>
          <w:u w:color="000000"/>
          <w:lang w:val="es-ES_tradnl"/>
        </w:rPr>
        <w:t xml:space="preserve"> el ejercicio de este derecho del Estado es importante para frenar la impunidad.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lastRenderedPageBreak/>
        <w:t>La Constitución establece que la Asamblea Nacional y todo órgano con potestad normativa tendrá</w:t>
      </w:r>
      <w:r w:rsidR="002C41E1">
        <w:rPr>
          <w:rFonts w:ascii="Arial" w:eastAsia="Arial Unicode MS" w:hAnsi="Arial" w:cs="Arial"/>
          <w:color w:val="000000"/>
          <w:sz w:val="22"/>
          <w:szCs w:val="22"/>
          <w:u w:color="000000"/>
          <w:lang w:val="es-ES_tradnl"/>
        </w:rPr>
        <w:t>n</w:t>
      </w:r>
      <w:r w:rsidRPr="009E04F2">
        <w:rPr>
          <w:rFonts w:ascii="Arial" w:eastAsia="Arial Unicode MS" w:hAnsi="Arial" w:cs="Arial"/>
          <w:color w:val="000000"/>
          <w:sz w:val="22"/>
          <w:szCs w:val="22"/>
          <w:u w:color="000000"/>
          <w:lang w:val="es-ES_tradnl"/>
        </w:rPr>
        <w:t xml:space="preserve"> la obligación de adecuar, formal y materialmente, las leyes y demás normas jurídicas a los derechos previstos en la Constitución y los tratados internacionales, y los que sean necesarios para garantizar la dignidad del ser humano o de las comunidades, pueblos y nacionalidades</w:t>
      </w:r>
      <w:r w:rsidRPr="009E04F2">
        <w:rPr>
          <w:rFonts w:ascii="Arial" w:eastAsia="Arial Unicode MS" w:hAnsi="Arial" w:cs="Arial"/>
          <w:color w:val="000000"/>
          <w:sz w:val="22"/>
          <w:szCs w:val="22"/>
          <w:u w:color="000000"/>
          <w:vertAlign w:val="superscript"/>
          <w:lang w:val="es-ES_tradnl"/>
        </w:rPr>
        <w:footnoteReference w:id="188"/>
      </w:r>
      <w:r w:rsidRPr="009E04F2">
        <w:rPr>
          <w:rFonts w:ascii="Arial" w:eastAsia="Arial Unicode MS" w:hAnsi="Arial" w:cs="Arial"/>
          <w:color w:val="000000"/>
          <w:sz w:val="22"/>
          <w:szCs w:val="22"/>
          <w:u w:color="000000"/>
          <w:lang w:val="es-ES_tradnl"/>
        </w:rPr>
        <w:t>.</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
        </w:rPr>
      </w:pPr>
      <w:r w:rsidRPr="009E04F2">
        <w:rPr>
          <w:rFonts w:ascii="Arial" w:eastAsia="Arial Unicode MS" w:hAnsi="Arial" w:cs="Arial"/>
          <w:color w:val="000000"/>
          <w:sz w:val="22"/>
          <w:szCs w:val="22"/>
          <w:u w:color="000000"/>
          <w:lang w:val="es-ES_tradnl"/>
        </w:rPr>
        <w:t>Un avance importante que contempla la Constitución en materia de protección a los derechos humanos y específicamente en cuanto al cumplimiento de las sentencias de la Corte IDH, se establece en el artículo 93 con la acción por incumplimiento, se señala que tendrá por objeto garantizar la aplicación de las normas que integran el sistema jurídico, así como el cumplimiento de sentencias o informes de organismos internacionales de derechos humanos, cuando la norma o decisión cuyo cumplimiento se persigue contenga una obligación de hacer o no hacer clara, expresa y exigible, esta se interpondrá ante la Corte Constitucional</w:t>
      </w:r>
      <w:r w:rsidRPr="009E04F2">
        <w:rPr>
          <w:rFonts w:ascii="Arial" w:eastAsia="Arial Unicode MS" w:hAnsi="Arial" w:cs="Arial"/>
          <w:color w:val="000000"/>
          <w:sz w:val="22"/>
          <w:szCs w:val="22"/>
          <w:u w:color="000000"/>
          <w:vertAlign w:val="superscript"/>
          <w:lang w:val="es-ES_tradnl"/>
        </w:rPr>
        <w:footnoteReference w:id="189"/>
      </w:r>
      <w:r w:rsidRPr="009E04F2">
        <w:rPr>
          <w:rFonts w:ascii="Arial" w:eastAsia="Arial Unicode MS" w:hAnsi="Arial" w:cs="Arial"/>
          <w:color w:val="000000"/>
          <w:sz w:val="22"/>
          <w:szCs w:val="22"/>
          <w:u w:color="000000"/>
          <w:lang w:val="es-ES_tradnl"/>
        </w:rPr>
        <w:t xml:space="preserve">. Si bien el Estado ecuatoriano tiene la obligación de cumplir a cabalidad las sentencias de la Corte IDH, por ser suscriptor de la Convención Americana y </w:t>
      </w:r>
      <w:r w:rsidRPr="009E04F2">
        <w:rPr>
          <w:rFonts w:ascii="Arial" w:eastAsia="Arial Unicode MS" w:hAnsi="Arial" w:cs="Arial"/>
          <w:sz w:val="22"/>
          <w:szCs w:val="22"/>
          <w:u w:color="000000"/>
          <w:lang w:val="es-ES"/>
        </w:rPr>
        <w:t>reconocer su jurisdicción contenciosa, el establecimiento de esta acción supone una garantía adicional para los beneficiarios de las sentencias, representa un paso importante ya que refleja un compromiso de las instituciones del Estado frente al reconocimiento de las responsabilidades internacionales y la reparación integral a las víctimas.</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sz w:val="22"/>
          <w:szCs w:val="22"/>
          <w:u w:color="000000"/>
          <w:lang w:val="es-ES"/>
        </w:rPr>
        <w:t>El Ecuador a través de su Constitución establece además que en sus relaciones con la comunidad internacional exige el respeto de los derechos humanos, en particular de los derechos  de las personas migrantes, y propicia su pleno ejercicio mediante el cumplimiento de las obligaciones asumidas con la suscripción de instrumentos internacionales de derechos humanos</w:t>
      </w:r>
      <w:r w:rsidRPr="009E04F2">
        <w:rPr>
          <w:rFonts w:ascii="Arial" w:eastAsia="Arial Unicode MS" w:hAnsi="Arial" w:cs="Arial"/>
          <w:sz w:val="22"/>
          <w:szCs w:val="22"/>
          <w:u w:color="000000"/>
          <w:vertAlign w:val="superscript"/>
          <w:lang w:val="es-ES"/>
        </w:rPr>
        <w:footnoteReference w:id="190"/>
      </w:r>
      <w:r w:rsidRPr="009E04F2">
        <w:rPr>
          <w:rFonts w:ascii="Arial" w:eastAsia="Arial Unicode MS" w:hAnsi="Arial" w:cs="Arial"/>
          <w:sz w:val="22"/>
          <w:szCs w:val="22"/>
          <w:u w:color="000000"/>
          <w:lang w:val="es-ES"/>
        </w:rPr>
        <w:t>. Señala adicionalmente que a los tratados y otros instrumentos internacionales de derechos humanos se aplicarán los principios de pro ser humano, de no restricción de derechos, de aplicabilidad directa y de cláusula abierta establecidos en la Constitución</w:t>
      </w:r>
      <w:r w:rsidRPr="009E04F2">
        <w:rPr>
          <w:rFonts w:ascii="Arial" w:eastAsia="Arial Unicode MS" w:hAnsi="Arial" w:cs="Arial"/>
          <w:sz w:val="22"/>
          <w:szCs w:val="22"/>
          <w:u w:color="000000"/>
          <w:vertAlign w:val="superscript"/>
          <w:lang w:val="es-ES"/>
        </w:rPr>
        <w:footnoteReference w:id="191"/>
      </w:r>
      <w:r w:rsidRPr="009E04F2">
        <w:rPr>
          <w:rFonts w:ascii="Arial" w:eastAsia="Arial Unicode MS" w:hAnsi="Arial" w:cs="Arial"/>
          <w:sz w:val="22"/>
          <w:szCs w:val="22"/>
          <w:u w:color="000000"/>
          <w:lang w:val="es-ES"/>
        </w:rPr>
        <w:t xml:space="preserve">.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2C41E1"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 xml:space="preserve">Además del reconocimiento y garantía de los instrumentos internacionales sobre derechos humanos, es importante que el Estado maneje criterios y estándares  internacionales  de reparación, sobre todo en el ámbito judicial, al respecto en el artículo 78 de la Constitución se determina que las víctimas de infracciones penales gozarán de </w:t>
      </w:r>
      <w:r w:rsidRPr="009E04F2">
        <w:rPr>
          <w:rFonts w:ascii="Arial" w:eastAsia="Arial Unicode MS" w:hAnsi="Arial" w:cs="Arial"/>
          <w:color w:val="000000"/>
          <w:sz w:val="22"/>
          <w:szCs w:val="22"/>
          <w:u w:color="000000"/>
          <w:lang w:val="es-ES_tradnl"/>
        </w:rPr>
        <w:lastRenderedPageBreak/>
        <w:t xml:space="preserve">protección especial, se les garantizará su no </w:t>
      </w:r>
      <w:proofErr w:type="spellStart"/>
      <w:r w:rsidRPr="009E04F2">
        <w:rPr>
          <w:rFonts w:ascii="Arial" w:eastAsia="Arial Unicode MS" w:hAnsi="Arial" w:cs="Arial"/>
          <w:color w:val="000000"/>
          <w:sz w:val="22"/>
          <w:szCs w:val="22"/>
          <w:u w:color="000000"/>
          <w:lang w:val="es-ES_tradnl"/>
        </w:rPr>
        <w:t>revictimización</w:t>
      </w:r>
      <w:proofErr w:type="spellEnd"/>
      <w:r w:rsidRPr="009E04F2">
        <w:rPr>
          <w:rFonts w:ascii="Arial" w:eastAsia="Arial Unicode MS" w:hAnsi="Arial" w:cs="Arial"/>
          <w:color w:val="000000"/>
          <w:sz w:val="22"/>
          <w:szCs w:val="22"/>
          <w:u w:color="000000"/>
          <w:lang w:val="es-ES_tradnl"/>
        </w:rPr>
        <w:t>, particularmente en la obtención y valorización de las pruebas, y se las protegerá de cualquier amenaza u otras formas de intimidación. Se determina además que se adoptarán mecanismos para una reparación integral que incluirá, sin dilaciones, el conocimiento de la verdad de los hechos y la restitución, indemnización, rehabilitación, garantía de no repetición y satisfacción del derecho violado</w:t>
      </w:r>
      <w:r w:rsidRPr="009E04F2">
        <w:rPr>
          <w:rFonts w:ascii="Arial" w:eastAsia="Arial Unicode MS" w:hAnsi="Arial" w:cs="Arial"/>
          <w:color w:val="000000"/>
          <w:sz w:val="22"/>
          <w:szCs w:val="22"/>
          <w:u w:color="000000"/>
          <w:vertAlign w:val="superscript"/>
          <w:lang w:val="es-ES_tradnl"/>
        </w:rPr>
        <w:footnoteReference w:id="192"/>
      </w:r>
      <w:r w:rsidRPr="009E04F2">
        <w:rPr>
          <w:rFonts w:ascii="Arial" w:eastAsia="Arial Unicode MS" w:hAnsi="Arial" w:cs="Arial"/>
          <w:color w:val="000000"/>
          <w:sz w:val="22"/>
          <w:szCs w:val="22"/>
          <w:u w:color="000000"/>
          <w:lang w:val="es-ES_tradnl"/>
        </w:rPr>
        <w:t xml:space="preserve">. </w:t>
      </w:r>
    </w:p>
    <w:p w:rsidR="002C41E1" w:rsidRDefault="002C41E1"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 xml:space="preserve">Si bien este criterio de reparación </w:t>
      </w:r>
      <w:r w:rsidR="002C41E1">
        <w:rPr>
          <w:rFonts w:ascii="Arial" w:eastAsia="Arial Unicode MS" w:hAnsi="Arial" w:cs="Arial"/>
          <w:color w:val="000000"/>
          <w:sz w:val="22"/>
          <w:szCs w:val="22"/>
          <w:u w:color="000000"/>
          <w:lang w:val="es-ES_tradnl"/>
        </w:rPr>
        <w:t>reúne ciertos elementos del estándar</w:t>
      </w:r>
      <w:r w:rsidRPr="009E04F2">
        <w:rPr>
          <w:rFonts w:ascii="Arial" w:eastAsia="Arial Unicode MS" w:hAnsi="Arial" w:cs="Arial"/>
          <w:color w:val="000000"/>
          <w:sz w:val="22"/>
          <w:szCs w:val="22"/>
          <w:u w:color="000000"/>
          <w:lang w:val="es-ES_tradnl"/>
        </w:rPr>
        <w:t xml:space="preserve"> de protección de la Corte IDH, se señala en el artículo </w:t>
      </w:r>
      <w:r w:rsidR="002C41E1">
        <w:rPr>
          <w:rFonts w:ascii="Arial" w:eastAsia="Arial Unicode MS" w:hAnsi="Arial" w:cs="Arial"/>
          <w:color w:val="000000"/>
          <w:sz w:val="22"/>
          <w:szCs w:val="22"/>
          <w:u w:color="000000"/>
          <w:lang w:val="es-ES_tradnl"/>
        </w:rPr>
        <w:t xml:space="preserve">78 de la Constitución </w:t>
      </w:r>
      <w:r w:rsidRPr="009E04F2">
        <w:rPr>
          <w:rFonts w:ascii="Arial" w:eastAsia="Arial Unicode MS" w:hAnsi="Arial" w:cs="Arial"/>
          <w:color w:val="000000"/>
          <w:sz w:val="22"/>
          <w:szCs w:val="22"/>
          <w:u w:color="000000"/>
          <w:lang w:val="es-ES_tradnl"/>
        </w:rPr>
        <w:t>que será para las v</w:t>
      </w:r>
      <w:r w:rsidR="002C41E1">
        <w:rPr>
          <w:rFonts w:ascii="Arial" w:eastAsia="Arial Unicode MS" w:hAnsi="Arial" w:cs="Arial"/>
          <w:color w:val="000000"/>
          <w:sz w:val="22"/>
          <w:szCs w:val="22"/>
          <w:u w:color="000000"/>
          <w:lang w:val="es-ES_tradnl"/>
        </w:rPr>
        <w:t>íctimas de infracciones penales. P</w:t>
      </w:r>
      <w:r w:rsidRPr="009E04F2">
        <w:rPr>
          <w:rFonts w:ascii="Arial" w:eastAsia="Arial Unicode MS" w:hAnsi="Arial" w:cs="Arial"/>
          <w:color w:val="000000"/>
          <w:sz w:val="22"/>
          <w:szCs w:val="22"/>
          <w:u w:color="000000"/>
          <w:lang w:val="es-ES_tradnl"/>
        </w:rPr>
        <w:t>or otro lado en el artículo 86 del mismo cuerpo legal, en referencia a las garantías jurisdiccionales, se determina que al constatarse la vulneración de derechos, la jueza o juez ordenará la reparación i</w:t>
      </w:r>
      <w:r w:rsidR="002C41E1">
        <w:rPr>
          <w:rFonts w:ascii="Arial" w:eastAsia="Arial Unicode MS" w:hAnsi="Arial" w:cs="Arial"/>
          <w:color w:val="000000"/>
          <w:sz w:val="22"/>
          <w:szCs w:val="22"/>
          <w:u w:color="000000"/>
          <w:lang w:val="es-ES_tradnl"/>
        </w:rPr>
        <w:t>ntegral, material e inmaterial</w:t>
      </w:r>
      <w:r w:rsidRPr="009E04F2">
        <w:rPr>
          <w:rFonts w:ascii="Arial" w:eastAsia="Arial Unicode MS" w:hAnsi="Arial" w:cs="Arial"/>
          <w:color w:val="000000"/>
          <w:sz w:val="22"/>
          <w:szCs w:val="22"/>
          <w:u w:color="000000"/>
          <w:lang w:val="es-ES_tradnl"/>
        </w:rPr>
        <w:t xml:space="preserve">; no se hace una referencia a las medidas tendientes a la restitución, rehabilitación, satisfacción y garantías de no repetición. Es importante y representaría un avance que en el ámbito interno se adopten estos criterios pues facilitará los procesos de reparación integral ordenados por la Corte IDH.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En cuanto a las entidades públicas con atribuciones en la ejecución de sentencias de organismos internacionales de derechos humanos tenemos a las Procuraduría General del Estado, en cuyo reglamento orgánico funcional se establece que la Dirección Nacional de Derechos Humanos que está a cargo de un Director, quien es el delegado del Procurador General del Estado y como tal ejerce la representación y defensa judicial y </w:t>
      </w:r>
      <w:proofErr w:type="spellStart"/>
      <w:r w:rsidRPr="009E04F2">
        <w:rPr>
          <w:rFonts w:ascii="Arial" w:eastAsia="Arial Unicode MS" w:hAnsi="Arial" w:cs="Arial"/>
          <w:sz w:val="22"/>
          <w:szCs w:val="22"/>
          <w:u w:color="000000"/>
          <w:lang w:val="es-ES_tradnl"/>
        </w:rPr>
        <w:t>cuasijudicial</w:t>
      </w:r>
      <w:proofErr w:type="spellEnd"/>
      <w:r w:rsidRPr="009E04F2">
        <w:rPr>
          <w:rFonts w:ascii="Arial" w:eastAsia="Arial Unicode MS" w:hAnsi="Arial" w:cs="Arial"/>
          <w:sz w:val="22"/>
          <w:szCs w:val="22"/>
          <w:u w:color="000000"/>
          <w:lang w:val="es-ES_tradnl"/>
        </w:rPr>
        <w:t xml:space="preserve"> del Estado ante organismos internacionales de Derechos Humanos que soliciten la adopción de medidas de prevención, investigación, sanción y reparación de casos de derechos humanos, precautelando el interés del Estado Ecuatoriano</w:t>
      </w:r>
      <w:r w:rsidRPr="009E04F2">
        <w:rPr>
          <w:rFonts w:ascii="Arial" w:eastAsia="Arial Unicode MS" w:hAnsi="Arial" w:cs="Arial"/>
          <w:sz w:val="22"/>
          <w:szCs w:val="22"/>
          <w:u w:color="000000"/>
          <w:vertAlign w:val="superscript"/>
          <w:lang w:val="es-ES_tradnl"/>
        </w:rPr>
        <w:footnoteReference w:id="193"/>
      </w:r>
      <w:r w:rsidR="002C41E1">
        <w:rPr>
          <w:rFonts w:ascii="Arial" w:eastAsia="Arial Unicode MS" w:hAnsi="Arial" w:cs="Arial"/>
          <w:sz w:val="22"/>
          <w:szCs w:val="22"/>
          <w:u w:color="000000"/>
          <w:lang w:val="es-ES_tradnl"/>
        </w:rPr>
        <w:t>.</w:t>
      </w:r>
      <w:r w:rsidRPr="009E04F2">
        <w:rPr>
          <w:rFonts w:ascii="Arial" w:eastAsia="Arial Unicode MS" w:hAnsi="Arial" w:cs="Arial"/>
          <w:sz w:val="22"/>
          <w:szCs w:val="22"/>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Dentro de las funciones del Director Nacional de Derechos Humanos está proponer, proseguir y llevar a su conclusión las acciones judiciales pertinentes en demanda o en defensa de los intereses del Estado en lo concerniente a la naturaleza de su Dirección</w:t>
      </w:r>
      <w:r w:rsidRPr="009E04F2">
        <w:rPr>
          <w:rFonts w:ascii="Arial" w:eastAsia="Arial Unicode MS" w:hAnsi="Arial" w:cs="Arial"/>
          <w:sz w:val="22"/>
          <w:szCs w:val="22"/>
          <w:u w:color="000000"/>
          <w:vertAlign w:val="superscript"/>
          <w:lang w:val="es-ES_tradnl"/>
        </w:rPr>
        <w:footnoteReference w:id="194"/>
      </w:r>
      <w:r w:rsidRPr="009E04F2">
        <w:rPr>
          <w:rFonts w:ascii="Arial" w:eastAsia="Arial Unicode MS" w:hAnsi="Arial" w:cs="Arial"/>
          <w:sz w:val="22"/>
          <w:szCs w:val="22"/>
          <w:u w:color="000000"/>
          <w:lang w:val="es-ES_tradnl"/>
        </w:rPr>
        <w:t xml:space="preserve">. Además, asistir a las reuniones de trabajo, participar en los períodos de sesiones y en los procesos para el acuerdo de las medidas de reparación en los casos de derechos humanos que maneje la Dirección y que sean susceptibles de ser solucionados </w:t>
      </w:r>
      <w:r w:rsidRPr="009E04F2">
        <w:rPr>
          <w:rFonts w:ascii="Arial" w:eastAsia="Arial Unicode MS" w:hAnsi="Arial" w:cs="Arial"/>
          <w:sz w:val="22"/>
          <w:szCs w:val="22"/>
          <w:u w:color="000000"/>
          <w:lang w:val="es-ES_tradnl"/>
        </w:rPr>
        <w:lastRenderedPageBreak/>
        <w:t>amistosamente conforme la normativa internacional y nacional vigente</w:t>
      </w:r>
      <w:r w:rsidRPr="009E04F2">
        <w:rPr>
          <w:rFonts w:ascii="Arial" w:eastAsia="Arial Unicode MS" w:hAnsi="Arial" w:cs="Arial"/>
          <w:sz w:val="22"/>
          <w:szCs w:val="22"/>
          <w:u w:color="000000"/>
          <w:vertAlign w:val="superscript"/>
          <w:lang w:val="es-ES_tradnl"/>
        </w:rPr>
        <w:footnoteReference w:id="195"/>
      </w:r>
      <w:r w:rsidRPr="009E04F2">
        <w:rPr>
          <w:rFonts w:ascii="Arial" w:eastAsia="Arial Unicode MS" w:hAnsi="Arial" w:cs="Arial"/>
          <w:sz w:val="22"/>
          <w:szCs w:val="22"/>
          <w:u w:color="000000"/>
          <w:lang w:val="es-ES_tradnl"/>
        </w:rPr>
        <w:t>; así mismo coordinar con los organismos y entidades del sector público competentes, a nivel, interno, la implementación de las acciones necesarias para cumplir sentencias, resoluciones, recomendaciones u otras medidas que hayan dictado organismos internacionales para la prevención y protección de los derechos fundamentales</w:t>
      </w:r>
      <w:r w:rsidRPr="009E04F2">
        <w:rPr>
          <w:rFonts w:ascii="Arial" w:eastAsia="Arial Unicode MS" w:hAnsi="Arial" w:cs="Arial"/>
          <w:sz w:val="22"/>
          <w:szCs w:val="22"/>
          <w:u w:color="000000"/>
          <w:vertAlign w:val="superscript"/>
          <w:lang w:val="es-ES_tradnl"/>
        </w:rPr>
        <w:footnoteReference w:id="196"/>
      </w:r>
      <w:r w:rsidR="002C41E1">
        <w:rPr>
          <w:rFonts w:ascii="Arial" w:eastAsia="Arial Unicode MS" w:hAnsi="Arial" w:cs="Arial"/>
          <w:sz w:val="22"/>
          <w:szCs w:val="22"/>
          <w:u w:color="000000"/>
          <w:lang w:val="es-ES_tradnl"/>
        </w:rPr>
        <w:t>.</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Si bien la Procuraduría General del Estado, por medio de la Dirección Nacional de Derechos Humanos, vigila el cumplimiento de sentencias de organismos internacionales para la prevención y protección de los derechos fundamentales, por medio del decreto ejecutivo 1317 expedido el 9 de septiembre del 2008</w:t>
      </w:r>
      <w:r w:rsidRPr="009E04F2">
        <w:rPr>
          <w:rFonts w:ascii="Arial" w:eastAsia="Arial Unicode MS" w:hAnsi="Arial" w:cs="Arial"/>
          <w:sz w:val="22"/>
          <w:szCs w:val="22"/>
          <w:u w:color="000000"/>
          <w:vertAlign w:val="superscript"/>
          <w:lang w:val="es-ES_tradnl"/>
        </w:rPr>
        <w:footnoteReference w:id="197"/>
      </w:r>
      <w:r w:rsidRPr="009E04F2">
        <w:rPr>
          <w:rFonts w:ascii="Arial" w:eastAsia="Arial Unicode MS" w:hAnsi="Arial" w:cs="Arial"/>
          <w:sz w:val="22"/>
          <w:szCs w:val="22"/>
          <w:u w:color="000000"/>
          <w:lang w:val="es-ES_tradnl"/>
        </w:rPr>
        <w:t xml:space="preserve"> el Presidente Constitucional de la República estableció que la ejecución de sentencias por compromisos internacionales estará a cargo del Ministerio de Justicia, Derechos Humanos y Cultos, dentro de los considerandos se determinó que es necesario definir una entidad responsable de la coordinación de la ejecución de sentencias, medidas cautelares, medidas provisionales, acuerdos amistosos originados en el Sistema Interamericano de Derechos Humanos y demás obligaciones internacionales surgidas de la ratificación de convenios internacionales en materia de derechos humanos por parte del Estado Ecuatoriano, de este modo se ha conferido esta responsabilidad a esta cartera de Estado.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Para el cumplimiento de esta responsabilidad  este Ministerio cuenta con las siguientes funciones:</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1. Remitir a la autoridad competente las resoluciones para que ordene el inicio de investigaciones y la determinación de responsabilidades individuales relacionadas con la violación de derechos humanos; y, dar seguimiento al curso de tales investigaciones y determinación de responsabilidades.</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2. Coordinar con el Ministerio de Finanzas el pago de la reparación material e inmaterial a las víctimas de violación de derechos humanos.</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3. Coordinar con la entidad del Estado competente la realización de medidas necesarias para dar cumplimiento integral a las obligaciones.</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4. Preparar proyectos de reforma legal para adecuar el sistema normativo a los estándares internacionales de derechos humanos.</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5. Mantener a los beneficiarios, al Ministerio de Relaciones Exteriores, a la Procuraduría General del Estado y demás órganos interesados, informados del avance de las gestiones de cumplimiento coordinadas por el Ministerio de Justicia y Derechos Humanos.</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 xml:space="preserve">6. Coordinar, con el apoyo del Ministerio de Relaciones Exteriores, Comercio e Integración, la implementación a nivel nacional, de cualquier otro instrumento internacional </w:t>
      </w:r>
      <w:r w:rsidRPr="002C41E1">
        <w:rPr>
          <w:rFonts w:ascii="Arial" w:eastAsia="Arial Unicode MS" w:hAnsi="Arial" w:cs="Arial"/>
          <w:sz w:val="20"/>
          <w:szCs w:val="20"/>
          <w:u w:color="000000"/>
          <w:lang w:val="es-ES_tradnl"/>
        </w:rPr>
        <w:lastRenderedPageBreak/>
        <w:t>por el cual se establezcan obligaciones internacionales del Estado en el ámbito de los derechos humanos.</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7. Participar, conjuntamente con el Ministerio de Relaciones Exteriores, Comercio e Integración, en el proceso de elaboración y validación de los informes del Estado a los comités y demás órganos de los tratados de derechos humanos, en el marco de la coordinación pública. El Ministerio de Relaciones Exteriores, Comercio e Integración deberá presentar los informes validados a los correspondientes órganos de los tratados internacionales en derechos humanos.</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8. Realizar el seguimiento, monitoreo y evaluación interna en el Ecuador del cumplimiento de las normas jurídicas y políticas nacionales</w:t>
      </w:r>
      <w:r w:rsidRPr="002C41E1">
        <w:rPr>
          <w:rFonts w:ascii="Arial" w:eastAsia="Arial Unicode MS" w:hAnsi="Arial" w:cs="Arial"/>
          <w:i/>
          <w:sz w:val="20"/>
          <w:szCs w:val="20"/>
          <w:u w:color="000000"/>
          <w:lang w:val="es-ES_tradnl"/>
        </w:rPr>
        <w:t xml:space="preserve"> </w:t>
      </w:r>
      <w:r w:rsidRPr="002C41E1">
        <w:rPr>
          <w:rFonts w:ascii="Arial" w:eastAsia="Arial Unicode MS" w:hAnsi="Arial" w:cs="Arial"/>
          <w:sz w:val="20"/>
          <w:szCs w:val="20"/>
          <w:u w:color="000000"/>
          <w:lang w:val="es-ES_tradnl"/>
        </w:rPr>
        <w:t>en derechos humanos, a efectos de incorporar los datos pertinentes en los informes del Estado a los órganos de los tratados en esta materia.</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9. Apoyar al Ministerio de Relaciones Exteriores, Comercio e Integración, en la preparación de la agenda para la visita al Ecuador de mecanismos y relatores especiales de derechos humanos, y preparar conjunta-mente la posición oficial del Estado en los temas de competencia de los mecanismos internacionales.</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10. Participar en las reuniones internacionales de derechos humanos, incluida la presentación de informes ante organismos internacionales en este ámbito, bajo la coordinación del Ministerio de Relaciones Exteriores, Comercio e Integración.</w:t>
      </w: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11. Con el apoyo del Ministerio de Relaciones Exteriores, Comercio e integración, poner en conocimiento de las entidades públicas y la sociedad civil, las recomendaciones que emanen de comités u órganos internacionales de derechos humanos, así como realizar la evaluación de su cumplimiento.</w:t>
      </w:r>
    </w:p>
    <w:p w:rsidR="008F2951" w:rsidRPr="002C41E1" w:rsidRDefault="008F2951" w:rsidP="00275B04">
      <w:pPr>
        <w:pStyle w:val="Sinespaciado"/>
        <w:spacing w:line="276" w:lineRule="auto"/>
        <w:jc w:val="both"/>
        <w:rPr>
          <w:rFonts w:ascii="Arial" w:eastAsia="Arial Unicode MS" w:hAnsi="Arial" w:cs="Arial"/>
          <w:sz w:val="20"/>
          <w:szCs w:val="20"/>
          <w:u w:color="000000"/>
          <w:lang w:val="es-ES_tradnl"/>
        </w:rPr>
      </w:pPr>
    </w:p>
    <w:p w:rsidR="00420AE7"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En general, el Ministerio de Justicia y Derechos Humanos promoverá activamente el diálogo con la sociedad civil, en especial con las organizaciones de derechos humanos, para el cumplimiento de sus obligaciones y funciones establecidos en este decreto</w:t>
      </w:r>
      <w:r w:rsidRPr="002C41E1">
        <w:rPr>
          <w:rFonts w:ascii="Arial" w:eastAsia="Arial Unicode MS" w:hAnsi="Arial" w:cs="Arial"/>
          <w:sz w:val="20"/>
          <w:szCs w:val="20"/>
          <w:u w:color="000000"/>
          <w:vertAlign w:val="superscript"/>
          <w:lang w:val="es-ES_tradnl"/>
        </w:rPr>
        <w:footnoteReference w:id="198"/>
      </w:r>
      <w:r w:rsidRPr="002C41E1">
        <w:rPr>
          <w:rFonts w:ascii="Arial" w:eastAsia="Arial Unicode MS" w:hAnsi="Arial" w:cs="Arial"/>
          <w:sz w:val="20"/>
          <w:szCs w:val="20"/>
          <w:u w:color="000000"/>
          <w:lang w:val="es-ES_tradnl"/>
        </w:rPr>
        <w:t xml:space="preserve">.   </w:t>
      </w:r>
    </w:p>
    <w:p w:rsidR="008F2951" w:rsidRPr="002C41E1" w:rsidRDefault="008F2951" w:rsidP="002C41E1">
      <w:pPr>
        <w:pStyle w:val="Sinespaciado"/>
        <w:spacing w:line="360"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En consecuencia, este Ministerio coordina con el resto de las entidades públicas que tienen las competencias para ejecutar las medidas de reparación correspondientes, se incluyen las medidas tendientes a investigar, judicializar y sancionar a los responsables de las violaciones a los derechos por lo que este Ministerio deberá coordinar con la función judicial, además preparar los proyectos de ley correspondientes para adecuar el marco normativo según los estándares internacionales de derechos humanos, es decir coordinar con la Asamblea Nacional, además realizar todas las acciones necesarias con las demás entidades públicas para cumplir a cabalidad las sentencias de la Corte IDH, en suma se puede decir que dentro de las funciones del Ministerio se determina de manera general la forma como se iniciará la ejecución de las medidas que usualmente ordena la Corte</w:t>
      </w:r>
      <w:r w:rsidR="00275B04" w:rsidRPr="00275B04">
        <w:rPr>
          <w:rFonts w:ascii="Arial" w:eastAsia="Arial Unicode MS" w:hAnsi="Arial" w:cs="Arial"/>
          <w:sz w:val="22"/>
          <w:szCs w:val="22"/>
          <w:u w:color="000000"/>
          <w:lang w:val="es-ES_tradnl"/>
        </w:rPr>
        <w:t xml:space="preserve"> </w:t>
      </w:r>
      <w:r w:rsidR="00275B04" w:rsidRPr="00A75361">
        <w:rPr>
          <w:rFonts w:ascii="Arial" w:eastAsia="Arial Unicode MS" w:hAnsi="Arial" w:cs="Arial"/>
          <w:sz w:val="22"/>
          <w:szCs w:val="22"/>
          <w:u w:color="000000"/>
          <w:lang w:val="es-ES_tradnl"/>
        </w:rPr>
        <w:t>IDH</w:t>
      </w:r>
      <w:r w:rsidRPr="009E04F2">
        <w:rPr>
          <w:rFonts w:ascii="Arial" w:eastAsia="Arial Unicode MS" w:hAnsi="Arial" w:cs="Arial"/>
          <w:sz w:val="22"/>
          <w:szCs w:val="22"/>
          <w:u w:color="000000"/>
          <w:lang w:val="es-ES_tradnl"/>
        </w:rPr>
        <w:t xml:space="preserve">, medidas que incluyen la restitución, indemnización, rehabilitación, satisfacción y garantías de no repetición.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 xml:space="preserve">Cabe cuestionarse sin embargo si es suficiente que se establezca la responsabilidad de ejecutar las sentencias de las Corte IDH por medio de un decreto ejecutivo, o si sería </w:t>
      </w:r>
      <w:r w:rsidRPr="009E04F2">
        <w:rPr>
          <w:rFonts w:ascii="Arial" w:eastAsia="Arial Unicode MS" w:hAnsi="Arial" w:cs="Arial"/>
          <w:color w:val="000000"/>
          <w:sz w:val="22"/>
          <w:szCs w:val="22"/>
          <w:u w:color="000000"/>
          <w:lang w:val="es-ES_tradnl"/>
        </w:rPr>
        <w:lastRenderedPageBreak/>
        <w:t xml:space="preserve">conveniente que esta atribución se establezca por medio de una ley, además si se precisa la creación de un órgano especializado para vigilar el cumplimiento pleno de las sentencias o si el Ministerio de Justicia, Derechos Humanos y Cultos cuenta con los recursos humanos, de infraestructura y económicos para llevar a cabo esta responsabilidad. </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Como parte de esta investigación se consultó a abogados con experiencia en litigio en el Sistema IDH para recoger sus impresiones sobre la situación actual en cuanto al desenvolvimiento del Estado ecuatoriano en el marco del cumplimiento de las sentencias de la Corte IDH. Sus conocimientos, criterios, opiniones y recomendaciones permiten una observación desde la práctica sobre el entorno jurídico y político referente a la ejecución de las sentencias de la Corte IDH.</w:t>
      </w:r>
    </w:p>
    <w:p w:rsidR="008F2951" w:rsidRPr="009E04F2" w:rsidRDefault="008F2951" w:rsidP="009E04F2">
      <w:pPr>
        <w:pStyle w:val="Sinespaciado"/>
        <w:spacing w:line="360" w:lineRule="auto"/>
        <w:jc w:val="both"/>
        <w:rPr>
          <w:rFonts w:ascii="Arial" w:eastAsia="Arial Unicode MS" w:hAnsi="Arial" w:cs="Arial"/>
          <w:color w:val="000000"/>
          <w:sz w:val="22"/>
          <w:szCs w:val="22"/>
          <w:u w:color="000000"/>
          <w:lang w:val="es-ES_tradnl"/>
        </w:rPr>
      </w:pPr>
      <w:r w:rsidRPr="009E04F2">
        <w:rPr>
          <w:rFonts w:ascii="Arial" w:eastAsia="Arial Unicode MS" w:hAnsi="Arial" w:cs="Arial"/>
          <w:color w:val="000000"/>
          <w:sz w:val="22"/>
          <w:szCs w:val="22"/>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En términos generales se afirma que el panorama jurídico en el Ecuador actualmente, tiende hacia una mayor protección de los derechos humanos sobre todo por la aprobación de la Constitución del 2008, específicamente al contemplar la acción por incumplimiento que pretende la ejecución de sentencias de organismos internacionales de derechos humanos, sin embargo hasta la actualidad este mecanismo no ha sido utilizado, sobre todo por la tendencia en el cumplimiento parcial de las sentencias. Sin embargo en cuanto al panorama político se observan ciertas dificultades por la presencia de un gobierno que ataca a los sectores de oposición y busca hacerse de cierta imagen sobre todo en el ámbito internacional.</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2C41E1" w:rsidRDefault="008F2951" w:rsidP="00275B04">
      <w:pPr>
        <w:pStyle w:val="Sinespaciado"/>
        <w:spacing w:line="276" w:lineRule="auto"/>
        <w:ind w:left="720"/>
        <w:jc w:val="both"/>
        <w:rPr>
          <w:rFonts w:ascii="Arial" w:eastAsia="Arial Unicode MS" w:hAnsi="Arial" w:cs="Arial"/>
          <w:sz w:val="20"/>
          <w:szCs w:val="20"/>
          <w:u w:color="000000"/>
          <w:lang w:val="es-ES_tradnl"/>
        </w:rPr>
      </w:pPr>
      <w:r w:rsidRPr="002C41E1">
        <w:rPr>
          <w:rFonts w:ascii="Arial" w:eastAsia="Arial Unicode MS" w:hAnsi="Arial" w:cs="Arial"/>
          <w:sz w:val="20"/>
          <w:szCs w:val="20"/>
          <w:u w:color="000000"/>
          <w:lang w:val="es-ES_tradnl"/>
        </w:rPr>
        <w:t>En la nueva constitución del 2008 se reconoce la acción de incumplimiento de las resoluciones internacionales, esto implica un avance respecto al tema de la ejecución, porque antes había un vacío jurídic</w:t>
      </w:r>
      <w:r w:rsidR="002C41E1">
        <w:rPr>
          <w:rFonts w:ascii="Arial" w:eastAsia="Arial Unicode MS" w:hAnsi="Arial" w:cs="Arial"/>
          <w:sz w:val="20"/>
          <w:szCs w:val="20"/>
          <w:u w:color="000000"/>
          <w:lang w:val="es-ES_tradnl"/>
        </w:rPr>
        <w:t>o, en el derecho internacional s</w:t>
      </w:r>
      <w:r w:rsidRPr="002C41E1">
        <w:rPr>
          <w:rFonts w:ascii="Arial" w:eastAsia="Arial Unicode MS" w:hAnsi="Arial" w:cs="Arial"/>
          <w:sz w:val="20"/>
          <w:szCs w:val="20"/>
          <w:u w:color="000000"/>
          <w:lang w:val="es-ES_tradnl"/>
        </w:rPr>
        <w:t>e tienen que cumplir las decisiones de los organismos internacionales por un principio de buena fe, no se veía necesario que las instancias nacionales creen mecanismos de ejecución de las sentencias</w:t>
      </w:r>
      <w:r w:rsidR="00487081" w:rsidRP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w:t>
      </w:r>
      <w:r w:rsidR="00487081" w:rsidRP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 xml:space="preserve"> Sin embargo ya en la práctica se vio que eso no era suficiente</w:t>
      </w:r>
      <w:r w:rsidR="00487081" w:rsidRP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w:t>
      </w:r>
      <w:r w:rsidR="00487081" w:rsidRP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 xml:space="preserve"> Algunos países han generado estos mecanismos entre ellos Ecuador</w:t>
      </w:r>
      <w:r w:rsidR="00487081" w:rsidRP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w:t>
      </w:r>
      <w:r w:rsidR="00487081" w:rsidRP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en general no ha sido una vía muy utilizada, no sabemos qué tan efectiva va a poder ser. El grave problema que tenemos ahora con el tema político es la posición que tiene el Estado ecuatoriano con respecto al Sistema Interamericano sobre todo en contra de la Comisión</w:t>
      </w:r>
      <w:r w:rsidR="00487081" w:rsidRP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w:t>
      </w:r>
      <w:r w:rsidR="00487081" w:rsidRP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 xml:space="preserve"> tenemos un contexto en que el gobierno no quiere recibir críticas de ninguna persona ni institución…la ejecución de sentencias no se ha dado completamente en el pasado y sobre todo no se ha dado en el tema de investigación y sanción de los responsables, yo no creo que exista un buen panorama político para que se mejore en esa parte</w:t>
      </w:r>
      <w:r w:rsidRPr="002C41E1">
        <w:rPr>
          <w:rFonts w:ascii="Arial" w:eastAsia="Arial Unicode MS" w:hAnsi="Arial" w:cs="Arial"/>
          <w:sz w:val="20"/>
          <w:szCs w:val="20"/>
          <w:u w:color="000000"/>
          <w:vertAlign w:val="superscript"/>
          <w:lang w:val="es-ES_tradnl"/>
        </w:rPr>
        <w:footnoteReference w:id="199"/>
      </w:r>
      <w:r w:rsidR="002C41E1">
        <w:rPr>
          <w:rFonts w:ascii="Arial" w:eastAsia="Arial Unicode MS" w:hAnsi="Arial" w:cs="Arial"/>
          <w:sz w:val="20"/>
          <w:szCs w:val="20"/>
          <w:u w:color="000000"/>
          <w:lang w:val="es-ES_tradnl"/>
        </w:rPr>
        <w:t>.</w:t>
      </w:r>
      <w:r w:rsidRPr="002C41E1">
        <w:rPr>
          <w:rFonts w:ascii="Arial" w:eastAsia="Arial Unicode MS" w:hAnsi="Arial" w:cs="Arial"/>
          <w:sz w:val="20"/>
          <w:szCs w:val="20"/>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i/>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lastRenderedPageBreak/>
        <w:t xml:space="preserve">Sobre si ha existido un avance en cuanto al apoyo y colaboración de las instituciones públicas encargadas del cumplimiento de las sentencias de la Corte IDH, los entrevistados señalan que si, en principio es positivo que el Ministerio de Justicia, Derechos Humanos y Cultos tenga la atribución de ejecutar las sentencias sin embargo posterior a ello se han encontrado nuevas dificultades generalmente producto de los manejos burocráticos.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i/>
          <w:sz w:val="22"/>
          <w:szCs w:val="22"/>
          <w:u w:color="000000"/>
          <w:lang w:val="es-ES_tradnl"/>
        </w:rPr>
      </w:pPr>
      <w:r w:rsidRPr="009E04F2">
        <w:rPr>
          <w:rFonts w:ascii="Arial" w:eastAsia="Arial Unicode MS" w:hAnsi="Arial" w:cs="Arial"/>
          <w:sz w:val="22"/>
          <w:szCs w:val="22"/>
          <w:u w:color="000000"/>
          <w:lang w:val="es-ES_tradnl"/>
        </w:rPr>
        <w:t>David Cordero señala que, siendo el Ministerio de Justicia un órgano de</w:t>
      </w:r>
      <w:r w:rsidR="00D97601">
        <w:rPr>
          <w:rFonts w:ascii="Arial" w:eastAsia="Arial Unicode MS" w:hAnsi="Arial" w:cs="Arial"/>
          <w:sz w:val="22"/>
          <w:szCs w:val="22"/>
          <w:u w:color="000000"/>
          <w:lang w:val="es-ES_tradnl"/>
        </w:rPr>
        <w:t>l</w:t>
      </w:r>
      <w:r w:rsidRPr="009E04F2">
        <w:rPr>
          <w:rFonts w:ascii="Arial" w:eastAsia="Arial Unicode MS" w:hAnsi="Arial" w:cs="Arial"/>
          <w:sz w:val="22"/>
          <w:szCs w:val="22"/>
          <w:u w:color="000000"/>
          <w:lang w:val="es-ES_tradnl"/>
        </w:rPr>
        <w:t xml:space="preserve"> Ejecutivo puede coordinar la ejecución de las sentencias, en contraposición al órgano anterior que era la Procuraduría General del Estado que directamente no </w:t>
      </w:r>
      <w:proofErr w:type="spellStart"/>
      <w:r w:rsidRPr="009E04F2">
        <w:rPr>
          <w:rFonts w:ascii="Arial" w:eastAsia="Arial Unicode MS" w:hAnsi="Arial" w:cs="Arial"/>
          <w:sz w:val="22"/>
          <w:szCs w:val="22"/>
          <w:u w:color="000000"/>
          <w:lang w:val="es-ES_tradnl"/>
        </w:rPr>
        <w:t>tenia</w:t>
      </w:r>
      <w:proofErr w:type="spellEnd"/>
      <w:r w:rsidRPr="009E04F2">
        <w:rPr>
          <w:rFonts w:ascii="Arial" w:eastAsia="Arial Unicode MS" w:hAnsi="Arial" w:cs="Arial"/>
          <w:sz w:val="22"/>
          <w:szCs w:val="22"/>
          <w:u w:color="000000"/>
          <w:lang w:val="es-ES_tradnl"/>
        </w:rPr>
        <w:t xml:space="preserve"> atribuciones en cuanto a la ejecución, afirma además que si bien hubo una mejora, esta se ha visto truncada, que por el mismo hecho de ser un órgano del ejecutivo, a nivel judicial se sigue con la misma dificultad de que no se cumplen las sentencias, ello en referencia a las medidas de investigar, juzgar y sancionar a los responsables; además ha existido un cambio en la posición de los funcionarios de una actitud más positiva hacia una excesiva burocratización de los procesos de ejecución</w:t>
      </w:r>
      <w:r w:rsidRPr="009E04F2">
        <w:rPr>
          <w:rFonts w:ascii="Arial" w:eastAsia="Arial Unicode MS" w:hAnsi="Arial" w:cs="Arial"/>
          <w:sz w:val="22"/>
          <w:szCs w:val="22"/>
          <w:u w:color="000000"/>
          <w:vertAlign w:val="superscript"/>
          <w:lang w:val="es-ES_tradnl"/>
        </w:rPr>
        <w:footnoteReference w:id="200"/>
      </w:r>
      <w:r w:rsidRPr="009E04F2">
        <w:rPr>
          <w:rFonts w:ascii="Arial" w:eastAsia="Arial Unicode MS" w:hAnsi="Arial" w:cs="Arial"/>
          <w:sz w:val="22"/>
          <w:szCs w:val="22"/>
          <w:u w:color="000000"/>
          <w:lang w:val="es-ES_tradnl"/>
        </w:rPr>
        <w:t xml:space="preserve">.     </w:t>
      </w:r>
      <w:r w:rsidRPr="009E04F2">
        <w:rPr>
          <w:rFonts w:ascii="Arial" w:eastAsia="Arial Unicode MS" w:hAnsi="Arial" w:cs="Arial"/>
          <w:i/>
          <w:sz w:val="22"/>
          <w:szCs w:val="22"/>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César Duque, abogado de la Comisión Ecuménica de Derech</w:t>
      </w:r>
      <w:r w:rsidR="00777BC2">
        <w:rPr>
          <w:rFonts w:ascii="Arial" w:eastAsia="Arial Unicode MS" w:hAnsi="Arial" w:cs="Arial"/>
          <w:sz w:val="22"/>
          <w:szCs w:val="22"/>
          <w:u w:color="000000"/>
          <w:lang w:val="es-ES_tradnl"/>
        </w:rPr>
        <w:t>os Humanos señala en cuanto al</w:t>
      </w:r>
      <w:r w:rsidRPr="009E04F2">
        <w:rPr>
          <w:rFonts w:ascii="Arial" w:eastAsia="Arial Unicode MS" w:hAnsi="Arial" w:cs="Arial"/>
          <w:sz w:val="22"/>
          <w:szCs w:val="22"/>
          <w:u w:color="000000"/>
          <w:lang w:val="es-ES_tradnl"/>
        </w:rPr>
        <w:t xml:space="preserve"> avance en las instituciones públicas en la ejecución de sentencias de la Corte IDH lo siguiente:</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D97601" w:rsidRDefault="008F2951" w:rsidP="00777BC2">
      <w:pPr>
        <w:pStyle w:val="Sinespaciado"/>
        <w:spacing w:line="276" w:lineRule="auto"/>
        <w:ind w:left="720"/>
        <w:jc w:val="both"/>
        <w:rPr>
          <w:rFonts w:ascii="Arial" w:eastAsia="Arial Unicode MS" w:hAnsi="Arial" w:cs="Arial"/>
          <w:sz w:val="20"/>
          <w:szCs w:val="20"/>
          <w:u w:color="000000"/>
          <w:lang w:val="es-ES_tradnl"/>
        </w:rPr>
      </w:pPr>
      <w:r w:rsidRPr="00D97601">
        <w:rPr>
          <w:rFonts w:ascii="Arial" w:eastAsia="Arial Unicode MS" w:hAnsi="Arial" w:cs="Arial"/>
          <w:sz w:val="20"/>
          <w:szCs w:val="20"/>
          <w:u w:color="000000"/>
          <w:lang w:val="es-ES_tradnl"/>
        </w:rPr>
        <w:t>En el Ministerio de Justicia se encuentra buena intención a</w:t>
      </w:r>
      <w:r w:rsidR="00777BC2">
        <w:rPr>
          <w:rFonts w:ascii="Arial" w:eastAsia="Arial Unicode MS" w:hAnsi="Arial" w:cs="Arial"/>
          <w:sz w:val="20"/>
          <w:szCs w:val="20"/>
          <w:u w:color="000000"/>
          <w:lang w:val="es-ES_tradnl"/>
        </w:rPr>
        <w:t>l querer buscar el cumplimiento. E</w:t>
      </w:r>
      <w:r w:rsidRPr="00D97601">
        <w:rPr>
          <w:rFonts w:ascii="Arial" w:eastAsia="Arial Unicode MS" w:hAnsi="Arial" w:cs="Arial"/>
          <w:sz w:val="20"/>
          <w:szCs w:val="20"/>
          <w:u w:color="000000"/>
          <w:lang w:val="es-ES_tradnl"/>
        </w:rPr>
        <w:t>n una primera fase el Ministerio asumía las cosas, por ejemplo el pago de los dineros, pero posteriormente afirmó que si bien el Estado es el condenado, hay instituciones casa adentro que permitieron aquello, y son individuos identificados los responsables directos, entonces el Ministerio de Justicia empezó a ponerse en contacto con dichas entidades y a establecer que de sus fondos se paguen indemnizaciones y publicación de las sentencias, obligándoles a generar una agenda, entonces la organización se torna más demorada hasta conseguir el acuerdo de voluntades</w:t>
      </w:r>
      <w:r w:rsidRPr="00D97601">
        <w:rPr>
          <w:rFonts w:ascii="Arial" w:eastAsia="Arial Unicode MS" w:hAnsi="Arial" w:cs="Arial"/>
          <w:sz w:val="20"/>
          <w:szCs w:val="20"/>
          <w:u w:color="000000"/>
          <w:vertAlign w:val="superscript"/>
          <w:lang w:val="es-ES_tradnl"/>
        </w:rPr>
        <w:footnoteReference w:id="201"/>
      </w:r>
      <w:r w:rsidR="00D97601">
        <w:rPr>
          <w:rFonts w:ascii="Arial" w:eastAsia="Arial Unicode MS" w:hAnsi="Arial" w:cs="Arial"/>
          <w:sz w:val="20"/>
          <w:szCs w:val="20"/>
          <w:u w:color="000000"/>
          <w:lang w:val="es-ES_tradnl"/>
        </w:rPr>
        <w:t>.</w:t>
      </w:r>
    </w:p>
    <w:p w:rsidR="008F2951" w:rsidRPr="009E04F2" w:rsidRDefault="008F2951" w:rsidP="009E04F2">
      <w:pPr>
        <w:pStyle w:val="Sinespaciado"/>
        <w:spacing w:line="360" w:lineRule="auto"/>
        <w:jc w:val="both"/>
        <w:rPr>
          <w:rFonts w:ascii="Arial" w:eastAsia="Arial Unicode MS" w:hAnsi="Arial" w:cs="Arial"/>
          <w:i/>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Se consultó a los entrevistados sobre la existencia de una mayor preocupación del Estado en referencia a cursos y talleres en derechos humanos a miembros de la fuerza pública tomando en cuenta que esta ha sido una de las medidas de reparación que la Corte IDH ha ordenado en varias sentencias contra Ecuador.</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lastRenderedPageBreak/>
        <w:t xml:space="preserve">Al respecto David Cordero señala que si existe más control a los abusos dentro del Estado, </w:t>
      </w:r>
      <w:r w:rsidR="00420AE7" w:rsidRPr="009E04F2">
        <w:rPr>
          <w:rFonts w:ascii="Arial" w:eastAsia="Arial Unicode MS" w:hAnsi="Arial" w:cs="Arial"/>
          <w:sz w:val="22"/>
          <w:szCs w:val="22"/>
          <w:u w:color="000000"/>
          <w:lang w:val="es-ES_tradnl"/>
        </w:rPr>
        <w:t>más</w:t>
      </w:r>
      <w:r w:rsidRPr="009E04F2">
        <w:rPr>
          <w:rFonts w:ascii="Arial" w:eastAsia="Arial Unicode MS" w:hAnsi="Arial" w:cs="Arial"/>
          <w:sz w:val="22"/>
          <w:szCs w:val="22"/>
          <w:u w:color="000000"/>
          <w:lang w:val="es-ES_tradnl"/>
        </w:rPr>
        <w:t xml:space="preserve"> posibilidad de sanción a guías penitenciarios y a policías que se exceden en sus funciones, pero indica que por otro lado, no se ha cambiado la visión punitiva del sistema de rehabilitación social, donde persisten temas de mayor estigmatización</w:t>
      </w:r>
      <w:r w:rsidR="00D97601">
        <w:rPr>
          <w:rFonts w:ascii="Arial" w:eastAsia="Arial Unicode MS" w:hAnsi="Arial" w:cs="Arial"/>
          <w:sz w:val="22"/>
          <w:szCs w:val="22"/>
          <w:u w:color="000000"/>
          <w:lang w:val="es-ES_tradnl"/>
        </w:rPr>
        <w:t>. P</w:t>
      </w:r>
      <w:r w:rsidRPr="009E04F2">
        <w:rPr>
          <w:rFonts w:ascii="Arial" w:eastAsia="Arial Unicode MS" w:hAnsi="Arial" w:cs="Arial"/>
          <w:sz w:val="22"/>
          <w:szCs w:val="22"/>
          <w:u w:color="000000"/>
          <w:lang w:val="es-ES_tradnl"/>
        </w:rPr>
        <w:t>or ejemplo a mujeres embarazadas, o del ofrecimiento de recompensas y la exhibición en medios de comunicación de personas que aún no son condenadas, lo que caracteriza, según afirma, un Estado policial más que un Estado garantista. Se está tendiendo a un sistema punitivo más eficiente en lugar de lograr un verdadero sistema de rehabilitación</w:t>
      </w:r>
      <w:r w:rsidRPr="009E04F2">
        <w:rPr>
          <w:rFonts w:ascii="Arial" w:eastAsia="Arial Unicode MS" w:hAnsi="Arial" w:cs="Arial"/>
          <w:sz w:val="22"/>
          <w:szCs w:val="22"/>
          <w:u w:color="000000"/>
          <w:vertAlign w:val="superscript"/>
          <w:lang w:val="es-ES_tradnl"/>
        </w:rPr>
        <w:footnoteReference w:id="202"/>
      </w:r>
      <w:r w:rsidRPr="009E04F2">
        <w:rPr>
          <w:rFonts w:ascii="Arial" w:eastAsia="Arial Unicode MS" w:hAnsi="Arial" w:cs="Arial"/>
          <w:sz w:val="22"/>
          <w:szCs w:val="22"/>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D97601"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César Duque por su parte tiene el criterio de que al ser los cursos de capacitación en derechos humanos medidas ordenadas por la Corte IDH, por ejemplo en el caso Tibi o en el caso Zambrano Vélez, el Ministerio de Justicia ha estado impulsando módulos tanto para fiscalía como par</w:t>
      </w:r>
      <w:r w:rsidR="00D97601">
        <w:rPr>
          <w:rFonts w:ascii="Arial" w:eastAsia="Arial Unicode MS" w:hAnsi="Arial" w:cs="Arial"/>
          <w:sz w:val="22"/>
          <w:szCs w:val="22"/>
          <w:u w:color="000000"/>
          <w:lang w:val="es-ES_tradnl"/>
        </w:rPr>
        <w:t xml:space="preserve">a la administración de justicia. </w:t>
      </w:r>
    </w:p>
    <w:p w:rsidR="00D97601" w:rsidRDefault="00D9760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D97601" w:rsidP="009E04F2">
      <w:pPr>
        <w:pStyle w:val="Sinespaciado"/>
        <w:spacing w:line="360" w:lineRule="auto"/>
        <w:jc w:val="both"/>
        <w:rPr>
          <w:rFonts w:ascii="Arial" w:eastAsia="Arial Unicode MS" w:hAnsi="Arial" w:cs="Arial"/>
          <w:sz w:val="22"/>
          <w:szCs w:val="22"/>
          <w:u w:color="000000"/>
          <w:lang w:val="es-ES_tradnl"/>
        </w:rPr>
      </w:pPr>
      <w:r>
        <w:rPr>
          <w:rFonts w:ascii="Arial" w:eastAsia="Arial Unicode MS" w:hAnsi="Arial" w:cs="Arial"/>
          <w:sz w:val="22"/>
          <w:szCs w:val="22"/>
          <w:u w:color="000000"/>
          <w:lang w:val="es-ES_tradnl"/>
        </w:rPr>
        <w:t>S</w:t>
      </w:r>
      <w:r w:rsidR="008F2951" w:rsidRPr="009E04F2">
        <w:rPr>
          <w:rFonts w:ascii="Arial" w:eastAsia="Arial Unicode MS" w:hAnsi="Arial" w:cs="Arial"/>
          <w:sz w:val="22"/>
          <w:szCs w:val="22"/>
          <w:u w:color="000000"/>
          <w:lang w:val="es-ES_tradnl"/>
        </w:rPr>
        <w:t>in embargo</w:t>
      </w:r>
      <w:r>
        <w:rPr>
          <w:rFonts w:ascii="Arial" w:eastAsia="Arial Unicode MS" w:hAnsi="Arial" w:cs="Arial"/>
          <w:sz w:val="22"/>
          <w:szCs w:val="22"/>
          <w:u w:color="000000"/>
          <w:lang w:val="es-ES_tradnl"/>
        </w:rPr>
        <w:t>,</w:t>
      </w:r>
      <w:r w:rsidR="008F2951" w:rsidRPr="009E04F2">
        <w:rPr>
          <w:rFonts w:ascii="Arial" w:eastAsia="Arial Unicode MS" w:hAnsi="Arial" w:cs="Arial"/>
          <w:sz w:val="22"/>
          <w:szCs w:val="22"/>
          <w:u w:color="000000"/>
          <w:lang w:val="es-ES_tradnl"/>
        </w:rPr>
        <w:t xml:space="preserve"> desde su perspectiva como miembro de una organización de derechos humanos</w:t>
      </w:r>
      <w:r>
        <w:rPr>
          <w:rFonts w:ascii="Arial" w:eastAsia="Arial Unicode MS" w:hAnsi="Arial" w:cs="Arial"/>
          <w:sz w:val="22"/>
          <w:szCs w:val="22"/>
          <w:u w:color="000000"/>
          <w:lang w:val="es-ES_tradnl"/>
        </w:rPr>
        <w:t>,</w:t>
      </w:r>
      <w:r w:rsidR="008F2951" w:rsidRPr="009E04F2">
        <w:rPr>
          <w:rFonts w:ascii="Arial" w:eastAsia="Arial Unicode MS" w:hAnsi="Arial" w:cs="Arial"/>
          <w:sz w:val="22"/>
          <w:szCs w:val="22"/>
          <w:u w:color="000000"/>
          <w:lang w:val="es-ES_tradnl"/>
        </w:rPr>
        <w:t xml:space="preserve">  al consultar a la Corte IDH sobre cuáles deben ser las temáticas que el Estado debe incluir en estos talleres de capacitación, </w:t>
      </w:r>
      <w:r>
        <w:rPr>
          <w:rFonts w:ascii="Arial" w:eastAsia="Arial Unicode MS" w:hAnsi="Arial" w:cs="Arial"/>
          <w:sz w:val="22"/>
          <w:szCs w:val="22"/>
          <w:u w:color="000000"/>
          <w:lang w:val="es-ES_tradnl"/>
        </w:rPr>
        <w:t>no las especifica. Por otro lado, cuando la Corte solicita</w:t>
      </w:r>
      <w:r w:rsidR="008F2951" w:rsidRPr="009E04F2">
        <w:rPr>
          <w:rFonts w:ascii="Arial" w:eastAsia="Arial Unicode MS" w:hAnsi="Arial" w:cs="Arial"/>
          <w:sz w:val="22"/>
          <w:szCs w:val="22"/>
          <w:u w:color="000000"/>
          <w:lang w:val="es-ES_tradnl"/>
        </w:rPr>
        <w:t xml:space="preserve"> al Estado informes al respecto para conocer los contenidos</w:t>
      </w:r>
      <w:r>
        <w:rPr>
          <w:rFonts w:ascii="Arial" w:eastAsia="Arial Unicode MS" w:hAnsi="Arial" w:cs="Arial"/>
          <w:sz w:val="22"/>
          <w:szCs w:val="22"/>
          <w:u w:color="000000"/>
          <w:lang w:val="es-ES_tradnl"/>
        </w:rPr>
        <w:t xml:space="preserve"> de los talleres desarrollados, el Estado se limita a</w:t>
      </w:r>
      <w:r w:rsidR="008F2951" w:rsidRPr="009E04F2">
        <w:rPr>
          <w:rFonts w:ascii="Arial" w:eastAsia="Arial Unicode MS" w:hAnsi="Arial" w:cs="Arial"/>
          <w:sz w:val="22"/>
          <w:szCs w:val="22"/>
          <w:u w:color="000000"/>
          <w:lang w:val="es-ES_tradnl"/>
        </w:rPr>
        <w:t xml:space="preserve"> señalar que efectivamente las capacitaciones se han realizado pero no determina el cómo, es decir los contenidos, los capacitadores, los materiales y las evaluaciones; en la práctica tales capacitaciones resultan deficientes en la metodología de transferencia de conocimientos. Señala el abogado Duque que eventualmente haría falta a la Corte IDH determinar en sus sentencias cómo se van a realizar tales capacitaciones para de ese modo facilitar la evaluación de su cumplimiento.</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Con el objeto de mejorar los procesos de ejecución de sentencias de la Corte IDH en Ecuador se preguntó a los entrevistados si hacen falta reformas legislativas para consecuentemente lograr un efectivo cumplimiento. El criterio general es que el cambio no debe ser tanto en el sentido normativo sino institucional, además que las autoridades se comprometan a cumplir con las normas existentes.</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D97601" w:rsidRDefault="008F2951" w:rsidP="00DB5218">
      <w:pPr>
        <w:pStyle w:val="Sinespaciado"/>
        <w:spacing w:line="276" w:lineRule="auto"/>
        <w:ind w:left="720"/>
        <w:jc w:val="both"/>
        <w:rPr>
          <w:rFonts w:ascii="Arial" w:eastAsia="Arial Unicode MS" w:hAnsi="Arial" w:cs="Arial"/>
          <w:sz w:val="20"/>
          <w:szCs w:val="20"/>
          <w:u w:color="000000"/>
          <w:lang w:val="es-ES_tradnl"/>
        </w:rPr>
      </w:pPr>
      <w:r w:rsidRPr="00D97601">
        <w:rPr>
          <w:rFonts w:ascii="Arial" w:eastAsia="Arial Unicode MS" w:hAnsi="Arial" w:cs="Arial"/>
          <w:sz w:val="20"/>
          <w:szCs w:val="20"/>
          <w:u w:color="000000"/>
          <w:lang w:val="es-ES_tradnl"/>
        </w:rPr>
        <w:t xml:space="preserve">Tenemos la Constitución, la ley de Garantías Jurisdiccionales y Control Constitucional que contemplan la acción por incumplimiento, no conozco de alguien que en estos cuatro años y algo </w:t>
      </w:r>
      <w:proofErr w:type="spellStart"/>
      <w:r w:rsidRPr="00D97601">
        <w:rPr>
          <w:rFonts w:ascii="Arial" w:eastAsia="Arial Unicode MS" w:hAnsi="Arial" w:cs="Arial"/>
          <w:sz w:val="20"/>
          <w:szCs w:val="20"/>
          <w:u w:color="000000"/>
          <w:lang w:val="es-ES_tradnl"/>
        </w:rPr>
        <w:t>mas</w:t>
      </w:r>
      <w:proofErr w:type="spellEnd"/>
      <w:r w:rsidRPr="00D97601">
        <w:rPr>
          <w:rFonts w:ascii="Arial" w:eastAsia="Arial Unicode MS" w:hAnsi="Arial" w:cs="Arial"/>
          <w:sz w:val="20"/>
          <w:szCs w:val="20"/>
          <w:u w:color="000000"/>
          <w:lang w:val="es-ES_tradnl"/>
        </w:rPr>
        <w:t xml:space="preserve"> haya hecho uso de ese mecanismo, no es tanto el que haya más normas, falta </w:t>
      </w:r>
      <w:r w:rsidRPr="00D97601">
        <w:rPr>
          <w:rFonts w:ascii="Arial" w:eastAsia="Arial Unicode MS" w:hAnsi="Arial" w:cs="Arial"/>
          <w:sz w:val="20"/>
          <w:szCs w:val="20"/>
          <w:u w:color="000000"/>
          <w:lang w:val="es-ES_tradnl"/>
        </w:rPr>
        <w:lastRenderedPageBreak/>
        <w:t>pro actividad de hacer uso de esos mecanismos y que las autoridades cumplan con las normas</w:t>
      </w:r>
      <w:r w:rsidRPr="00D97601">
        <w:rPr>
          <w:rFonts w:ascii="Arial" w:eastAsia="Arial Unicode MS" w:hAnsi="Arial" w:cs="Arial"/>
          <w:sz w:val="20"/>
          <w:szCs w:val="20"/>
          <w:u w:color="000000"/>
          <w:vertAlign w:val="superscript"/>
          <w:lang w:val="es-ES_tradnl"/>
        </w:rPr>
        <w:footnoteReference w:id="203"/>
      </w:r>
      <w:r w:rsidRPr="00D97601">
        <w:rPr>
          <w:rFonts w:ascii="Arial" w:eastAsia="Arial Unicode MS" w:hAnsi="Arial" w:cs="Arial"/>
          <w:sz w:val="20"/>
          <w:szCs w:val="20"/>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i/>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David Cordero por su parte hace una propuesta de reforma en cuanto a la institución que debe encargarse de la ejecución de las sentencias de la Corte IDH, al respecto señala:</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D97601" w:rsidRDefault="008F2951" w:rsidP="00DB5218">
      <w:pPr>
        <w:pStyle w:val="Sinespaciado"/>
        <w:spacing w:line="276" w:lineRule="auto"/>
        <w:ind w:left="720"/>
        <w:jc w:val="both"/>
        <w:rPr>
          <w:rFonts w:ascii="Arial" w:eastAsia="Arial Unicode MS" w:hAnsi="Arial" w:cs="Arial"/>
          <w:sz w:val="20"/>
          <w:szCs w:val="20"/>
          <w:u w:color="000000"/>
          <w:lang w:val="es-ES_tradnl"/>
        </w:rPr>
      </w:pPr>
      <w:r w:rsidRPr="00D97601">
        <w:rPr>
          <w:rFonts w:ascii="Arial" w:eastAsia="Arial Unicode MS" w:hAnsi="Arial" w:cs="Arial"/>
          <w:sz w:val="20"/>
          <w:szCs w:val="20"/>
          <w:u w:color="000000"/>
          <w:lang w:val="es-ES_tradnl"/>
        </w:rPr>
        <w:t>La idea sería generar un espacio de ejecución que tenga influencia en todas las instancias que tienen obligaciones de ejecución, un consejo que debería estar integrado por lo menos por el Presidente de la República, el Fiscal General, el Presidente de Corte Nacional de Justicia, el Presidente del Consejo Nacional de la Judicatura, el Presidente de la Asamblea Nacional, el Defensor del Pueblo, y un representante de la sociedad civil que podría ser de las organizaciones de derechos humanos, si bien no van a ir ellos, este modelo de consejo se integra con representantes pero del principal de cada organismo</w:t>
      </w:r>
      <w:r w:rsidR="00DB5218">
        <w:rPr>
          <w:rFonts w:ascii="Arial" w:eastAsia="Arial Unicode MS" w:hAnsi="Arial" w:cs="Arial"/>
          <w:sz w:val="20"/>
          <w:szCs w:val="20"/>
          <w:u w:color="000000"/>
          <w:lang w:val="es-ES_tradnl"/>
        </w:rPr>
        <w:t>,</w:t>
      </w:r>
      <w:r w:rsidRPr="00D97601">
        <w:rPr>
          <w:rFonts w:ascii="Arial" w:eastAsia="Arial Unicode MS" w:hAnsi="Arial" w:cs="Arial"/>
          <w:sz w:val="20"/>
          <w:szCs w:val="20"/>
          <w:u w:color="000000"/>
          <w:lang w:val="es-ES_tradnl"/>
        </w:rPr>
        <w:t xml:space="preserve"> que tenga poderes para tomar decisiones, desde un consejo conformado por todos ellos se va a ver la integralidad de una respuesta de Estado ante las obligaciones internacionales</w:t>
      </w:r>
      <w:r w:rsidRPr="00D97601">
        <w:rPr>
          <w:rFonts w:ascii="Arial" w:eastAsia="Arial Unicode MS" w:hAnsi="Arial" w:cs="Arial"/>
          <w:sz w:val="20"/>
          <w:szCs w:val="20"/>
          <w:u w:color="000000"/>
          <w:vertAlign w:val="superscript"/>
          <w:lang w:val="es-ES_tradnl"/>
        </w:rPr>
        <w:footnoteReference w:id="204"/>
      </w:r>
      <w:r w:rsidRPr="00D97601">
        <w:rPr>
          <w:rFonts w:ascii="Arial" w:eastAsia="Arial Unicode MS" w:hAnsi="Arial" w:cs="Arial"/>
          <w:sz w:val="20"/>
          <w:szCs w:val="20"/>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En el sentido de buscar que los fallos de la Corte IDH, generen cambios significativos en los Estados responsables y para lograr que los preceptos contenidos en las sentencias formen parte de nuestro entorno jurídico, se consultó sobre la necesidad de que los jueces ecuatorianos apliquen la jurisprudencia de la Corte IDH en los procesos judiciales internos donde se ven vulnerados derechos humanos, sobre todo en cuanto a su reparación.</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Al respe</w:t>
      </w:r>
      <w:r w:rsidR="00D97601">
        <w:rPr>
          <w:rFonts w:ascii="Arial" w:eastAsia="Arial Unicode MS" w:hAnsi="Arial" w:cs="Arial"/>
          <w:sz w:val="22"/>
          <w:szCs w:val="22"/>
          <w:u w:color="000000"/>
          <w:lang w:val="es-ES_tradnl"/>
        </w:rPr>
        <w:t>cto, David Cordero indica que sí</w:t>
      </w:r>
      <w:r w:rsidRPr="009E04F2">
        <w:rPr>
          <w:rFonts w:ascii="Arial" w:eastAsia="Arial Unicode MS" w:hAnsi="Arial" w:cs="Arial"/>
          <w:sz w:val="22"/>
          <w:szCs w:val="22"/>
          <w:u w:color="000000"/>
          <w:lang w:val="es-ES_tradnl"/>
        </w:rPr>
        <w:t>, por dos motivos principales, el primero es que la Convención Americana es parte del sistema jurídico ecuatoriano y está al mismo nivel de la Constitución, los jueces de instancia están obligados a garantizar la Constitución y en derecho</w:t>
      </w:r>
      <w:r w:rsidR="00DB5218">
        <w:rPr>
          <w:rFonts w:ascii="Arial" w:eastAsia="Arial Unicode MS" w:hAnsi="Arial" w:cs="Arial"/>
          <w:sz w:val="22"/>
          <w:szCs w:val="22"/>
          <w:u w:color="000000"/>
          <w:lang w:val="es-ES_tradnl"/>
        </w:rPr>
        <w:t>s humanos s</w:t>
      </w:r>
      <w:r w:rsidRPr="009E04F2">
        <w:rPr>
          <w:rFonts w:ascii="Arial" w:eastAsia="Arial Unicode MS" w:hAnsi="Arial" w:cs="Arial"/>
          <w:sz w:val="22"/>
          <w:szCs w:val="22"/>
          <w:u w:color="000000"/>
          <w:lang w:val="es-ES_tradnl"/>
        </w:rPr>
        <w:t xml:space="preserve">e habla de una máxima indeterminación de los derechos fundamentales precisamente para que mediante la interpretación se abarque la mayor cantidad de supuestos de hecho y que no se deje ningún caso sin la protección de los derechos humanos; por ello señala que los órganos encargados de realizar una interpretación legítima y aceptada por el sistema jurídico genera jurisprudencia que viene a formar parte de este instrumento normativo que interpreta. Los jueces tienen que estudiar permanentemente la jurisprudencia de la Corte IDH </w:t>
      </w:r>
      <w:proofErr w:type="spellStart"/>
      <w:r w:rsidRPr="009E04F2">
        <w:rPr>
          <w:rFonts w:ascii="Arial" w:eastAsia="Arial Unicode MS" w:hAnsi="Arial" w:cs="Arial"/>
          <w:sz w:val="22"/>
          <w:szCs w:val="22"/>
          <w:u w:color="000000"/>
          <w:lang w:val="es-ES_tradnl"/>
        </w:rPr>
        <w:t>por que</w:t>
      </w:r>
      <w:proofErr w:type="spellEnd"/>
      <w:r w:rsidRPr="009E04F2">
        <w:rPr>
          <w:rFonts w:ascii="Arial" w:eastAsia="Arial Unicode MS" w:hAnsi="Arial" w:cs="Arial"/>
          <w:sz w:val="22"/>
          <w:szCs w:val="22"/>
          <w:u w:color="000000"/>
          <w:lang w:val="es-ES_tradnl"/>
        </w:rPr>
        <w:t xml:space="preserve"> allí se encuentra la interpretación que tienen que utilizar para la aplicación de la Convención y de la Constitución.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1759B9"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lastRenderedPageBreak/>
        <w:t>Indica que el segundo motivo es por el cumplimiento de la obligación internacional de buena fe de haberse obligado a los tratados internacionales, como parte de las garantías de no repetición el Estado tiene que dejar ciertas prácticas que no solo son a un nivel ejecutivo, también a nivel judicial. Concluye sobre el tema señalando que solo hay una excepción por la cual los jueces ecuatorianos no deben seguir la jurisprudencia de la Corte IDH y es cuando la interpretación nacional es más favorable, o cuando el estándar que tenemos en la Constitución es más alto que el estándar que existe en la Convención Americana.</w:t>
      </w:r>
    </w:p>
    <w:p w:rsidR="001759B9" w:rsidRPr="009E04F2" w:rsidRDefault="001759B9"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Cesar Duque concuerda también con la necesidad de que los jueces internos apliquen la jurisprudencia de la Corte IDH, de hecho subraya que es un gran problema que presenta el Ecuador, afirma que la administración de justicia en países como Perú y Bolivia ha ido avanzando, dando muestras de un desarrollo en la aplicabilidad más allá del campo legislativo. Indica que en el Ecuador muchos jueces no tienen formación en derechos humanos, comentó un caso personal donde un abogado había presentado un escrito ante un juez señalando una norma de la Convención Americana, y el juez pidió al abogado que certifique la existencia de esa norma; si muchos jueces no aplican las normas internacionales de derechos humanos</w:t>
      </w:r>
      <w:r w:rsidR="00F3181C">
        <w:rPr>
          <w:rFonts w:ascii="Arial" w:eastAsia="Arial Unicode MS" w:hAnsi="Arial" w:cs="Arial"/>
          <w:sz w:val="22"/>
          <w:szCs w:val="22"/>
          <w:u w:color="000000"/>
          <w:lang w:val="es-ES_tradnl"/>
        </w:rPr>
        <w:t>,</w:t>
      </w:r>
      <w:r w:rsidRPr="009E04F2">
        <w:rPr>
          <w:rFonts w:ascii="Arial" w:eastAsia="Arial Unicode MS" w:hAnsi="Arial" w:cs="Arial"/>
          <w:sz w:val="22"/>
          <w:szCs w:val="22"/>
          <w:u w:color="000000"/>
          <w:lang w:val="es-ES_tradnl"/>
        </w:rPr>
        <w:t xml:space="preserve"> en menor medida la jurisprudencia de la Corte IDH. Critica el hecho de que el Consejo Nacional de la Judicatura convoca a concursos de merecimientos donde ingresan jueces sin que les evalúe en materia de derechos humanos</w:t>
      </w:r>
      <w:r w:rsidRPr="009E04F2">
        <w:rPr>
          <w:rFonts w:ascii="Arial" w:eastAsia="Arial Unicode MS" w:hAnsi="Arial" w:cs="Arial"/>
          <w:sz w:val="22"/>
          <w:szCs w:val="22"/>
          <w:u w:color="000000"/>
          <w:vertAlign w:val="superscript"/>
          <w:lang w:val="es-ES_tradnl"/>
        </w:rPr>
        <w:footnoteReference w:id="205"/>
      </w:r>
      <w:r w:rsidRPr="009E04F2">
        <w:rPr>
          <w:rFonts w:ascii="Arial" w:eastAsia="Arial Unicode MS" w:hAnsi="Arial" w:cs="Arial"/>
          <w:sz w:val="22"/>
          <w:szCs w:val="22"/>
          <w:u w:color="000000"/>
          <w:lang w:val="es-ES_tradnl"/>
        </w:rPr>
        <w:t>.</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Se consultó a los entrevistados tomando en cuenta su experiencia de litigio ante el Sistema IDH sobre qué alternativas plantearían para mejorar los procesos de ejecución de sentencias de la Corte IDH como miembros de organismos de derechos humanos.</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David Cordero al respecto indica:</w:t>
      </w:r>
    </w:p>
    <w:p w:rsidR="008F2951" w:rsidRPr="009E04F2" w:rsidRDefault="00CC6A30"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ab/>
      </w:r>
    </w:p>
    <w:p w:rsidR="008F2951" w:rsidRPr="009B4FD1" w:rsidRDefault="008F2951" w:rsidP="00F3181C">
      <w:pPr>
        <w:pStyle w:val="Sinespaciado"/>
        <w:spacing w:line="276" w:lineRule="auto"/>
        <w:ind w:left="720"/>
        <w:jc w:val="both"/>
        <w:rPr>
          <w:rFonts w:ascii="Arial" w:eastAsia="Arial Unicode MS" w:hAnsi="Arial" w:cs="Arial"/>
          <w:sz w:val="20"/>
          <w:szCs w:val="20"/>
          <w:u w:color="000000"/>
          <w:lang w:val="es-ES_tradnl"/>
        </w:rPr>
      </w:pPr>
      <w:r w:rsidRPr="009B4FD1">
        <w:rPr>
          <w:rFonts w:ascii="Arial" w:eastAsia="Arial Unicode MS" w:hAnsi="Arial" w:cs="Arial"/>
          <w:sz w:val="20"/>
          <w:szCs w:val="20"/>
          <w:u w:color="000000"/>
          <w:lang w:val="es-ES_tradnl"/>
        </w:rPr>
        <w:t>Lo que nosotros podemos hacer como organizaciones de sociedad civil es tratar de hacer i</w:t>
      </w:r>
      <w:r w:rsidR="00F3181C">
        <w:rPr>
          <w:rFonts w:ascii="Arial" w:eastAsia="Arial Unicode MS" w:hAnsi="Arial" w:cs="Arial"/>
          <w:sz w:val="20"/>
          <w:szCs w:val="20"/>
          <w:u w:color="000000"/>
          <w:lang w:val="es-ES_tradnl"/>
        </w:rPr>
        <w:t>ncidencia política para que el E</w:t>
      </w:r>
      <w:r w:rsidRPr="009B4FD1">
        <w:rPr>
          <w:rFonts w:ascii="Arial" w:eastAsia="Arial Unicode MS" w:hAnsi="Arial" w:cs="Arial"/>
          <w:sz w:val="20"/>
          <w:szCs w:val="20"/>
          <w:u w:color="000000"/>
          <w:lang w:val="es-ES_tradnl"/>
        </w:rPr>
        <w:t>stado cumpla con sus obligaciones. Directamente lo que trataremos es generar mecanismos de exigibilidad que produzcan precedentes para casos posteriores, en el caso Tibi hemos logrado que pase el caso de una jurisdicción común a la fiscalía especializada en tema d</w:t>
      </w:r>
      <w:r w:rsidR="00F3181C">
        <w:rPr>
          <w:rFonts w:ascii="Arial" w:eastAsia="Arial Unicode MS" w:hAnsi="Arial" w:cs="Arial"/>
          <w:sz w:val="20"/>
          <w:szCs w:val="20"/>
          <w:u w:color="000000"/>
          <w:lang w:val="es-ES_tradnl"/>
        </w:rPr>
        <w:t>e derechos humanos</w:t>
      </w:r>
      <w:r w:rsidRPr="009B4FD1">
        <w:rPr>
          <w:rFonts w:ascii="Arial" w:eastAsia="Arial Unicode MS" w:hAnsi="Arial" w:cs="Arial"/>
          <w:sz w:val="20"/>
          <w:szCs w:val="20"/>
          <w:u w:color="000000"/>
          <w:lang w:val="es-ES_tradnl"/>
        </w:rPr>
        <w:t xml:space="preserve"> que se creó recientemente y si eso tiene un resultado favorable y avanza mejor el proceso generemos una hoja de ruta de lo que podrían hacer otras organizaciones</w:t>
      </w:r>
      <w:r w:rsidRPr="009B4FD1">
        <w:rPr>
          <w:rFonts w:ascii="Arial" w:eastAsia="Arial Unicode MS" w:hAnsi="Arial" w:cs="Arial"/>
          <w:sz w:val="20"/>
          <w:szCs w:val="20"/>
          <w:u w:color="000000"/>
          <w:vertAlign w:val="superscript"/>
          <w:lang w:val="es-ES_tradnl"/>
        </w:rPr>
        <w:footnoteReference w:id="206"/>
      </w:r>
      <w:r w:rsidRPr="009B4FD1">
        <w:rPr>
          <w:rFonts w:ascii="Arial" w:eastAsia="Arial Unicode MS" w:hAnsi="Arial" w:cs="Arial"/>
          <w:sz w:val="20"/>
          <w:szCs w:val="20"/>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lastRenderedPageBreak/>
        <w:t>Sobre el tema César Duque señala:</w:t>
      </w:r>
    </w:p>
    <w:p w:rsidR="008F2951" w:rsidRPr="009E04F2" w:rsidRDefault="00CC6A30"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ab/>
      </w:r>
      <w:r w:rsidRPr="009E04F2">
        <w:rPr>
          <w:rFonts w:ascii="Arial" w:eastAsia="Arial Unicode MS" w:hAnsi="Arial" w:cs="Arial"/>
          <w:sz w:val="22"/>
          <w:szCs w:val="22"/>
          <w:u w:color="000000"/>
          <w:lang w:val="es-ES_tradnl"/>
        </w:rPr>
        <w:tab/>
      </w:r>
    </w:p>
    <w:p w:rsidR="008F2951" w:rsidRPr="009B4FD1" w:rsidRDefault="008F2951" w:rsidP="00F3181C">
      <w:pPr>
        <w:pStyle w:val="Sinespaciado"/>
        <w:spacing w:line="276" w:lineRule="auto"/>
        <w:ind w:left="720"/>
        <w:jc w:val="both"/>
        <w:rPr>
          <w:rFonts w:ascii="Arial" w:eastAsia="Arial Unicode MS" w:hAnsi="Arial" w:cs="Arial"/>
          <w:sz w:val="20"/>
          <w:szCs w:val="20"/>
          <w:u w:color="000000"/>
          <w:lang w:val="es-ES_tradnl"/>
        </w:rPr>
      </w:pPr>
      <w:r w:rsidRPr="009B4FD1">
        <w:rPr>
          <w:rFonts w:ascii="Arial" w:eastAsia="Arial Unicode MS" w:hAnsi="Arial" w:cs="Arial"/>
          <w:sz w:val="20"/>
          <w:szCs w:val="20"/>
          <w:u w:color="000000"/>
          <w:lang w:val="es-ES_tradnl"/>
        </w:rPr>
        <w:t>Buscar la forma de establecer que los funcionarios que están a cargo de la ejecución sea gente que conozca y entienda muy bien la materia de derechos humanos y que además tenga sensibilidad en este tema, muchos procesos se retrasan por falta de estos atributos en los funcionarios a cargo</w:t>
      </w:r>
      <w:r w:rsidRPr="009B4FD1">
        <w:rPr>
          <w:rFonts w:ascii="Arial" w:eastAsia="Arial Unicode MS" w:hAnsi="Arial" w:cs="Arial"/>
          <w:sz w:val="20"/>
          <w:szCs w:val="20"/>
          <w:u w:color="000000"/>
          <w:vertAlign w:val="superscript"/>
          <w:lang w:val="es-ES_tradnl"/>
        </w:rPr>
        <w:footnoteReference w:id="207"/>
      </w:r>
      <w:r w:rsidRPr="009B4FD1">
        <w:rPr>
          <w:rFonts w:ascii="Arial" w:eastAsia="Arial Unicode MS" w:hAnsi="Arial" w:cs="Arial"/>
          <w:sz w:val="20"/>
          <w:szCs w:val="20"/>
          <w:u w:color="000000"/>
          <w:lang w:val="es-ES_tradnl"/>
        </w:rPr>
        <w:t xml:space="preserve">.  </w:t>
      </w:r>
    </w:p>
    <w:p w:rsidR="008F2951" w:rsidRPr="009E04F2" w:rsidRDefault="008F2951" w:rsidP="009E04F2">
      <w:pPr>
        <w:pStyle w:val="Sinespaciado"/>
        <w:spacing w:line="360" w:lineRule="auto"/>
        <w:jc w:val="both"/>
        <w:rPr>
          <w:rFonts w:ascii="Arial" w:eastAsia="Arial Unicode MS" w:hAnsi="Arial" w:cs="Arial"/>
          <w:i/>
          <w:sz w:val="22"/>
          <w:szCs w:val="22"/>
          <w:u w:color="000000"/>
          <w:lang w:val="es-ES_tradnl"/>
        </w:rPr>
      </w:pPr>
    </w:p>
    <w:p w:rsidR="008F2951" w:rsidRDefault="008F2951" w:rsidP="006E1739">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Lo que se puede evidenciar a propósito de los criterios recogidos en esta</w:t>
      </w:r>
      <w:r w:rsidR="009B4FD1">
        <w:rPr>
          <w:rFonts w:ascii="Arial" w:eastAsia="Arial Unicode MS" w:hAnsi="Arial" w:cs="Arial"/>
          <w:sz w:val="22"/>
          <w:szCs w:val="22"/>
          <w:u w:color="000000"/>
          <w:lang w:val="es-ES_tradnl"/>
        </w:rPr>
        <w:t>s</w:t>
      </w:r>
      <w:r w:rsidRPr="009E04F2">
        <w:rPr>
          <w:rFonts w:ascii="Arial" w:eastAsia="Arial Unicode MS" w:hAnsi="Arial" w:cs="Arial"/>
          <w:sz w:val="22"/>
          <w:szCs w:val="22"/>
          <w:u w:color="000000"/>
          <w:lang w:val="es-ES_tradnl"/>
        </w:rPr>
        <w:t xml:space="preserve"> entrevista</w:t>
      </w:r>
      <w:r w:rsidR="009B4FD1">
        <w:rPr>
          <w:rFonts w:ascii="Arial" w:eastAsia="Arial Unicode MS" w:hAnsi="Arial" w:cs="Arial"/>
          <w:sz w:val="22"/>
          <w:szCs w:val="22"/>
          <w:u w:color="000000"/>
          <w:lang w:val="es-ES_tradnl"/>
        </w:rPr>
        <w:t>s</w:t>
      </w:r>
      <w:r w:rsidRPr="009E04F2">
        <w:rPr>
          <w:rFonts w:ascii="Arial" w:eastAsia="Arial Unicode MS" w:hAnsi="Arial" w:cs="Arial"/>
          <w:sz w:val="22"/>
          <w:szCs w:val="22"/>
          <w:u w:color="000000"/>
          <w:lang w:val="es-ES_tradnl"/>
        </w:rPr>
        <w:t xml:space="preserve"> es que existen dificultades en los procesos de ejecución de sentencias, estas dificultades no se encuentran en las normas sino en el papel de los funcionarios a cargo. En la práctica se generan tantas dificultades que terminan haciendo ineficaces las normas que sobre la materia tiene el ordenamiento jurídico ecuatoriano, las alternativas existen y son viables, desde elevar a categoría de ley los preceptos que regulen la ejecución de sentencias en lugar de que se establezcan por medio de decretos; crear concejos con los miembros de los sectores públicos llamados a implementar las medidas de reparación, otorgándoles poder suficiente de decisión y determinando sanciones claras para quienes de manera deliberada e injustificada incumplen sus responsabilidades; a pesar de lo expresado, nada puede llevarse a cabo sin la voluntad política y la implementación de verdaderas políticas de estado.   </w:t>
      </w:r>
    </w:p>
    <w:p w:rsidR="00F6613F" w:rsidRPr="006E1739" w:rsidRDefault="00F6613F" w:rsidP="006E1739">
      <w:pPr>
        <w:pStyle w:val="Sinespaciado"/>
        <w:spacing w:line="360" w:lineRule="auto"/>
        <w:jc w:val="both"/>
        <w:rPr>
          <w:rFonts w:ascii="Arial" w:eastAsia="Arial Unicode MS" w:hAnsi="Arial" w:cs="Arial"/>
          <w:sz w:val="22"/>
          <w:szCs w:val="22"/>
          <w:u w:color="000000"/>
          <w:lang w:val="es-ES_tradnl"/>
        </w:rPr>
      </w:pPr>
    </w:p>
    <w:p w:rsidR="008F2951" w:rsidRPr="00C45A27" w:rsidRDefault="001759B9" w:rsidP="00C45A27">
      <w:pPr>
        <w:pStyle w:val="Ttulo3"/>
        <w:spacing w:line="360" w:lineRule="auto"/>
        <w:ind w:left="720" w:hanging="720"/>
        <w:jc w:val="both"/>
        <w:rPr>
          <w:rFonts w:ascii="Arial" w:eastAsia="Arial Unicode MS" w:hAnsi="Arial"/>
          <w:color w:val="auto"/>
          <w:sz w:val="22"/>
          <w:u w:color="000000"/>
          <w:lang w:val="es-ES_tradnl"/>
        </w:rPr>
      </w:pPr>
      <w:bookmarkStart w:id="37" w:name="_Toc356432274"/>
      <w:r w:rsidRPr="00C45A27">
        <w:rPr>
          <w:rFonts w:ascii="Arial" w:eastAsia="Arial Unicode MS" w:hAnsi="Arial"/>
          <w:color w:val="auto"/>
          <w:sz w:val="22"/>
          <w:u w:color="000000"/>
          <w:lang w:val="es-ES_tradnl"/>
        </w:rPr>
        <w:t>3.3.2.</w:t>
      </w:r>
      <w:r w:rsidRPr="00C45A27">
        <w:rPr>
          <w:rFonts w:ascii="Arial" w:eastAsia="Arial Unicode MS" w:hAnsi="Arial"/>
          <w:color w:val="auto"/>
          <w:sz w:val="22"/>
          <w:u w:color="000000"/>
          <w:lang w:val="es-ES_tradnl"/>
        </w:rPr>
        <w:tab/>
      </w:r>
      <w:r w:rsidR="00B50DBA" w:rsidRPr="00C45A27">
        <w:rPr>
          <w:rFonts w:ascii="Arial" w:eastAsia="Arial Unicode MS" w:hAnsi="Arial"/>
          <w:color w:val="auto"/>
          <w:sz w:val="22"/>
          <w:u w:color="000000"/>
          <w:lang w:val="es-ES_tradnl"/>
        </w:rPr>
        <w:t>Estado de cumplimiento de las sentencias de la Corte IDH dictadas contra Ecuador</w:t>
      </w:r>
      <w:bookmarkEnd w:id="37"/>
    </w:p>
    <w:p w:rsidR="008F2951" w:rsidRPr="008F2951" w:rsidRDefault="008F2951" w:rsidP="008F2951">
      <w:pPr>
        <w:spacing w:line="360" w:lineRule="auto"/>
        <w:jc w:val="both"/>
        <w:outlineLvl w:val="0"/>
        <w:rPr>
          <w:rFonts w:ascii="Arial" w:eastAsia="Arial Unicode MS" w:hAnsi="Arial"/>
          <w:sz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A fin de tener un panorama del grado de cumplimiento de las sentencias de la Corte IDH contra Ecuador, se podría observar la fecha en que las reparaciones fueron ordenadas y su consecuente cumplimiento en base a las últimas resoluciones de supervisión de la Corte IDH, esto permitirá verificar el tiempo que ha tomado la ejecución de ciertas medidas. Por otro lado es importante señalar qué medidas de reparación están pendientes de cumplimiento. Así mismo es necesario verificar los casos en los que la Corte IDH ha dispuesto el archivo del expediente por el pleno cumplimiento de las sentencias.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5C25AA" w:rsidRPr="006E1739" w:rsidRDefault="008F2951" w:rsidP="006E1739">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lastRenderedPageBreak/>
        <w:t>A continuación se muestra un cuadro con la información de los casos conocidos por la Corte IDH en los que Ecuador ha sido determinado responsable de violaciones a los derechos humanos, además las medidas pendientes de cumplimiento en cada caso</w:t>
      </w:r>
      <w:r w:rsidRPr="009E04F2">
        <w:rPr>
          <w:rFonts w:ascii="Arial" w:eastAsia="Arial Unicode MS" w:hAnsi="Arial" w:cs="Arial"/>
          <w:sz w:val="22"/>
          <w:szCs w:val="22"/>
          <w:u w:color="000000"/>
          <w:vertAlign w:val="superscript"/>
          <w:lang w:val="es-ES_tradnl"/>
        </w:rPr>
        <w:footnoteReference w:id="208"/>
      </w:r>
      <w:r w:rsidRPr="009E04F2">
        <w:rPr>
          <w:rFonts w:ascii="Arial" w:eastAsia="Arial Unicode MS" w:hAnsi="Arial" w:cs="Arial"/>
          <w:sz w:val="22"/>
          <w:szCs w:val="22"/>
          <w:u w:color="000000"/>
          <w:lang w:val="es-ES_tradnl"/>
        </w:rPr>
        <w:t xml:space="preserve">.   </w:t>
      </w:r>
    </w:p>
    <w:p w:rsidR="005C25AA" w:rsidRDefault="005C25AA" w:rsidP="008F2951">
      <w:pPr>
        <w:spacing w:line="360" w:lineRule="auto"/>
        <w:jc w:val="both"/>
        <w:outlineLvl w:val="0"/>
        <w:rPr>
          <w:rFonts w:ascii="Arial" w:eastAsia="Arial Unicode MS" w:hAnsi="Arial"/>
          <w:sz w:val="22"/>
          <w:u w:color="000000"/>
          <w:lang w:val="es-ES_tradnl"/>
        </w:rPr>
      </w:pPr>
    </w:p>
    <w:p w:rsidR="00F3181C" w:rsidRPr="008F2951" w:rsidRDefault="00F3181C" w:rsidP="008F2951">
      <w:pPr>
        <w:spacing w:line="360" w:lineRule="auto"/>
        <w:jc w:val="both"/>
        <w:outlineLvl w:val="0"/>
        <w:rPr>
          <w:rFonts w:ascii="Arial" w:eastAsia="Arial Unicode MS" w:hAnsi="Arial"/>
          <w:sz w:val="22"/>
          <w:u w:color="000000"/>
          <w:lang w:val="es-ES_tradnl"/>
        </w:rPr>
      </w:pPr>
    </w:p>
    <w:p w:rsidR="005C25AA" w:rsidRDefault="008F2951" w:rsidP="005C25AA">
      <w:pPr>
        <w:rPr>
          <w:rFonts w:ascii="Arial" w:eastAsia="Arial Unicode MS" w:hAnsi="Arial"/>
          <w:b/>
          <w:sz w:val="22"/>
          <w:u w:color="000000"/>
          <w:lang w:val="es-ES_tradnl"/>
        </w:rPr>
      </w:pPr>
      <w:r w:rsidRPr="008F2951">
        <w:rPr>
          <w:rFonts w:ascii="Arial" w:eastAsia="Arial Unicode MS" w:hAnsi="Arial"/>
          <w:b/>
          <w:sz w:val="22"/>
          <w:u w:color="000000"/>
          <w:lang w:val="es-ES_tradnl"/>
        </w:rPr>
        <w:t>TABLA DE CASOS CONOCIDOS POR LA CORTE IDH CONTRA ECUADOR</w:t>
      </w:r>
    </w:p>
    <w:p w:rsidR="00F6613F" w:rsidRDefault="00F6613F" w:rsidP="005C25AA">
      <w:pPr>
        <w:rPr>
          <w:rFonts w:ascii="Arial" w:eastAsia="Arial Unicode MS" w:hAnsi="Arial"/>
          <w:b/>
          <w:sz w:val="22"/>
          <w:u w:color="000000"/>
          <w:lang w:val="es-ES_tradnl"/>
        </w:rPr>
      </w:pPr>
    </w:p>
    <w:p w:rsidR="00F3181C" w:rsidRPr="005C25AA" w:rsidRDefault="00F3181C" w:rsidP="005C25AA">
      <w:pPr>
        <w:rPr>
          <w:rFonts w:ascii="Arial" w:eastAsia="Arial Unicode MS" w:hAnsi="Arial"/>
          <w:b/>
          <w:sz w:val="22"/>
          <w:u w:color="000000"/>
          <w:lang w:val="es-ES_tradnl"/>
        </w:rPr>
      </w:pPr>
    </w:p>
    <w:p w:rsidR="005C25AA" w:rsidRPr="008F2951" w:rsidRDefault="005C25AA" w:rsidP="008F2951">
      <w:pPr>
        <w:spacing w:line="360" w:lineRule="auto"/>
        <w:jc w:val="center"/>
        <w:outlineLvl w:val="0"/>
        <w:rPr>
          <w:rFonts w:ascii="Arial" w:eastAsia="Arial Unicode MS" w:hAnsi="Arial"/>
          <w:sz w:val="22"/>
          <w:u w:color="000000"/>
          <w:lang w:val="es-ES_tradnl"/>
        </w:rPr>
      </w:pPr>
    </w:p>
    <w:tbl>
      <w:tblPr>
        <w:tblStyle w:val="Tablaconcuadrcula"/>
        <w:tblW w:w="0" w:type="auto"/>
        <w:tblLook w:val="04A0" w:firstRow="1" w:lastRow="0" w:firstColumn="1" w:lastColumn="0" w:noHBand="0" w:noVBand="1"/>
      </w:tblPr>
      <w:tblGrid>
        <w:gridCol w:w="1951"/>
        <w:gridCol w:w="3119"/>
        <w:gridCol w:w="3576"/>
        <w:gridCol w:w="14"/>
      </w:tblGrid>
      <w:tr w:rsidR="008F2951" w:rsidRPr="00033596" w:rsidTr="00A84085">
        <w:trPr>
          <w:gridAfter w:val="1"/>
          <w:wAfter w:w="14" w:type="dxa"/>
        </w:trPr>
        <w:tc>
          <w:tcPr>
            <w:tcW w:w="1951" w:type="dxa"/>
          </w:tcPr>
          <w:p w:rsidR="008F2951" w:rsidRPr="008F2951" w:rsidRDefault="008F2951" w:rsidP="00C45A27">
            <w:pPr>
              <w:rPr>
                <w:rFonts w:ascii="Arial" w:eastAsia="Arial Unicode MS" w:hAnsi="Arial"/>
                <w:b/>
                <w:u w:color="000000"/>
                <w:lang w:val="es-ES_tradnl"/>
              </w:rPr>
            </w:pPr>
            <w:r w:rsidRPr="008F2951">
              <w:rPr>
                <w:rFonts w:ascii="Arial" w:eastAsia="Arial Unicode MS" w:hAnsi="Arial"/>
                <w:b/>
                <w:u w:color="000000"/>
                <w:lang w:val="es-ES_tradnl"/>
              </w:rPr>
              <w:t>CASOS CONOCIDOS POR LA CORTE IDH VS ECUADOR</w:t>
            </w:r>
          </w:p>
        </w:tc>
        <w:tc>
          <w:tcPr>
            <w:tcW w:w="3119" w:type="dxa"/>
          </w:tcPr>
          <w:p w:rsidR="008F2951" w:rsidRPr="008F2951" w:rsidRDefault="008F2951" w:rsidP="00C45A27">
            <w:pPr>
              <w:rPr>
                <w:rFonts w:ascii="Arial" w:eastAsia="Arial Unicode MS" w:hAnsi="Arial"/>
                <w:b/>
                <w:u w:color="000000"/>
                <w:lang w:val="es-ES_tradnl"/>
              </w:rPr>
            </w:pPr>
            <w:r w:rsidRPr="008F2951">
              <w:rPr>
                <w:rFonts w:ascii="Arial" w:eastAsia="Arial Unicode MS" w:hAnsi="Arial"/>
                <w:b/>
                <w:u w:color="000000"/>
                <w:lang w:val="es-ES_tradnl"/>
              </w:rPr>
              <w:t>FECHA DE SENTENCIA DE REPARACIONES / FECHA DE ÚLTIMA RESOLUCIÓN DE SUPERVISIÓN DE  CUMPLIMIENTO</w:t>
            </w:r>
          </w:p>
        </w:tc>
        <w:tc>
          <w:tcPr>
            <w:tcW w:w="3576" w:type="dxa"/>
          </w:tcPr>
          <w:p w:rsidR="008F2951" w:rsidRPr="008F2951" w:rsidRDefault="008F2951" w:rsidP="00C45A27">
            <w:pPr>
              <w:rPr>
                <w:rFonts w:ascii="Arial" w:eastAsia="Arial Unicode MS" w:hAnsi="Arial"/>
                <w:b/>
                <w:u w:color="000000"/>
                <w:lang w:val="es-ES_tradnl"/>
              </w:rPr>
            </w:pPr>
            <w:r w:rsidRPr="008F2951">
              <w:rPr>
                <w:rFonts w:ascii="Arial" w:eastAsia="Arial Unicode MS" w:hAnsi="Arial"/>
                <w:b/>
                <w:u w:color="000000"/>
                <w:lang w:val="es-ES_tradnl"/>
              </w:rPr>
              <w:t>ESTADO DE CUMPLIMIENTO DE MEDIDAS DE REPARACIÓN (Resoluciones de supervisión de cumplimiento de la Corte IDH)</w:t>
            </w:r>
          </w:p>
        </w:tc>
      </w:tr>
      <w:tr w:rsidR="008F2951" w:rsidRPr="00033596" w:rsidTr="00A84085">
        <w:trPr>
          <w:gridAfter w:val="1"/>
          <w:wAfter w:w="14" w:type="dxa"/>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Suarez Rosero</w:t>
            </w:r>
          </w:p>
        </w:tc>
        <w:tc>
          <w:tcPr>
            <w:tcW w:w="3119"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20 de enero de 1999</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20 de marzo de 2009</w:t>
            </w:r>
          </w:p>
        </w:tc>
        <w:tc>
          <w:tcPr>
            <w:tcW w:w="3576"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La Corte IDH resolvió convocar a la Comisión Interamericana de Derechos Humanos, al representante de la víctima y sus familiares y al Estado del Ecuador a una audiencia privada. Quedó pendiente el cumplimiento de la obligación de investigar, juzgar y sancionar a los responsables. </w:t>
            </w:r>
          </w:p>
        </w:tc>
      </w:tr>
      <w:tr w:rsidR="008F2951" w:rsidRPr="00033596" w:rsidTr="00A84085">
        <w:trPr>
          <w:gridAfter w:val="1"/>
          <w:wAfter w:w="14" w:type="dxa"/>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Benavides Cevallos</w:t>
            </w:r>
          </w:p>
        </w:tc>
        <w:tc>
          <w:tcPr>
            <w:tcW w:w="3119"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19 de junio de 1998</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27 de noviembre de 2003</w:t>
            </w:r>
          </w:p>
        </w:tc>
        <w:tc>
          <w:tcPr>
            <w:tcW w:w="3576"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La Corte IDH resolvió informar a la Asamblea General de la Organización de los Est</w:t>
            </w:r>
            <w:r w:rsidR="00F3181C">
              <w:rPr>
                <w:rFonts w:ascii="Arial" w:eastAsia="Arial Unicode MS" w:hAnsi="Arial"/>
                <w:u w:color="000000"/>
                <w:lang w:val="es-ES_tradnl"/>
              </w:rPr>
              <w:t>ados Americanos, en aplicación a</w:t>
            </w:r>
            <w:r w:rsidRPr="008F2951">
              <w:rPr>
                <w:rFonts w:ascii="Arial" w:eastAsia="Arial Unicode MS" w:hAnsi="Arial"/>
                <w:u w:color="000000"/>
                <w:lang w:val="es-ES_tradnl"/>
              </w:rPr>
              <w:t>l artículo 65 de la Convención Americana sobre Derechos Humanos, sobre el incumplimiento por parte del Estado del Ecuador de su deber de investigar, juzgar y sancionar a todos los responsables</w:t>
            </w:r>
            <w:r w:rsidR="00F3181C">
              <w:rPr>
                <w:rFonts w:ascii="Arial" w:eastAsia="Arial Unicode MS" w:hAnsi="Arial"/>
                <w:u w:color="000000"/>
                <w:lang w:val="es-ES_tradnl"/>
              </w:rPr>
              <w:t>.</w:t>
            </w:r>
          </w:p>
        </w:tc>
      </w:tr>
      <w:tr w:rsidR="008F2951" w:rsidRPr="00033596" w:rsidTr="00A84085">
        <w:trPr>
          <w:gridAfter w:val="1"/>
          <w:wAfter w:w="14" w:type="dxa"/>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Tibi</w:t>
            </w:r>
          </w:p>
        </w:tc>
        <w:tc>
          <w:tcPr>
            <w:tcW w:w="3119"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7 de septiembre de 2004</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3 de marzo de 2011</w:t>
            </w:r>
          </w:p>
        </w:tc>
        <w:tc>
          <w:tcPr>
            <w:tcW w:w="3576"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La Corte </w:t>
            </w:r>
            <w:r w:rsidR="00F3181C" w:rsidRPr="00A75361">
              <w:rPr>
                <w:rFonts w:ascii="Arial" w:eastAsia="Arial Unicode MS" w:hAnsi="Arial" w:cs="Arial"/>
                <w:u w:color="000000"/>
                <w:lang w:val="es-ES_tradnl"/>
              </w:rPr>
              <w:t>IDH</w:t>
            </w:r>
            <w:r w:rsidR="00F3181C" w:rsidRPr="008F2951">
              <w:rPr>
                <w:rFonts w:ascii="Arial" w:eastAsia="Arial Unicode MS" w:hAnsi="Arial"/>
                <w:u w:color="000000"/>
                <w:lang w:val="es-ES_tradnl"/>
              </w:rPr>
              <w:t xml:space="preserve"> </w:t>
            </w:r>
            <w:r w:rsidRPr="008F2951">
              <w:rPr>
                <w:rFonts w:ascii="Arial" w:eastAsia="Arial Unicode MS" w:hAnsi="Arial"/>
                <w:u w:color="000000"/>
                <w:lang w:val="es-ES_tradnl"/>
              </w:rPr>
              <w:t xml:space="preserve">mantendrá abierto el procedimiento de supervisión de cumplimiento de los puntos pendientes de acatamiento. 1) investigación, juzgamiento y en su caso sanción de responsables. 2) </w:t>
            </w:r>
            <w:r w:rsidRPr="008F2951">
              <w:rPr>
                <w:rFonts w:ascii="Arial" w:eastAsia="Arial Unicode MS" w:hAnsi="Arial"/>
                <w:u w:color="000000"/>
                <w:lang w:val="es-ES_tradnl"/>
              </w:rPr>
              <w:lastRenderedPageBreak/>
              <w:t xml:space="preserve">ejecutar los programas de capacitación en derechos humanos y tratamiento de reclusos, para el personal del ministerio público y penitenciario, incluyendo al personal médico, psiquiátrico y psicológico </w:t>
            </w:r>
          </w:p>
        </w:tc>
      </w:tr>
      <w:tr w:rsidR="008F2951" w:rsidRPr="00033596" w:rsidTr="00A84085">
        <w:trPr>
          <w:gridAfter w:val="1"/>
          <w:wAfter w:w="14" w:type="dxa"/>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lastRenderedPageBreak/>
              <w:t>Acosta Calderón</w:t>
            </w:r>
          </w:p>
        </w:tc>
        <w:tc>
          <w:tcPr>
            <w:tcW w:w="3119"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24 de junio de 2005     </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7 de febrero de 2008</w:t>
            </w:r>
          </w:p>
        </w:tc>
        <w:tc>
          <w:tcPr>
            <w:tcW w:w="3576"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Archivo del expediente del presente caso, el Estado ha dado pleno cumplimiento a la sentencia de 24 de junio de 2005</w:t>
            </w:r>
            <w:r w:rsidR="00F3181C">
              <w:rPr>
                <w:rFonts w:ascii="Arial" w:eastAsia="Arial Unicode MS" w:hAnsi="Arial"/>
                <w:u w:color="000000"/>
                <w:lang w:val="es-ES_tradnl"/>
              </w:rPr>
              <w:t>.</w:t>
            </w:r>
          </w:p>
        </w:tc>
      </w:tr>
      <w:tr w:rsidR="008F2951" w:rsidRPr="00033596" w:rsidTr="00A84085">
        <w:trPr>
          <w:gridAfter w:val="1"/>
          <w:wAfter w:w="14" w:type="dxa"/>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Zambrano Vélez y otros</w:t>
            </w:r>
          </w:p>
        </w:tc>
        <w:tc>
          <w:tcPr>
            <w:tcW w:w="3119"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4 de julio de 2007</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23 de noviembre de 2010</w:t>
            </w:r>
          </w:p>
        </w:tc>
        <w:tc>
          <w:tcPr>
            <w:tcW w:w="3576"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La Corte mantendrá abierto el procedimiento de supervisión de cumplimiento de los puntos pendientes de acatamiento</w:t>
            </w:r>
            <w:proofErr w:type="gramStart"/>
            <w:r w:rsidRPr="008F2951">
              <w:rPr>
                <w:rFonts w:ascii="Arial" w:eastAsia="Arial Unicode MS" w:hAnsi="Arial"/>
                <w:u w:color="000000"/>
                <w:lang w:val="es-ES_tradnl"/>
              </w:rPr>
              <w:t>:  investigación</w:t>
            </w:r>
            <w:proofErr w:type="gramEnd"/>
            <w:r w:rsidRPr="008F2951">
              <w:rPr>
                <w:rFonts w:ascii="Arial" w:eastAsia="Arial Unicode MS" w:hAnsi="Arial"/>
                <w:u w:color="000000"/>
                <w:lang w:val="es-ES_tradnl"/>
              </w:rPr>
              <w:t>, juzgamiento y en su caso sanción de responsables</w:t>
            </w:r>
            <w:r w:rsidR="00F3181C">
              <w:rPr>
                <w:rFonts w:ascii="Arial" w:eastAsia="Arial Unicode MS" w:hAnsi="Arial"/>
                <w:u w:color="000000"/>
                <w:lang w:val="es-ES_tradnl"/>
              </w:rPr>
              <w:t>.</w:t>
            </w:r>
          </w:p>
        </w:tc>
      </w:tr>
      <w:tr w:rsidR="008F2951" w:rsidRPr="00033596" w:rsidTr="00A84085">
        <w:trPr>
          <w:gridAfter w:val="1"/>
          <w:wAfter w:w="14" w:type="dxa"/>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Chaparro Álvarez y </w:t>
            </w: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Lapo Íñiguez </w:t>
            </w:r>
          </w:p>
        </w:tc>
        <w:tc>
          <w:tcPr>
            <w:tcW w:w="3119"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21 de noviembre de 2007</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22 de febrero de 2011</w:t>
            </w:r>
          </w:p>
        </w:tc>
        <w:tc>
          <w:tcPr>
            <w:tcW w:w="3576"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La Corte </w:t>
            </w:r>
            <w:r w:rsidR="00F3181C" w:rsidRPr="00A75361">
              <w:rPr>
                <w:rFonts w:ascii="Arial" w:eastAsia="Arial Unicode MS" w:hAnsi="Arial" w:cs="Arial"/>
                <w:u w:color="000000"/>
                <w:lang w:val="es-ES_tradnl"/>
              </w:rPr>
              <w:t>IDH</w:t>
            </w:r>
            <w:r w:rsidR="00F3181C" w:rsidRPr="008F2951">
              <w:rPr>
                <w:rFonts w:ascii="Arial" w:eastAsia="Arial Unicode MS" w:hAnsi="Arial"/>
                <w:u w:color="000000"/>
                <w:lang w:val="es-ES_tradnl"/>
              </w:rPr>
              <w:t xml:space="preserve"> </w:t>
            </w:r>
            <w:r w:rsidRPr="008F2951">
              <w:rPr>
                <w:rFonts w:ascii="Arial" w:eastAsia="Arial Unicode MS" w:hAnsi="Arial"/>
                <w:u w:color="000000"/>
                <w:lang w:val="es-ES_tradnl"/>
              </w:rPr>
              <w:t>mantendrá abierto el procedimiento de supervisión de cumplimiento de los puntos pendientes de acatamiento: 1. difundir la Sentencia por radio y televisión. 2. adoptar inmediatamente todas las medidas legislativas, administrativas o de otro carácter que sean necesarias para eliminar de oficio los antecedentes penales de las personas absueltas o sobreseídas definitivamente. 3. someterse a un proceso arbitral para fijar las cantidades correspondientes a daño material del señor Chaparro.</w:t>
            </w:r>
          </w:p>
        </w:tc>
      </w:tr>
      <w:tr w:rsidR="008F2951" w:rsidRPr="00033596" w:rsidTr="00A84085">
        <w:trPr>
          <w:gridAfter w:val="1"/>
          <w:wAfter w:w="14" w:type="dxa"/>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Albán Cornejo</w:t>
            </w:r>
          </w:p>
        </w:tc>
        <w:tc>
          <w:tcPr>
            <w:tcW w:w="3119"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22 de noviembre de 2007</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5 de febrero de 2013</w:t>
            </w:r>
          </w:p>
        </w:tc>
        <w:tc>
          <w:tcPr>
            <w:tcW w:w="3576"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La Corte mantendrá abierto el procedimiento de supervisión de cumplimiento de los puntos pendientes de acatamiento: 1. llevar a cabo, en un plazo razonable, una amplia difusión de los derechos de los pacientes, utilizando los medios de comunicación adecuados y tomando en </w:t>
            </w:r>
            <w:r w:rsidRPr="008F2951">
              <w:rPr>
                <w:rFonts w:ascii="Arial" w:eastAsia="Arial Unicode MS" w:hAnsi="Arial"/>
                <w:u w:color="000000"/>
                <w:lang w:val="es-ES_tradnl"/>
              </w:rPr>
              <w:lastRenderedPageBreak/>
              <w:t xml:space="preserve">cuenta la legislación existente en el Ecuador y los estándares internacionales. 2 realizar, en un plazo razonable, un programa para la formación y capacitación a los operadores de justicia y profesionales de la salud sobre la normativa que el Ecuador ha implementado relativa a los derechos de los pacientes, y a la sanción por su incumplimiento </w:t>
            </w:r>
          </w:p>
          <w:p w:rsidR="008F2951" w:rsidRPr="008F2951" w:rsidRDefault="008F2951" w:rsidP="00C45A27">
            <w:pPr>
              <w:rPr>
                <w:rFonts w:ascii="Arial" w:eastAsia="Arial Unicode MS" w:hAnsi="Arial"/>
                <w:u w:color="000000"/>
                <w:lang w:val="es-ES_tradnl"/>
              </w:rPr>
            </w:pPr>
            <w:r w:rsidRPr="008F2951">
              <w:rPr>
                <w:rFonts w:ascii="Arial" w:eastAsia="Arial Unicode MS" w:hAnsi="Arial"/>
                <w:b/>
                <w:u w:color="000000"/>
                <w:lang w:val="es-ES_tradnl"/>
              </w:rPr>
              <w:t>*</w:t>
            </w:r>
            <w:r w:rsidRPr="008F2951">
              <w:rPr>
                <w:rFonts w:ascii="Arial" w:eastAsia="Arial Unicode MS" w:hAnsi="Arial"/>
                <w:u w:color="000000"/>
                <w:lang w:val="es-ES_tradnl"/>
              </w:rPr>
              <w:t>(El Estado debe presentar el 6 de mayo de 2013, un informe en el cual indique todas las medidas adoptadas para cumplir las reparaciones ordenadas por la Corte que se encuentran pendientes de cumplimiento)</w:t>
            </w:r>
          </w:p>
        </w:tc>
      </w:tr>
      <w:tr w:rsidR="008F2951" w:rsidRPr="00033596" w:rsidTr="00A840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gridAfter w:val="1"/>
          <w:wAfter w:w="14" w:type="dxa"/>
          <w:trHeight w:val="435"/>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lastRenderedPageBreak/>
              <w:t>Salvador Chiriboga</w:t>
            </w:r>
          </w:p>
        </w:tc>
        <w:tc>
          <w:tcPr>
            <w:tcW w:w="3119" w:type="dxa"/>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3 de marzo de 2011</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24 de octubre de 2012</w:t>
            </w:r>
          </w:p>
        </w:tc>
        <w:tc>
          <w:tcPr>
            <w:tcW w:w="3576" w:type="dxa"/>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La Corte </w:t>
            </w:r>
            <w:r w:rsidR="000B7A7D" w:rsidRPr="00A75361">
              <w:rPr>
                <w:rFonts w:ascii="Arial" w:eastAsia="Arial Unicode MS" w:hAnsi="Arial" w:cs="Arial"/>
                <w:u w:color="000000"/>
                <w:lang w:val="es-ES_tradnl"/>
              </w:rPr>
              <w:t>IDH</w:t>
            </w:r>
            <w:r w:rsidR="000B7A7D" w:rsidRPr="008F2951">
              <w:rPr>
                <w:rFonts w:ascii="Arial" w:eastAsia="Arial Unicode MS" w:hAnsi="Arial"/>
                <w:u w:color="000000"/>
                <w:lang w:val="es-ES_tradnl"/>
              </w:rPr>
              <w:t xml:space="preserve"> </w:t>
            </w:r>
            <w:r w:rsidRPr="008F2951">
              <w:rPr>
                <w:rFonts w:ascii="Arial" w:eastAsia="Arial Unicode MS" w:hAnsi="Arial"/>
                <w:u w:color="000000"/>
                <w:lang w:val="es-ES_tradnl"/>
              </w:rPr>
              <w:t xml:space="preserve">resuelve que el proceso de supervisión se mantendrá abierto pues, el Estado debe realizar pagos por concepto de daño material hasta el 30 de marzo del 2016. Además la supervisión de otros puntos pendientes. 1. publicar en el Registro Oficial los puntos resolutivos de las Sentencias de fondo, y de reparaciones, costas y gastos, así como los párrafos 2 y 3 de la Sentencia de reparaciones y costas de 3 de marzo de 2011, haciendo la aclaración indicada en el Considerando 14 de la presente Resolución. </w:t>
            </w:r>
          </w:p>
        </w:tc>
      </w:tr>
      <w:tr w:rsidR="008F2951" w:rsidRPr="00033596" w:rsidTr="00A840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10"/>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Vera </w:t>
            </w:r>
            <w:proofErr w:type="spellStart"/>
            <w:r w:rsidRPr="008F2951">
              <w:rPr>
                <w:rFonts w:ascii="Arial" w:eastAsia="Arial Unicode MS" w:hAnsi="Arial"/>
                <w:u w:color="000000"/>
                <w:lang w:val="es-ES_tradnl"/>
              </w:rPr>
              <w:t>Vera</w:t>
            </w:r>
            <w:proofErr w:type="spellEnd"/>
            <w:r w:rsidRPr="008F2951">
              <w:rPr>
                <w:rFonts w:ascii="Arial" w:eastAsia="Arial Unicode MS" w:hAnsi="Arial"/>
                <w:u w:color="000000"/>
                <w:lang w:val="es-ES_tradnl"/>
              </w:rPr>
              <w:t xml:space="preserve"> y otra</w:t>
            </w:r>
          </w:p>
        </w:tc>
        <w:tc>
          <w:tcPr>
            <w:tcW w:w="3119" w:type="dxa"/>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19 de mayo de 2011</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23 de octubre de 2012</w:t>
            </w:r>
          </w:p>
        </w:tc>
        <w:tc>
          <w:tcPr>
            <w:tcW w:w="3590" w:type="dxa"/>
            <w:gridSpan w:val="2"/>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La Corte declara que el Estado ha dado cumplimiento parcial a la obligación de asegurar la difusión de la Sentencia entre las autoridades policiales, penitenciarias y personal médico a cargo de personas privadas de libertad. Además se encuentra pendiente de cumplimiento la obligación de adoptar, en un plazo razonable, </w:t>
            </w:r>
            <w:r w:rsidRPr="008F2951">
              <w:rPr>
                <w:rFonts w:ascii="Arial" w:eastAsia="Arial Unicode MS" w:hAnsi="Arial"/>
                <w:u w:color="000000"/>
                <w:lang w:val="es-ES_tradnl"/>
              </w:rPr>
              <w:lastRenderedPageBreak/>
              <w:t xml:space="preserve">las medidas necesarias para que la madre de Pedro Miguel Vera </w:t>
            </w:r>
            <w:proofErr w:type="spellStart"/>
            <w:r w:rsidRPr="008F2951">
              <w:rPr>
                <w:rFonts w:ascii="Arial" w:eastAsia="Arial Unicode MS" w:hAnsi="Arial"/>
                <w:u w:color="000000"/>
                <w:lang w:val="es-ES_tradnl"/>
              </w:rPr>
              <w:t>Vera</w:t>
            </w:r>
            <w:proofErr w:type="spellEnd"/>
            <w:r w:rsidRPr="008F2951">
              <w:rPr>
                <w:rFonts w:ascii="Arial" w:eastAsia="Arial Unicode MS" w:hAnsi="Arial"/>
                <w:u w:color="000000"/>
                <w:lang w:val="es-ES_tradnl"/>
              </w:rPr>
              <w:t xml:space="preserve"> pueda conocer lo sucedido a su hijo. </w:t>
            </w:r>
          </w:p>
        </w:tc>
      </w:tr>
      <w:tr w:rsidR="008F2951" w:rsidRPr="00033596" w:rsidTr="00A840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65"/>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lastRenderedPageBreak/>
              <w:t xml:space="preserve">Mejía </w:t>
            </w:r>
            <w:proofErr w:type="spellStart"/>
            <w:r w:rsidRPr="008F2951">
              <w:rPr>
                <w:rFonts w:ascii="Arial" w:eastAsia="Arial Unicode MS" w:hAnsi="Arial"/>
                <w:u w:color="000000"/>
                <w:lang w:val="es-ES_tradnl"/>
              </w:rPr>
              <w:t>Idrovo</w:t>
            </w:r>
            <w:proofErr w:type="spellEnd"/>
          </w:p>
        </w:tc>
        <w:tc>
          <w:tcPr>
            <w:tcW w:w="3119" w:type="dxa"/>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5 de julio de 2011</w:t>
            </w:r>
          </w:p>
          <w:p w:rsidR="008F2951" w:rsidRPr="008F2951" w:rsidRDefault="008F2951" w:rsidP="00C45A27">
            <w:pPr>
              <w:rPr>
                <w:rFonts w:ascii="Arial" w:eastAsia="Arial Unicode MS" w:hAnsi="Arial"/>
                <w:u w:color="000000"/>
                <w:lang w:val="es-ES_tradnl"/>
              </w:rPr>
            </w:pPr>
          </w:p>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4 de septiembre de 2012</w:t>
            </w:r>
          </w:p>
        </w:tc>
        <w:tc>
          <w:tcPr>
            <w:tcW w:w="3590" w:type="dxa"/>
            <w:gridSpan w:val="2"/>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Archivo del expediente del presente caso, el Estado ha dado pleno cumplimiento a la sentencia de 5 de julio de 2011</w:t>
            </w:r>
          </w:p>
        </w:tc>
      </w:tr>
      <w:tr w:rsidR="008F2951" w:rsidRPr="00033596" w:rsidTr="00A840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10"/>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Pueblo Indígena </w:t>
            </w:r>
          </w:p>
          <w:p w:rsidR="008F2951" w:rsidRPr="008F2951" w:rsidRDefault="008F2951" w:rsidP="00C45A27">
            <w:pPr>
              <w:rPr>
                <w:rFonts w:ascii="Arial" w:eastAsia="Arial Unicode MS" w:hAnsi="Arial"/>
                <w:u w:color="000000"/>
                <w:lang w:val="es-ES_tradnl"/>
              </w:rPr>
            </w:pPr>
            <w:proofErr w:type="spellStart"/>
            <w:r w:rsidRPr="008F2951">
              <w:rPr>
                <w:rFonts w:ascii="Arial" w:eastAsia="Arial Unicode MS" w:hAnsi="Arial"/>
                <w:u w:color="000000"/>
                <w:lang w:val="es-ES_tradnl"/>
              </w:rPr>
              <w:t>Kichwa</w:t>
            </w:r>
            <w:proofErr w:type="spellEnd"/>
            <w:r w:rsidRPr="008F2951">
              <w:rPr>
                <w:rFonts w:ascii="Arial" w:eastAsia="Arial Unicode MS" w:hAnsi="Arial"/>
                <w:u w:color="000000"/>
                <w:lang w:val="es-ES_tradnl"/>
              </w:rPr>
              <w:t xml:space="preserve"> de </w:t>
            </w:r>
            <w:proofErr w:type="spellStart"/>
            <w:r w:rsidRPr="008F2951">
              <w:rPr>
                <w:rFonts w:ascii="Arial" w:eastAsia="Arial Unicode MS" w:hAnsi="Arial"/>
                <w:u w:color="000000"/>
                <w:lang w:val="es-ES_tradnl"/>
              </w:rPr>
              <w:t>Sarayaku</w:t>
            </w:r>
            <w:proofErr w:type="spellEnd"/>
          </w:p>
        </w:tc>
        <w:tc>
          <w:tcPr>
            <w:tcW w:w="3119" w:type="dxa"/>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27 de junio de 2012</w:t>
            </w:r>
          </w:p>
        </w:tc>
        <w:tc>
          <w:tcPr>
            <w:tcW w:w="3590" w:type="dxa"/>
            <w:gridSpan w:val="2"/>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Aún no se emiten resoluciones de cumplimiento de sentencia.</w:t>
            </w:r>
          </w:p>
        </w:tc>
      </w:tr>
      <w:tr w:rsidR="008F2951" w:rsidRPr="00033596" w:rsidTr="00A840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675"/>
        </w:trPr>
        <w:tc>
          <w:tcPr>
            <w:tcW w:w="1951" w:type="dxa"/>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Palma Mendoza y otros</w:t>
            </w:r>
          </w:p>
        </w:tc>
        <w:tc>
          <w:tcPr>
            <w:tcW w:w="3119" w:type="dxa"/>
            <w:shd w:val="clear" w:color="auto" w:fill="auto"/>
          </w:tcPr>
          <w:p w:rsidR="008F2951" w:rsidRPr="008F2951" w:rsidRDefault="008F2951" w:rsidP="00C45A27">
            <w:pPr>
              <w:rPr>
                <w:rFonts w:ascii="Arial" w:eastAsia="Arial Unicode MS" w:hAnsi="Arial"/>
                <w:u w:color="000000"/>
                <w:lang w:val="es-ES_tradnl"/>
              </w:rPr>
            </w:pPr>
            <w:r w:rsidRPr="008F2951">
              <w:rPr>
                <w:rFonts w:ascii="Arial" w:eastAsia="Arial Unicode MS" w:hAnsi="Arial"/>
                <w:u w:color="000000"/>
                <w:lang w:val="es-ES_tradnl"/>
              </w:rPr>
              <w:t xml:space="preserve">3 de septiembre de 2012 (Excepción preliminar, Fondo) La Corte IDH dispuso el archivo del expediente por no determinarse responsabilidad del Estado en la violación de derechos humanos. </w:t>
            </w:r>
          </w:p>
        </w:tc>
        <w:tc>
          <w:tcPr>
            <w:tcW w:w="3590" w:type="dxa"/>
            <w:gridSpan w:val="2"/>
            <w:shd w:val="clear" w:color="auto" w:fill="auto"/>
          </w:tcPr>
          <w:p w:rsidR="008F2951" w:rsidRPr="008F2951" w:rsidRDefault="008F2951" w:rsidP="00C45A27">
            <w:pPr>
              <w:rPr>
                <w:rFonts w:ascii="Arial" w:eastAsia="Arial Unicode MS" w:hAnsi="Arial"/>
                <w:u w:color="000000"/>
                <w:lang w:val="es-ES_tradnl"/>
              </w:rPr>
            </w:pPr>
          </w:p>
        </w:tc>
      </w:tr>
    </w:tbl>
    <w:p w:rsidR="008F2951" w:rsidRPr="008F2951" w:rsidRDefault="008F2951" w:rsidP="008F2951">
      <w:pPr>
        <w:spacing w:line="360" w:lineRule="auto"/>
        <w:jc w:val="both"/>
        <w:outlineLvl w:val="0"/>
        <w:rPr>
          <w:rFonts w:ascii="Arial" w:eastAsia="Arial Unicode MS" w:hAnsi="Arial"/>
          <w:sz w:val="22"/>
          <w:u w:color="000000"/>
          <w:lang w:val="es-ES_tradnl"/>
        </w:rPr>
      </w:pPr>
    </w:p>
    <w:p w:rsidR="00F6613F" w:rsidRDefault="00F6613F"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De la lectura de esta tabla extraemos las siguientes ideas. Desde la primera sentencia de la Corte IDH contra Ecuador en la que se ordenaron reparaciones en el caso Benavides Cevallos el 19 de junio de 1998 han transcurrido casi 15 años, sin embargo la Corte IDH no ha dado por terminada la causa pues en la última resolución de supervisión de cumplimiento de sentencia de 27 de noviembre de 2003, resolvió informar a la Asamblea General de la Organización de los Est</w:t>
      </w:r>
      <w:r w:rsidR="000B7A7D">
        <w:rPr>
          <w:rFonts w:ascii="Arial" w:eastAsia="Arial Unicode MS" w:hAnsi="Arial" w:cs="Arial"/>
          <w:sz w:val="22"/>
          <w:szCs w:val="22"/>
          <w:u w:color="000000"/>
          <w:lang w:val="es-ES_tradnl"/>
        </w:rPr>
        <w:t>ados Americanos, en aplicación a</w:t>
      </w:r>
      <w:r w:rsidRPr="009E04F2">
        <w:rPr>
          <w:rFonts w:ascii="Arial" w:eastAsia="Arial Unicode MS" w:hAnsi="Arial" w:cs="Arial"/>
          <w:sz w:val="22"/>
          <w:szCs w:val="22"/>
          <w:u w:color="000000"/>
          <w:lang w:val="es-ES_tradnl"/>
        </w:rPr>
        <w:t>l artículo 65 de la Convención Americana sobre Derechos Humanos, sobre el incumplimiento por parte del Estado del Ecuador de su deber de investigar, juzgar y sancionar a todos los responsables. En la página web oficial de la Corte IDH no existen documentos posteriores que determinen si se ha cumplido con esta obligación.</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6E1739"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De los 12 casos señalados, cabe mencionar que en el más reciente, Palma Mendoza y otros, con sentencia de excepción preliminar y fondo de 3 de septiembre de 2012, la Corte IDH dispuso el archivo del expediente por no determinarse responsabilidad del Estado en la violación de derechos humanos. De los 11 casos restantes, solo en dos oportunidades la Corte IDH ha declarado la terminación de las causas por cumplimiento total de las sentencias. El Primer caso es Acosta Calderón</w:t>
      </w:r>
      <w:r w:rsidR="000B7A7D">
        <w:rPr>
          <w:rFonts w:ascii="Arial" w:eastAsia="Arial Unicode MS" w:hAnsi="Arial" w:cs="Arial"/>
          <w:sz w:val="22"/>
          <w:szCs w:val="22"/>
          <w:u w:color="000000"/>
          <w:lang w:val="es-ES_tradnl"/>
        </w:rPr>
        <w:t>,</w:t>
      </w:r>
      <w:r w:rsidRPr="009E04F2">
        <w:rPr>
          <w:rFonts w:ascii="Arial" w:eastAsia="Arial Unicode MS" w:hAnsi="Arial" w:cs="Arial"/>
          <w:sz w:val="22"/>
          <w:szCs w:val="22"/>
          <w:u w:color="000000"/>
          <w:lang w:val="es-ES_tradnl"/>
        </w:rPr>
        <w:t xml:space="preserve"> cuya sentencia de reparaciones fue emitida el 24 de junio de 2005 y la resolución de supervisión de cumplimiento donde se declaró el archivo del expediente por cumplimiento total de la </w:t>
      </w:r>
      <w:r w:rsidRPr="009E04F2">
        <w:rPr>
          <w:rFonts w:ascii="Arial" w:eastAsia="Arial Unicode MS" w:hAnsi="Arial" w:cs="Arial"/>
          <w:sz w:val="22"/>
          <w:szCs w:val="22"/>
          <w:u w:color="000000"/>
          <w:lang w:val="es-ES_tradnl"/>
        </w:rPr>
        <w:lastRenderedPageBreak/>
        <w:t>sentencia fue el 7 de febrero de 2008, es decir que el cumplimiento total llevó aproximadamente tres años, cabe anotar que en este caso las medidas que se ordenaron fueron reparación indemnizatoria por concepto de daño material e inmaterial, publicación de la sentencia y eliminación de los antecedentes penales del señor Acosta Calderón de los registros públicos. Hay que señalar también que en cuanto al monto de indemnización este no ha sido reclamado por su beneficiario pues no se ha dado con su paradero, el monto se mantiene en una cuenta bancaria y existe un plazo de 10 años para que sea reclamado por el señor Acosta Calderón, de lo contrario será devuelto al Estado.</w:t>
      </w:r>
    </w:p>
    <w:p w:rsidR="000B7A7D" w:rsidRDefault="000B7A7D"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El segundo caso declarado terminado por la Corte IDH  es Mejía </w:t>
      </w:r>
      <w:proofErr w:type="spellStart"/>
      <w:r w:rsidRPr="009E04F2">
        <w:rPr>
          <w:rFonts w:ascii="Arial" w:eastAsia="Arial Unicode MS" w:hAnsi="Arial" w:cs="Arial"/>
          <w:sz w:val="22"/>
          <w:szCs w:val="22"/>
          <w:u w:color="000000"/>
          <w:lang w:val="es-ES_tradnl"/>
        </w:rPr>
        <w:t>Idrovo</w:t>
      </w:r>
      <w:proofErr w:type="spellEnd"/>
      <w:r w:rsidRPr="009E04F2">
        <w:rPr>
          <w:rFonts w:ascii="Arial" w:eastAsia="Arial Unicode MS" w:hAnsi="Arial" w:cs="Arial"/>
          <w:sz w:val="22"/>
          <w:szCs w:val="22"/>
          <w:u w:color="000000"/>
          <w:lang w:val="es-ES_tradnl"/>
        </w:rPr>
        <w:t>, la sentencia fue emitida el 5 de julio de 2011, en tanto que la resolución de supervisión donde se dispuso el archivo del expediente por haberse dado total cumplimiento a la sentencia se emitió el 4 de septiembre de 2012, es decir poco más de un año. Las medidas de reparación ordenadas en este caso fueron, la publicación de la sentencia y el pago de un monto por concepto de indemnizaciones por daños materiales e inmateriales, es decir, que el caso no ameritaba la orden de medidas de reparación complejas como la obligación del Estado de investigar, juzgar y sancionar a los responsables.</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De los 9 cas</w:t>
      </w:r>
      <w:r w:rsidR="009B4FD1">
        <w:rPr>
          <w:rFonts w:ascii="Arial" w:eastAsia="Arial Unicode MS" w:hAnsi="Arial" w:cs="Arial"/>
          <w:sz w:val="22"/>
          <w:szCs w:val="22"/>
          <w:u w:color="000000"/>
          <w:lang w:val="es-ES_tradnl"/>
        </w:rPr>
        <w:t>os restantes, cabe señalar</w:t>
      </w:r>
      <w:r w:rsidRPr="009E04F2">
        <w:rPr>
          <w:rFonts w:ascii="Arial" w:eastAsia="Arial Unicode MS" w:hAnsi="Arial" w:cs="Arial"/>
          <w:sz w:val="22"/>
          <w:szCs w:val="22"/>
          <w:u w:color="000000"/>
          <w:lang w:val="es-ES_tradnl"/>
        </w:rPr>
        <w:t xml:space="preserve"> que en el caso del Pueblo Indígena </w:t>
      </w:r>
      <w:proofErr w:type="spellStart"/>
      <w:r w:rsidRPr="009E04F2">
        <w:rPr>
          <w:rFonts w:ascii="Arial" w:eastAsia="Arial Unicode MS" w:hAnsi="Arial" w:cs="Arial"/>
          <w:sz w:val="22"/>
          <w:szCs w:val="22"/>
          <w:u w:color="000000"/>
          <w:lang w:val="es-ES_tradnl"/>
        </w:rPr>
        <w:t>Kichwa</w:t>
      </w:r>
      <w:proofErr w:type="spellEnd"/>
      <w:r w:rsidRPr="009E04F2">
        <w:rPr>
          <w:rFonts w:ascii="Arial" w:eastAsia="Arial Unicode MS" w:hAnsi="Arial" w:cs="Arial"/>
          <w:sz w:val="22"/>
          <w:szCs w:val="22"/>
          <w:u w:color="000000"/>
          <w:lang w:val="es-ES_tradnl"/>
        </w:rPr>
        <w:t xml:space="preserve"> de </w:t>
      </w:r>
      <w:proofErr w:type="spellStart"/>
      <w:r w:rsidRPr="009E04F2">
        <w:rPr>
          <w:rFonts w:ascii="Arial" w:eastAsia="Arial Unicode MS" w:hAnsi="Arial" w:cs="Arial"/>
          <w:sz w:val="22"/>
          <w:szCs w:val="22"/>
          <w:u w:color="000000"/>
          <w:lang w:val="es-ES_tradnl"/>
        </w:rPr>
        <w:t>Sarayaku</w:t>
      </w:r>
      <w:proofErr w:type="spellEnd"/>
      <w:r w:rsidRPr="009E04F2">
        <w:rPr>
          <w:rFonts w:ascii="Arial" w:eastAsia="Arial Unicode MS" w:hAnsi="Arial" w:cs="Arial"/>
          <w:sz w:val="22"/>
          <w:szCs w:val="22"/>
          <w:u w:color="000000"/>
          <w:lang w:val="es-ES_tradnl"/>
        </w:rPr>
        <w:t xml:space="preserve">, aún no se han emitido resoluciones por parte de la Corte IDH respecto a la supervisión de cumplimiento, por lo que está por verse el grado de compromiso y voluntad política del Estado para cumplir de forma total esta sentencia. Por otro lado en el caso Salvador Chiriboga, en la resolución de supervisión de cumplimiento de sentencia de 24 de octubre de 2012, la Corte declaró que el Estado ha venido cumpliendo sus obligaciones, excepto por la publicación de la sentencia en que hubo un error e hizo falta incluir los puntos resolutivos de la sentencias de fondo y de reparaciones gastos y costas, en cuanto al pago por concepto de indemnización, el Estado debe pagar en tratos sucesivos los montos señalados por la Corte IDH hasta el año 2016, por lo que mantendrá abierto el proceso de supervisión hasta que dicho pago sea efectuado en su totalidad.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En los 7 casos que quedan, el Ecuador ha dado cumplimiento de forma parcial, como ya se observó, en el caso Suarez Rosero queda pendiente </w:t>
      </w:r>
      <w:proofErr w:type="spellStart"/>
      <w:r w:rsidRPr="009E04F2">
        <w:rPr>
          <w:rFonts w:ascii="Arial" w:eastAsia="Arial Unicode MS" w:hAnsi="Arial" w:cs="Arial"/>
          <w:sz w:val="22"/>
          <w:szCs w:val="22"/>
          <w:u w:color="000000"/>
          <w:lang w:val="es-ES_tradnl"/>
        </w:rPr>
        <w:t>aun</w:t>
      </w:r>
      <w:proofErr w:type="spellEnd"/>
      <w:r w:rsidRPr="009E04F2">
        <w:rPr>
          <w:rFonts w:ascii="Arial" w:eastAsia="Arial Unicode MS" w:hAnsi="Arial" w:cs="Arial"/>
          <w:sz w:val="22"/>
          <w:szCs w:val="22"/>
          <w:u w:color="000000"/>
          <w:lang w:val="es-ES_tradnl"/>
        </w:rPr>
        <w:t xml:space="preserve"> la obligación de investigar, juzgar y sancionar a los responsables, lo mismo ocurre en los casos Benavides Cevallos en el que la sentencia de reparaciones fue emitida por la Corte el 19 de junio de 1998 es decir han transcurrido 15 años sin que se dé cumplimiento a este punto; en el caso Tibi, </w:t>
      </w:r>
      <w:r w:rsidRPr="009E04F2">
        <w:rPr>
          <w:rFonts w:ascii="Arial" w:eastAsia="Arial Unicode MS" w:hAnsi="Arial" w:cs="Arial"/>
          <w:sz w:val="22"/>
          <w:szCs w:val="22"/>
          <w:u w:color="000000"/>
          <w:lang w:val="es-ES_tradnl"/>
        </w:rPr>
        <w:lastRenderedPageBreak/>
        <w:t>la sentencia de reparaciones fue emitida el 7 de septiembre de 2004, han transcurrido 9 años; Zambrano Vélez, la sentencia de reparaciones fue emitida el 4 de julio de 2007, han transcurrido 6 años. Es decir, de los 7 casos con cumplimiento parcial, 4 no han podido cerrase por el incumplimiento en la obligación de investigar, juzgar y sancionar a las responsables de las violaciones.</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Hay que dejar en claro que la obligación de determinar y sancionar a los responsables además de ser una medida de satisfacción para las víctimas y garantizar su derecho a conocer la verdad de los hechos, permite al Estado ejercer su derecho de repetición, lo que además constituye un factor disuasivo frente al eventual cometimiento de nuevas violaciones. Además es importante pues se demuestra el compromiso del Estado por poner fin a la impunidad.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En general se observa que en Ecuador existe un cumplimiento parcial de las sentencias de la Corte IDH a pesar de haber suscrito los instrumentos internaciones de protección a los derechos humanos correspondientes. Por otro lado, este cumplimiento parcial da muestra de</w:t>
      </w:r>
      <w:r w:rsidR="009B4FD1">
        <w:rPr>
          <w:rFonts w:ascii="Arial" w:eastAsia="Arial Unicode MS" w:hAnsi="Arial" w:cs="Arial"/>
          <w:sz w:val="22"/>
          <w:szCs w:val="22"/>
          <w:u w:color="000000"/>
          <w:lang w:val="es-ES_tradnl"/>
        </w:rPr>
        <w:t xml:space="preserve"> que el Ecuador no desconoce en</w:t>
      </w:r>
      <w:r w:rsidRPr="009E04F2">
        <w:rPr>
          <w:rFonts w:ascii="Arial" w:eastAsia="Arial Unicode MS" w:hAnsi="Arial" w:cs="Arial"/>
          <w:sz w:val="22"/>
          <w:szCs w:val="22"/>
          <w:u w:color="000000"/>
          <w:lang w:val="es-ES_tradnl"/>
        </w:rPr>
        <w:t xml:space="preserve"> absoluto sus obligaciones internacionales, que exis</w:t>
      </w:r>
      <w:r w:rsidR="009B4FD1">
        <w:rPr>
          <w:rFonts w:ascii="Arial" w:eastAsia="Arial Unicode MS" w:hAnsi="Arial" w:cs="Arial"/>
          <w:sz w:val="22"/>
          <w:szCs w:val="22"/>
          <w:u w:color="000000"/>
          <w:lang w:val="es-ES_tradnl"/>
        </w:rPr>
        <w:t>te cierta voluntad para cumplir.</w:t>
      </w:r>
      <w:r w:rsidRPr="009E04F2">
        <w:rPr>
          <w:rFonts w:ascii="Arial" w:eastAsia="Arial Unicode MS" w:hAnsi="Arial" w:cs="Arial"/>
          <w:sz w:val="22"/>
          <w:szCs w:val="22"/>
          <w:u w:color="000000"/>
          <w:lang w:val="es-ES_tradnl"/>
        </w:rPr>
        <w:t xml:space="preserve"> </w:t>
      </w:r>
      <w:r w:rsidR="009B4FD1" w:rsidRPr="009E04F2">
        <w:rPr>
          <w:rFonts w:ascii="Arial" w:eastAsia="Arial Unicode MS" w:hAnsi="Arial" w:cs="Arial"/>
          <w:sz w:val="22"/>
          <w:szCs w:val="22"/>
          <w:u w:color="000000"/>
          <w:lang w:val="es-ES_tradnl"/>
        </w:rPr>
        <w:t>La</w:t>
      </w:r>
      <w:r w:rsidRPr="009E04F2">
        <w:rPr>
          <w:rFonts w:ascii="Arial" w:eastAsia="Arial Unicode MS" w:hAnsi="Arial" w:cs="Arial"/>
          <w:sz w:val="22"/>
          <w:szCs w:val="22"/>
          <w:u w:color="000000"/>
          <w:lang w:val="es-ES_tradnl"/>
        </w:rPr>
        <w:t xml:space="preserve"> falta de cumplimiento total de las sentencias de la Corte IDH se debe en su mayoría a problemas que surgen en los procesos de ejecución de las medidas de reparación. </w:t>
      </w:r>
    </w:p>
    <w:p w:rsidR="008F2951" w:rsidRPr="009E04F2" w:rsidRDefault="008F2951" w:rsidP="009E04F2">
      <w:pPr>
        <w:pStyle w:val="Sinespaciado"/>
        <w:spacing w:line="360" w:lineRule="auto"/>
        <w:jc w:val="both"/>
        <w:rPr>
          <w:rFonts w:ascii="Arial" w:eastAsia="Arial Unicode MS" w:hAnsi="Arial" w:cs="Arial"/>
          <w:sz w:val="22"/>
          <w:szCs w:val="22"/>
          <w:u w:color="000000"/>
          <w:lang w:val="es-ES_tradnl"/>
        </w:rPr>
      </w:pPr>
      <w:r w:rsidRPr="009E04F2">
        <w:rPr>
          <w:rFonts w:ascii="Arial" w:eastAsia="Arial Unicode MS" w:hAnsi="Arial" w:cs="Arial"/>
          <w:sz w:val="22"/>
          <w:szCs w:val="22"/>
          <w:u w:color="000000"/>
          <w:lang w:val="es-ES_tradnl"/>
        </w:rPr>
        <w:t xml:space="preserve">El Ministerio de Justicia, Derechos Humanos y Cultos, no cuenta con las atribuciones suficientes para cumplir su responsabilidad de ejecutar las sentencias de la Corte IDH. Hay que plantear la posibilidad de que el proceso para llevar a cabo el cumplimiento de las sentencias pueda establecerse por medio de una ley para que con la practica vaya adquiriendo institucionalización y se eviten cambios o reformas repentinas, sería conveniente también que en dicha ley se establezcan las sanciones correspondientes a los funcionarios que de forma injustificada incumplen o retrasan el proceso de ejecución de sentencias. </w:t>
      </w:r>
    </w:p>
    <w:p w:rsidR="005C25AA" w:rsidRDefault="008F2951" w:rsidP="005C25AA">
      <w:pPr>
        <w:spacing w:line="360" w:lineRule="auto"/>
        <w:jc w:val="both"/>
        <w:outlineLvl w:val="0"/>
        <w:rPr>
          <w:rFonts w:ascii="Arial" w:eastAsia="Arial Unicode MS" w:hAnsi="Arial"/>
          <w:sz w:val="22"/>
          <w:u w:color="000000"/>
          <w:lang w:val="es-ES_tradnl"/>
        </w:rPr>
      </w:pPr>
      <w:r w:rsidRPr="008F2951">
        <w:rPr>
          <w:rFonts w:ascii="Arial" w:eastAsia="Arial Unicode MS" w:hAnsi="Arial"/>
          <w:sz w:val="22"/>
          <w:u w:color="000000"/>
          <w:lang w:val="es-ES_tradnl"/>
        </w:rPr>
        <w:t xml:space="preserve">      </w:t>
      </w:r>
      <w:bookmarkStart w:id="38" w:name="_Toc356432275"/>
    </w:p>
    <w:p w:rsidR="00806781" w:rsidRPr="005C25AA" w:rsidRDefault="00806781" w:rsidP="005C25AA">
      <w:pPr>
        <w:spacing w:line="360" w:lineRule="auto"/>
        <w:jc w:val="both"/>
        <w:outlineLvl w:val="0"/>
        <w:rPr>
          <w:rFonts w:ascii="Arial" w:eastAsia="Arial Unicode MS" w:hAnsi="Arial"/>
          <w:b/>
          <w:sz w:val="22"/>
          <w:u w:color="000000"/>
          <w:lang w:val="es-ES_tradnl"/>
        </w:rPr>
      </w:pPr>
      <w:r w:rsidRPr="005C25AA">
        <w:rPr>
          <w:rFonts w:ascii="Arial" w:eastAsiaTheme="minorHAnsi" w:hAnsi="Arial" w:cs="Arial"/>
          <w:b/>
          <w:sz w:val="26"/>
          <w:szCs w:val="26"/>
          <w:lang w:val="es-ES"/>
        </w:rPr>
        <w:t>CONCLUSIONES</w:t>
      </w:r>
      <w:bookmarkEnd w:id="38"/>
    </w:p>
    <w:p w:rsidR="00B50DBA" w:rsidRDefault="00B50DBA" w:rsidP="00D05333">
      <w:pPr>
        <w:spacing w:after="200"/>
        <w:ind w:left="705" w:hanging="705"/>
        <w:rPr>
          <w:rFonts w:ascii="Arial" w:eastAsiaTheme="minorHAnsi" w:hAnsi="Arial" w:cs="Arial"/>
          <w:sz w:val="22"/>
          <w:szCs w:val="22"/>
          <w:lang w:val="es-ES"/>
        </w:rPr>
      </w:pPr>
    </w:p>
    <w:p w:rsidR="00D05333" w:rsidRPr="00783008" w:rsidRDefault="00D05333" w:rsidP="00D05333">
      <w:pPr>
        <w:spacing w:after="200"/>
        <w:ind w:left="705" w:hanging="705"/>
        <w:rPr>
          <w:rFonts w:ascii="Arial" w:eastAsiaTheme="minorHAnsi" w:hAnsi="Arial" w:cs="Arial"/>
          <w:b/>
          <w:sz w:val="22"/>
          <w:szCs w:val="22"/>
          <w:lang w:val="es-ES"/>
        </w:rPr>
      </w:pPr>
      <w:r w:rsidRPr="00783008">
        <w:rPr>
          <w:rFonts w:ascii="Arial" w:eastAsiaTheme="minorHAnsi" w:hAnsi="Arial" w:cs="Arial"/>
          <w:b/>
          <w:sz w:val="22"/>
          <w:szCs w:val="22"/>
          <w:lang w:val="es-ES"/>
        </w:rPr>
        <w:t xml:space="preserve">a) </w:t>
      </w:r>
      <w:r w:rsidRPr="00783008">
        <w:rPr>
          <w:rFonts w:ascii="Arial" w:eastAsiaTheme="minorHAnsi" w:hAnsi="Arial" w:cs="Arial"/>
          <w:b/>
          <w:sz w:val="22"/>
          <w:szCs w:val="22"/>
          <w:lang w:val="es-ES"/>
        </w:rPr>
        <w:tab/>
      </w:r>
      <w:r w:rsidR="00354CFB" w:rsidRPr="00783008">
        <w:rPr>
          <w:rFonts w:ascii="Arial" w:eastAsiaTheme="minorHAnsi" w:hAnsi="Arial" w:cs="Arial"/>
          <w:b/>
          <w:sz w:val="22"/>
          <w:szCs w:val="22"/>
          <w:lang w:val="es-ES"/>
        </w:rPr>
        <w:t>Sobre la reparación en el Sistema Interamericano de Derechos Humanos</w:t>
      </w:r>
      <w:r w:rsidR="008C780C" w:rsidRPr="00783008">
        <w:rPr>
          <w:rFonts w:ascii="Arial" w:eastAsiaTheme="minorHAnsi" w:hAnsi="Arial" w:cs="Arial"/>
          <w:b/>
          <w:sz w:val="22"/>
          <w:szCs w:val="22"/>
          <w:lang w:val="es-ES"/>
        </w:rPr>
        <w:t xml:space="preserve"> </w:t>
      </w:r>
    </w:p>
    <w:p w:rsidR="008C780C" w:rsidRDefault="008C780C" w:rsidP="008C780C">
      <w:pPr>
        <w:pStyle w:val="Prrafodelista"/>
        <w:numPr>
          <w:ilvl w:val="0"/>
          <w:numId w:val="9"/>
        </w:numPr>
        <w:spacing w:after="200"/>
        <w:rPr>
          <w:rFonts w:eastAsiaTheme="minorHAnsi" w:hAnsi="Arial" w:cs="Arial"/>
          <w:szCs w:val="22"/>
          <w:lang w:val="es-ES"/>
        </w:rPr>
      </w:pPr>
      <w:r w:rsidRPr="008C780C">
        <w:rPr>
          <w:rFonts w:eastAsiaTheme="minorHAnsi" w:hAnsi="Arial" w:cs="Arial"/>
          <w:szCs w:val="22"/>
          <w:lang w:val="es-ES"/>
        </w:rPr>
        <w:t xml:space="preserve">Existe falta de cooperación entre los Estados miembros de la Convención Americana sobre Derechos Humanos y el Sistema IDH, en un marco de </w:t>
      </w:r>
      <w:r w:rsidRPr="008C780C">
        <w:rPr>
          <w:rFonts w:eastAsiaTheme="minorHAnsi" w:hAnsi="Arial" w:cs="Arial"/>
          <w:szCs w:val="22"/>
          <w:lang w:val="es-ES"/>
        </w:rPr>
        <w:lastRenderedPageBreak/>
        <w:t xml:space="preserve">señalamiento de mutuas deficiencias en torno al cumplimiento de las sentencias de la Corte IDH. </w:t>
      </w:r>
    </w:p>
    <w:p w:rsidR="008C780C" w:rsidRDefault="008C780C" w:rsidP="008C780C">
      <w:pPr>
        <w:pStyle w:val="Prrafodelista"/>
        <w:spacing w:after="200"/>
        <w:ind w:left="720" w:firstLine="0"/>
        <w:rPr>
          <w:rFonts w:eastAsiaTheme="minorHAnsi" w:hAnsi="Arial" w:cs="Arial"/>
          <w:szCs w:val="22"/>
          <w:lang w:val="es-ES"/>
        </w:rPr>
      </w:pPr>
    </w:p>
    <w:p w:rsidR="008C780C" w:rsidRDefault="008C780C" w:rsidP="008C780C">
      <w:pPr>
        <w:pStyle w:val="Prrafodelista"/>
        <w:numPr>
          <w:ilvl w:val="0"/>
          <w:numId w:val="9"/>
        </w:numPr>
        <w:spacing w:after="200"/>
        <w:rPr>
          <w:rFonts w:eastAsiaTheme="minorHAnsi" w:hAnsi="Arial" w:cs="Arial"/>
          <w:szCs w:val="22"/>
          <w:lang w:val="es-ES"/>
        </w:rPr>
      </w:pPr>
      <w:r w:rsidRPr="00806781">
        <w:rPr>
          <w:rFonts w:eastAsiaTheme="minorHAnsi" w:hAnsi="Arial" w:cs="Arial"/>
          <w:szCs w:val="22"/>
          <w:lang w:val="es-ES"/>
        </w:rPr>
        <w:t>La jurisprudencia de la Corte IDH versus las posibilidades de cumplimiento de los Estados se encuentran en etapas distintas de su desarrollo.</w:t>
      </w:r>
    </w:p>
    <w:p w:rsidR="008C780C" w:rsidRPr="008C780C" w:rsidRDefault="008C780C" w:rsidP="008C780C">
      <w:pPr>
        <w:pStyle w:val="Prrafodelista"/>
        <w:rPr>
          <w:rFonts w:eastAsiaTheme="minorHAnsi" w:hAnsi="Arial" w:cs="Arial"/>
          <w:szCs w:val="22"/>
          <w:lang w:val="es-ES"/>
        </w:rPr>
      </w:pPr>
    </w:p>
    <w:p w:rsidR="008C780C" w:rsidRDefault="008C780C" w:rsidP="008C780C">
      <w:pPr>
        <w:pStyle w:val="Prrafodelista"/>
        <w:numPr>
          <w:ilvl w:val="0"/>
          <w:numId w:val="9"/>
        </w:numPr>
        <w:spacing w:after="200"/>
        <w:rPr>
          <w:rFonts w:eastAsiaTheme="minorHAnsi" w:hAnsi="Arial" w:cs="Arial"/>
          <w:szCs w:val="22"/>
          <w:lang w:val="es-ES"/>
        </w:rPr>
      </w:pPr>
      <w:r w:rsidRPr="008C780C">
        <w:rPr>
          <w:rFonts w:eastAsiaTheme="minorHAnsi" w:hAnsi="Arial" w:cs="Arial"/>
          <w:szCs w:val="22"/>
          <w:lang w:val="es-ES"/>
        </w:rPr>
        <w:t>Las decisiones y recomendaciones de los órganos del Sistema IDH, son llamados de atención sobre la situación jurídica y política de los Estados Parte</w:t>
      </w:r>
      <w:r w:rsidR="000B7A7D">
        <w:rPr>
          <w:rFonts w:eastAsiaTheme="minorHAnsi" w:hAnsi="Arial" w:cs="Arial"/>
          <w:szCs w:val="22"/>
          <w:lang w:val="es-ES"/>
        </w:rPr>
        <w:t>s</w:t>
      </w:r>
      <w:r w:rsidRPr="008C780C">
        <w:rPr>
          <w:rFonts w:eastAsiaTheme="minorHAnsi" w:hAnsi="Arial" w:cs="Arial"/>
          <w:szCs w:val="22"/>
          <w:lang w:val="es-ES"/>
        </w:rPr>
        <w:t xml:space="preserve"> sobre su compromiso internacional de proteger los derechos humanos.</w:t>
      </w:r>
    </w:p>
    <w:p w:rsidR="008C780C" w:rsidRPr="008C780C" w:rsidRDefault="008C780C" w:rsidP="008C780C">
      <w:pPr>
        <w:pStyle w:val="Prrafodelista"/>
        <w:rPr>
          <w:rFonts w:eastAsiaTheme="minorHAnsi" w:hAnsi="Arial" w:cs="Arial"/>
          <w:szCs w:val="22"/>
          <w:lang w:val="es-ES"/>
        </w:rPr>
      </w:pPr>
    </w:p>
    <w:p w:rsidR="008C780C" w:rsidRDefault="008C780C" w:rsidP="008C780C">
      <w:pPr>
        <w:pStyle w:val="Prrafodelista"/>
        <w:numPr>
          <w:ilvl w:val="0"/>
          <w:numId w:val="9"/>
        </w:numPr>
        <w:spacing w:after="200"/>
        <w:rPr>
          <w:rFonts w:eastAsiaTheme="minorHAnsi" w:hAnsi="Arial" w:cs="Arial"/>
          <w:szCs w:val="22"/>
          <w:lang w:val="es-ES"/>
        </w:rPr>
      </w:pPr>
      <w:r w:rsidRPr="008C780C">
        <w:rPr>
          <w:rFonts w:eastAsiaTheme="minorHAnsi" w:hAnsi="Arial" w:cs="Arial"/>
          <w:szCs w:val="22"/>
          <w:lang w:val="es-ES"/>
        </w:rPr>
        <w:t>El Sistema IDH se fortalece en la medida en que se cumplan las decisiones de la Corte IDH y las recomendaciones de la CIDH.</w:t>
      </w:r>
    </w:p>
    <w:p w:rsidR="008C780C" w:rsidRPr="008C780C" w:rsidRDefault="008C780C" w:rsidP="008C780C">
      <w:pPr>
        <w:pStyle w:val="Prrafodelista"/>
        <w:rPr>
          <w:rFonts w:eastAsiaTheme="minorHAnsi" w:hAnsi="Arial" w:cs="Arial"/>
          <w:szCs w:val="22"/>
          <w:lang w:val="es-ES"/>
        </w:rPr>
      </w:pPr>
    </w:p>
    <w:p w:rsidR="008C780C" w:rsidRDefault="008C780C" w:rsidP="008C780C">
      <w:pPr>
        <w:pStyle w:val="Prrafodelista"/>
        <w:numPr>
          <w:ilvl w:val="0"/>
          <w:numId w:val="9"/>
        </w:numPr>
        <w:spacing w:after="200"/>
        <w:rPr>
          <w:rFonts w:eastAsiaTheme="minorHAnsi" w:hAnsi="Arial" w:cs="Arial"/>
          <w:szCs w:val="22"/>
          <w:lang w:val="es-ES"/>
        </w:rPr>
      </w:pPr>
      <w:r w:rsidRPr="008C780C">
        <w:rPr>
          <w:rFonts w:eastAsiaTheme="minorHAnsi" w:hAnsi="Arial" w:cs="Arial"/>
          <w:szCs w:val="22"/>
          <w:lang w:val="es-ES"/>
        </w:rPr>
        <w:t>La indemnización como único modo de reparación es insuficiente, por ello han surgido medidas que atienden las necesidades de las víctimas y sus familiares desde diversos aspectos como el jurídico, económico, social, en el ámbito de la salud, y dentro de este una atención al aspecto psicológico</w:t>
      </w:r>
      <w:r w:rsidR="00D05333">
        <w:rPr>
          <w:rFonts w:eastAsiaTheme="minorHAnsi" w:hAnsi="Arial" w:cs="Arial"/>
          <w:szCs w:val="22"/>
          <w:lang w:val="es-ES"/>
        </w:rPr>
        <w:t>.</w:t>
      </w:r>
    </w:p>
    <w:p w:rsidR="00D05333" w:rsidRPr="00D05333" w:rsidRDefault="00D05333" w:rsidP="00D05333">
      <w:pPr>
        <w:pStyle w:val="Prrafodelista"/>
        <w:rPr>
          <w:rFonts w:eastAsiaTheme="minorHAnsi" w:hAnsi="Arial" w:cs="Arial"/>
          <w:szCs w:val="22"/>
          <w:lang w:val="es-ES"/>
        </w:rPr>
      </w:pPr>
    </w:p>
    <w:p w:rsidR="00D05333" w:rsidRDefault="00D05333" w:rsidP="00D05333">
      <w:pPr>
        <w:pStyle w:val="Prrafodelista"/>
        <w:numPr>
          <w:ilvl w:val="0"/>
          <w:numId w:val="9"/>
        </w:numPr>
        <w:spacing w:after="200"/>
        <w:rPr>
          <w:rFonts w:eastAsiaTheme="minorHAnsi" w:hAnsi="Arial" w:cs="Arial"/>
          <w:szCs w:val="22"/>
          <w:lang w:val="es-ES"/>
        </w:rPr>
      </w:pPr>
      <w:r w:rsidRPr="00D05333">
        <w:rPr>
          <w:rFonts w:eastAsiaTheme="minorHAnsi" w:hAnsi="Arial" w:cs="Arial"/>
          <w:szCs w:val="22"/>
          <w:lang w:val="es-ES"/>
        </w:rPr>
        <w:t>Las personas no acuden al Sistema IDH únicamente por una pretensión económica que por cierto es absolutamente legítima, sino que tienen una expectativa respecto a las obligaciones que tiene un Estado frente a la protección y reconocimiento de sus derechos.</w:t>
      </w:r>
    </w:p>
    <w:p w:rsidR="00D05333" w:rsidRPr="00D05333" w:rsidRDefault="00D05333" w:rsidP="00D05333">
      <w:pPr>
        <w:pStyle w:val="Prrafodelista"/>
        <w:rPr>
          <w:rFonts w:eastAsiaTheme="minorHAnsi" w:hAnsi="Arial" w:cs="Arial"/>
          <w:szCs w:val="22"/>
          <w:lang w:val="es-ES"/>
        </w:rPr>
      </w:pPr>
    </w:p>
    <w:p w:rsidR="00354CFB" w:rsidRPr="00D05333" w:rsidRDefault="00D05333" w:rsidP="00806781">
      <w:pPr>
        <w:pStyle w:val="Prrafodelista"/>
        <w:numPr>
          <w:ilvl w:val="0"/>
          <w:numId w:val="9"/>
        </w:numPr>
        <w:spacing w:after="200"/>
        <w:rPr>
          <w:rFonts w:eastAsiaTheme="minorHAnsi" w:hAnsi="Arial" w:cs="Arial"/>
          <w:szCs w:val="22"/>
          <w:lang w:val="es-ES"/>
        </w:rPr>
      </w:pPr>
      <w:r w:rsidRPr="00D05333">
        <w:rPr>
          <w:rFonts w:eastAsiaTheme="minorHAnsi" w:hAnsi="Arial" w:cs="Arial"/>
          <w:szCs w:val="22"/>
          <w:lang w:val="es-ES"/>
        </w:rPr>
        <w:t>La suscripción a la Convención Americana sobre Derechos Humanos, conjuntamente con la acción de los órganos del Sistema IDH ha motivado la reforma de los ordenamientos jurídicos de los países miembros, lo que ha significado verdaderos avances en cuanto a la protección de los derechos humanos, sobre todo en materia de reparaciones.</w:t>
      </w:r>
    </w:p>
    <w:p w:rsidR="008C780C" w:rsidRPr="00783008" w:rsidRDefault="00D05333" w:rsidP="00806781">
      <w:pPr>
        <w:spacing w:after="200" w:line="360" w:lineRule="auto"/>
        <w:jc w:val="both"/>
        <w:rPr>
          <w:rFonts w:ascii="Arial" w:eastAsiaTheme="minorHAnsi" w:hAnsi="Arial" w:cs="Arial"/>
          <w:b/>
          <w:sz w:val="22"/>
          <w:szCs w:val="22"/>
          <w:lang w:val="es-ES"/>
        </w:rPr>
      </w:pPr>
      <w:r w:rsidRPr="00783008">
        <w:rPr>
          <w:rFonts w:ascii="Arial" w:eastAsiaTheme="minorHAnsi" w:hAnsi="Arial" w:cs="Arial"/>
          <w:b/>
          <w:sz w:val="22"/>
          <w:szCs w:val="22"/>
          <w:lang w:val="es-ES"/>
        </w:rPr>
        <w:t>b)</w:t>
      </w:r>
      <w:r w:rsidRPr="00783008">
        <w:rPr>
          <w:rFonts w:ascii="Arial" w:eastAsiaTheme="minorHAnsi" w:hAnsi="Arial" w:cs="Arial"/>
          <w:b/>
          <w:sz w:val="22"/>
          <w:szCs w:val="22"/>
          <w:lang w:val="es-ES"/>
        </w:rPr>
        <w:tab/>
      </w:r>
      <w:r w:rsidR="00354CFB" w:rsidRPr="00783008">
        <w:rPr>
          <w:rFonts w:ascii="Arial" w:eastAsiaTheme="minorHAnsi" w:hAnsi="Arial" w:cs="Arial"/>
          <w:b/>
          <w:sz w:val="22"/>
          <w:szCs w:val="22"/>
          <w:lang w:val="es-ES"/>
        </w:rPr>
        <w:t>En cuanto</w:t>
      </w:r>
      <w:r w:rsidR="008C780C" w:rsidRPr="00783008">
        <w:rPr>
          <w:rFonts w:ascii="Arial" w:eastAsiaTheme="minorHAnsi" w:hAnsi="Arial" w:cs="Arial"/>
          <w:b/>
          <w:sz w:val="22"/>
          <w:szCs w:val="22"/>
          <w:lang w:val="es-ES"/>
        </w:rPr>
        <w:t xml:space="preserve"> al papel de la Corte IDH en la reparación integral a las víctimas</w:t>
      </w:r>
    </w:p>
    <w:p w:rsidR="008C780C" w:rsidRDefault="008C780C" w:rsidP="008C780C">
      <w:pPr>
        <w:pStyle w:val="Prrafodelista"/>
        <w:numPr>
          <w:ilvl w:val="0"/>
          <w:numId w:val="10"/>
        </w:numPr>
        <w:spacing w:after="200"/>
        <w:rPr>
          <w:rFonts w:eastAsiaTheme="minorHAnsi" w:hAnsi="Arial" w:cs="Arial"/>
          <w:szCs w:val="22"/>
          <w:lang w:val="es-ES"/>
        </w:rPr>
      </w:pPr>
      <w:r w:rsidRPr="008C780C">
        <w:rPr>
          <w:rFonts w:eastAsiaTheme="minorHAnsi" w:hAnsi="Arial" w:cs="Arial"/>
          <w:szCs w:val="22"/>
          <w:lang w:val="es-ES"/>
        </w:rPr>
        <w:t>La Corte IDH ha producido una amplia jurisprudencia sobre el tema de reparaciones. El carácter masivo de las violaciones ocurridas en muchos países especialmente durante las dictaduras y conflictos armados internos desbordan los marcos jurídicos habituales incluso de la propia Convención Americana.</w:t>
      </w:r>
    </w:p>
    <w:p w:rsidR="00AC7F9D" w:rsidRDefault="00AC7F9D" w:rsidP="00AC7F9D">
      <w:pPr>
        <w:pStyle w:val="Prrafodelista"/>
        <w:spacing w:after="200"/>
        <w:ind w:left="720" w:firstLine="0"/>
        <w:rPr>
          <w:rFonts w:eastAsiaTheme="minorHAnsi" w:hAnsi="Arial" w:cs="Arial"/>
          <w:szCs w:val="22"/>
          <w:lang w:val="es-ES"/>
        </w:rPr>
      </w:pPr>
    </w:p>
    <w:p w:rsidR="00D05333" w:rsidRDefault="00D05333" w:rsidP="00D05333">
      <w:pPr>
        <w:pStyle w:val="Prrafodelista"/>
        <w:numPr>
          <w:ilvl w:val="0"/>
          <w:numId w:val="10"/>
        </w:numPr>
        <w:spacing w:after="200"/>
        <w:rPr>
          <w:rFonts w:eastAsiaTheme="minorHAnsi" w:hAnsi="Arial" w:cs="Arial"/>
          <w:szCs w:val="22"/>
          <w:lang w:val="es-ES"/>
        </w:rPr>
      </w:pPr>
      <w:r w:rsidRPr="00D05333">
        <w:rPr>
          <w:rFonts w:eastAsiaTheme="minorHAnsi" w:hAnsi="Arial" w:cs="Arial"/>
          <w:szCs w:val="22"/>
          <w:lang w:val="es-ES"/>
        </w:rPr>
        <w:lastRenderedPageBreak/>
        <w:t>El incumplimiento de la</w:t>
      </w:r>
      <w:r w:rsidR="00AD1A4C">
        <w:rPr>
          <w:rFonts w:eastAsiaTheme="minorHAnsi" w:hAnsi="Arial" w:cs="Arial"/>
          <w:szCs w:val="22"/>
          <w:lang w:val="es-ES"/>
        </w:rPr>
        <w:t>s</w:t>
      </w:r>
      <w:r w:rsidRPr="00D05333">
        <w:rPr>
          <w:rFonts w:eastAsiaTheme="minorHAnsi" w:hAnsi="Arial" w:cs="Arial"/>
          <w:szCs w:val="22"/>
          <w:lang w:val="es-ES"/>
        </w:rPr>
        <w:t xml:space="preserve"> sentencias de la Corte IDH no se da por una total falta de ejecución, uno de los problemas es que el cumplimiento no se realiza con los estándares internacionales que la Corte IDH ordena por lo tanto no se puede declarar un cumplimiento pleno de las medidas de reparación.</w:t>
      </w:r>
    </w:p>
    <w:p w:rsidR="00C17240" w:rsidRPr="00C17240" w:rsidRDefault="00C17240" w:rsidP="00C17240">
      <w:pPr>
        <w:pStyle w:val="Prrafodelista"/>
        <w:rPr>
          <w:rFonts w:eastAsiaTheme="minorHAnsi" w:hAnsi="Arial" w:cs="Arial"/>
          <w:szCs w:val="22"/>
          <w:lang w:val="es-ES"/>
        </w:rPr>
      </w:pPr>
    </w:p>
    <w:p w:rsidR="00C17240" w:rsidRDefault="00C17240" w:rsidP="00D05333">
      <w:pPr>
        <w:pStyle w:val="Prrafodelista"/>
        <w:numPr>
          <w:ilvl w:val="0"/>
          <w:numId w:val="10"/>
        </w:numPr>
        <w:spacing w:after="200"/>
        <w:rPr>
          <w:rFonts w:eastAsiaTheme="minorHAnsi" w:hAnsi="Arial" w:cs="Arial"/>
          <w:szCs w:val="22"/>
          <w:lang w:val="es-ES"/>
        </w:rPr>
      </w:pPr>
      <w:r>
        <w:rPr>
          <w:rFonts w:eastAsiaTheme="minorHAnsi" w:hAnsi="Arial" w:cs="Arial"/>
          <w:szCs w:val="22"/>
          <w:lang w:val="es-ES"/>
        </w:rPr>
        <w:t>La Corte IDH ha mostrado un importante grado de creatividad y sobre todo aporte de novedosos medios de reparación que sobrepasan las visiones de lo meramente pecuniario.</w:t>
      </w:r>
    </w:p>
    <w:p w:rsidR="00C17240" w:rsidRPr="00C17240" w:rsidRDefault="00C17240" w:rsidP="00C17240">
      <w:pPr>
        <w:pStyle w:val="Prrafodelista"/>
        <w:rPr>
          <w:rFonts w:eastAsiaTheme="minorHAnsi" w:hAnsi="Arial" w:cs="Arial"/>
          <w:szCs w:val="22"/>
          <w:lang w:val="es-ES"/>
        </w:rPr>
      </w:pPr>
    </w:p>
    <w:p w:rsidR="00C17240" w:rsidRDefault="00C17240" w:rsidP="00D05333">
      <w:pPr>
        <w:pStyle w:val="Prrafodelista"/>
        <w:numPr>
          <w:ilvl w:val="0"/>
          <w:numId w:val="10"/>
        </w:numPr>
        <w:spacing w:after="200"/>
        <w:rPr>
          <w:rFonts w:eastAsiaTheme="minorHAnsi" w:hAnsi="Arial" w:cs="Arial"/>
          <w:szCs w:val="22"/>
          <w:lang w:val="es-ES"/>
        </w:rPr>
      </w:pPr>
      <w:r>
        <w:rPr>
          <w:rFonts w:eastAsiaTheme="minorHAnsi" w:hAnsi="Arial" w:cs="Arial"/>
          <w:szCs w:val="22"/>
          <w:lang w:val="es-ES"/>
        </w:rPr>
        <w:t>La cualidad de la Corte IDH de tender esp</w:t>
      </w:r>
      <w:r w:rsidR="00B9512B">
        <w:rPr>
          <w:rFonts w:eastAsiaTheme="minorHAnsi" w:hAnsi="Arial" w:cs="Arial"/>
          <w:szCs w:val="22"/>
          <w:lang w:val="es-ES"/>
        </w:rPr>
        <w:t>ecialmente a la reparación de lo</w:t>
      </w:r>
      <w:r>
        <w:rPr>
          <w:rFonts w:eastAsiaTheme="minorHAnsi" w:hAnsi="Arial" w:cs="Arial"/>
          <w:szCs w:val="22"/>
          <w:lang w:val="es-ES"/>
        </w:rPr>
        <w:t>s</w:t>
      </w:r>
      <w:r w:rsidR="00B9512B">
        <w:rPr>
          <w:rFonts w:eastAsiaTheme="minorHAnsi" w:hAnsi="Arial" w:cs="Arial"/>
          <w:szCs w:val="22"/>
          <w:lang w:val="es-ES"/>
        </w:rPr>
        <w:t xml:space="preserve"> daños de las</w:t>
      </w:r>
      <w:r>
        <w:rPr>
          <w:rFonts w:eastAsiaTheme="minorHAnsi" w:hAnsi="Arial" w:cs="Arial"/>
          <w:szCs w:val="22"/>
          <w:lang w:val="es-ES"/>
        </w:rPr>
        <w:t xml:space="preserve"> </w:t>
      </w:r>
      <w:r w:rsidR="00B9512B">
        <w:rPr>
          <w:rFonts w:eastAsiaTheme="minorHAnsi" w:hAnsi="Arial" w:cs="Arial"/>
          <w:szCs w:val="22"/>
          <w:lang w:val="es-ES"/>
        </w:rPr>
        <w:t>víctimas,</w:t>
      </w:r>
      <w:r>
        <w:rPr>
          <w:rFonts w:eastAsiaTheme="minorHAnsi" w:hAnsi="Arial" w:cs="Arial"/>
          <w:szCs w:val="22"/>
          <w:lang w:val="es-ES"/>
        </w:rPr>
        <w:t xml:space="preserve"> la lleva a diferenciarse de otros sistemas de protección de los derechos humanos como el Europeo que se encuentra mayormente encaminado a declarar si en los casos presentados ha existido violación a los derechos humanos.</w:t>
      </w:r>
    </w:p>
    <w:p w:rsidR="0095357C" w:rsidRPr="0095357C" w:rsidRDefault="0095357C" w:rsidP="0095357C">
      <w:pPr>
        <w:pStyle w:val="Prrafodelista"/>
        <w:rPr>
          <w:rFonts w:eastAsiaTheme="minorHAnsi" w:hAnsi="Arial" w:cs="Arial"/>
          <w:szCs w:val="22"/>
          <w:lang w:val="es-ES"/>
        </w:rPr>
      </w:pPr>
    </w:p>
    <w:p w:rsidR="00D05333" w:rsidRDefault="0095357C" w:rsidP="0095357C">
      <w:pPr>
        <w:pStyle w:val="Sinespaciado"/>
        <w:numPr>
          <w:ilvl w:val="0"/>
          <w:numId w:val="10"/>
        </w:numPr>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La Corte </w:t>
      </w:r>
      <w:r>
        <w:rPr>
          <w:rFonts w:ascii="Arial" w:eastAsia="Arial Unicode MS" w:hAnsi="Arial" w:cs="Arial"/>
          <w:sz w:val="22"/>
          <w:szCs w:val="22"/>
          <w:u w:color="000000"/>
          <w:lang w:val="es-ES_tradnl"/>
        </w:rPr>
        <w:t xml:space="preserve">IDH </w:t>
      </w:r>
      <w:r w:rsidRPr="00B66F9D">
        <w:rPr>
          <w:rFonts w:ascii="Arial" w:eastAsia="Arial Unicode MS" w:hAnsi="Arial" w:cs="Arial"/>
          <w:sz w:val="22"/>
          <w:szCs w:val="22"/>
          <w:u w:color="000000"/>
          <w:lang w:val="es-ES_tradnl"/>
        </w:rPr>
        <w:t>debe actua</w:t>
      </w:r>
      <w:r>
        <w:rPr>
          <w:rFonts w:ascii="Arial" w:eastAsia="Arial Unicode MS" w:hAnsi="Arial" w:cs="Arial"/>
          <w:sz w:val="22"/>
          <w:szCs w:val="22"/>
          <w:u w:color="000000"/>
          <w:lang w:val="es-ES_tradnl"/>
        </w:rPr>
        <w:t>r de manera preventiva, la</w:t>
      </w:r>
      <w:r w:rsidRPr="00B66F9D">
        <w:rPr>
          <w:rFonts w:ascii="Arial" w:eastAsia="Arial Unicode MS" w:hAnsi="Arial" w:cs="Arial"/>
          <w:sz w:val="22"/>
          <w:szCs w:val="22"/>
          <w:u w:color="000000"/>
          <w:lang w:val="es-ES_tradnl"/>
        </w:rPr>
        <w:t xml:space="preserve"> claridad </w:t>
      </w:r>
      <w:r>
        <w:rPr>
          <w:rFonts w:ascii="Arial" w:eastAsia="Arial Unicode MS" w:hAnsi="Arial" w:cs="Arial"/>
          <w:sz w:val="22"/>
          <w:szCs w:val="22"/>
          <w:u w:color="000000"/>
          <w:lang w:val="es-ES_tradnl"/>
        </w:rPr>
        <w:t xml:space="preserve">de sus sentencias </w:t>
      </w:r>
      <w:r w:rsidRPr="00B66F9D">
        <w:rPr>
          <w:rFonts w:ascii="Arial" w:eastAsia="Arial Unicode MS" w:hAnsi="Arial" w:cs="Arial"/>
          <w:sz w:val="22"/>
          <w:szCs w:val="22"/>
          <w:u w:color="000000"/>
          <w:lang w:val="es-ES_tradnl"/>
        </w:rPr>
        <w:t>p</w:t>
      </w:r>
      <w:r>
        <w:rPr>
          <w:rFonts w:ascii="Arial" w:eastAsia="Arial Unicode MS" w:hAnsi="Arial" w:cs="Arial"/>
          <w:sz w:val="22"/>
          <w:szCs w:val="22"/>
          <w:u w:color="000000"/>
          <w:lang w:val="es-ES_tradnl"/>
        </w:rPr>
        <w:t>uede manifestarse</w:t>
      </w:r>
      <w:r w:rsidRPr="00B66F9D">
        <w:rPr>
          <w:rFonts w:ascii="Arial" w:eastAsia="Arial Unicode MS" w:hAnsi="Arial" w:cs="Arial"/>
          <w:sz w:val="22"/>
          <w:szCs w:val="22"/>
          <w:u w:color="000000"/>
          <w:lang w:val="es-ES_tradnl"/>
        </w:rPr>
        <w:t xml:space="preserve"> no solo en qué medidas</w:t>
      </w:r>
      <w:r>
        <w:rPr>
          <w:rFonts w:ascii="Arial" w:eastAsia="Arial Unicode MS" w:hAnsi="Arial" w:cs="Arial"/>
          <w:sz w:val="22"/>
          <w:szCs w:val="22"/>
          <w:u w:color="000000"/>
          <w:lang w:val="es-ES_tradnl"/>
        </w:rPr>
        <w:t xml:space="preserve"> se adoptarán sino también en</w:t>
      </w:r>
      <w:r w:rsidRPr="00B66F9D">
        <w:rPr>
          <w:rFonts w:ascii="Arial" w:eastAsia="Arial Unicode MS" w:hAnsi="Arial" w:cs="Arial"/>
          <w:sz w:val="22"/>
          <w:szCs w:val="22"/>
          <w:u w:color="000000"/>
          <w:lang w:val="es-ES_tradnl"/>
        </w:rPr>
        <w:t xml:space="preserve"> cómo ejecutarlas, ello con el fin de que se reduzcan los tiempos en el cumplimiento. </w:t>
      </w:r>
    </w:p>
    <w:p w:rsidR="00B209D9" w:rsidRDefault="00B209D9" w:rsidP="00B209D9">
      <w:pPr>
        <w:pStyle w:val="Prrafodelista"/>
        <w:rPr>
          <w:rFonts w:hAnsi="Arial" w:cs="Arial"/>
          <w:szCs w:val="22"/>
        </w:rPr>
      </w:pPr>
    </w:p>
    <w:p w:rsidR="00B209D9" w:rsidRDefault="00B209D9" w:rsidP="0095357C">
      <w:pPr>
        <w:pStyle w:val="Sinespaciado"/>
        <w:numPr>
          <w:ilvl w:val="0"/>
          <w:numId w:val="10"/>
        </w:numPr>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Las visitas técnicas son una alternativa viable para dar a la Corte </w:t>
      </w:r>
      <w:r w:rsidR="00AD1A4C" w:rsidRPr="00A75361">
        <w:rPr>
          <w:rFonts w:ascii="Arial" w:eastAsia="Arial Unicode MS" w:hAnsi="Arial" w:cs="Arial"/>
          <w:sz w:val="22"/>
          <w:szCs w:val="22"/>
          <w:u w:color="000000"/>
          <w:lang w:val="es-ES_tradnl"/>
        </w:rPr>
        <w:t>IDH</w:t>
      </w:r>
      <w:r w:rsidR="00AD1A4C" w:rsidRPr="00B66F9D">
        <w:rPr>
          <w:rFonts w:ascii="Arial" w:eastAsia="Arial Unicode MS" w:hAnsi="Arial" w:cs="Arial"/>
          <w:sz w:val="22"/>
          <w:szCs w:val="22"/>
          <w:u w:color="000000"/>
          <w:lang w:val="es-ES_tradnl"/>
        </w:rPr>
        <w:t xml:space="preserve"> </w:t>
      </w:r>
      <w:r w:rsidRPr="00B66F9D">
        <w:rPr>
          <w:rFonts w:ascii="Arial" w:eastAsia="Arial Unicode MS" w:hAnsi="Arial" w:cs="Arial"/>
          <w:sz w:val="22"/>
          <w:szCs w:val="22"/>
          <w:u w:color="000000"/>
          <w:lang w:val="es-ES_tradnl"/>
        </w:rPr>
        <w:t>elementos de juicio suficientes para ayudar a precisar las medidas que presentan mayores conflictos.</w:t>
      </w:r>
    </w:p>
    <w:p w:rsidR="00B209D9" w:rsidRDefault="00B209D9" w:rsidP="00B209D9">
      <w:pPr>
        <w:pStyle w:val="Prrafodelista"/>
        <w:rPr>
          <w:rFonts w:hAnsi="Arial" w:cs="Arial"/>
          <w:szCs w:val="22"/>
        </w:rPr>
      </w:pPr>
    </w:p>
    <w:p w:rsidR="00B209D9" w:rsidRDefault="00EB4494" w:rsidP="0095357C">
      <w:pPr>
        <w:pStyle w:val="Sinespaciado"/>
        <w:numPr>
          <w:ilvl w:val="0"/>
          <w:numId w:val="10"/>
        </w:numPr>
        <w:spacing w:line="360" w:lineRule="auto"/>
        <w:jc w:val="both"/>
        <w:rPr>
          <w:rFonts w:ascii="Arial" w:eastAsia="Arial Unicode MS" w:hAnsi="Arial" w:cs="Arial"/>
          <w:sz w:val="22"/>
          <w:szCs w:val="22"/>
          <w:u w:color="000000"/>
          <w:lang w:val="es-ES_tradnl"/>
        </w:rPr>
      </w:pPr>
      <w:r>
        <w:rPr>
          <w:rFonts w:ascii="Arial" w:eastAsia="Arial Unicode MS" w:hAnsi="Arial" w:cs="Arial"/>
          <w:sz w:val="22"/>
          <w:szCs w:val="22"/>
          <w:u w:color="000000"/>
          <w:lang w:val="es-ES_tradnl"/>
        </w:rPr>
        <w:t>L</w:t>
      </w:r>
      <w:r w:rsidR="00B209D9" w:rsidRPr="00B66F9D">
        <w:rPr>
          <w:rFonts w:ascii="Arial" w:eastAsia="Arial Unicode MS" w:hAnsi="Arial" w:cs="Arial"/>
          <w:sz w:val="22"/>
          <w:szCs w:val="22"/>
          <w:u w:color="000000"/>
          <w:lang w:val="es-ES_tradnl"/>
        </w:rPr>
        <w:t xml:space="preserve">a Corte </w:t>
      </w:r>
      <w:r>
        <w:rPr>
          <w:rFonts w:ascii="Arial" w:eastAsia="Arial Unicode MS" w:hAnsi="Arial" w:cs="Arial"/>
          <w:sz w:val="22"/>
          <w:szCs w:val="22"/>
          <w:u w:color="000000"/>
          <w:lang w:val="es-ES_tradnl"/>
        </w:rPr>
        <w:t xml:space="preserve">IDH </w:t>
      </w:r>
      <w:r w:rsidR="00B209D9" w:rsidRPr="00B66F9D">
        <w:rPr>
          <w:rFonts w:ascii="Arial" w:eastAsia="Arial Unicode MS" w:hAnsi="Arial" w:cs="Arial"/>
          <w:sz w:val="22"/>
          <w:szCs w:val="22"/>
          <w:u w:color="000000"/>
          <w:lang w:val="es-ES_tradnl"/>
        </w:rPr>
        <w:t>permite que las medidas de reparación</w:t>
      </w:r>
      <w:r>
        <w:rPr>
          <w:rFonts w:ascii="Arial" w:eastAsia="Arial Unicode MS" w:hAnsi="Arial" w:cs="Arial"/>
          <w:sz w:val="22"/>
          <w:szCs w:val="22"/>
          <w:u w:color="000000"/>
          <w:lang w:val="es-ES_tradnl"/>
        </w:rPr>
        <w:t xml:space="preserve"> sean acordadas por las partes, estas</w:t>
      </w:r>
      <w:r w:rsidR="00B209D9" w:rsidRPr="00B66F9D">
        <w:rPr>
          <w:rFonts w:ascii="Arial" w:eastAsia="Arial Unicode MS" w:hAnsi="Arial" w:cs="Arial"/>
          <w:sz w:val="22"/>
          <w:szCs w:val="22"/>
          <w:u w:color="000000"/>
          <w:lang w:val="es-ES_tradnl"/>
        </w:rPr>
        <w:t xml:space="preserve"> son admitidas siempre que sean razonables y se cumpla con el objetivo de reparar integralmente a las víctimas</w:t>
      </w:r>
      <w:r w:rsidR="00B209D9">
        <w:rPr>
          <w:rFonts w:ascii="Arial" w:eastAsia="Arial Unicode MS" w:hAnsi="Arial" w:cs="Arial"/>
          <w:sz w:val="22"/>
          <w:szCs w:val="22"/>
          <w:u w:color="000000"/>
          <w:lang w:val="es-ES_tradnl"/>
        </w:rPr>
        <w:t>.</w:t>
      </w:r>
    </w:p>
    <w:p w:rsidR="00693881" w:rsidRDefault="00693881" w:rsidP="00693881">
      <w:pPr>
        <w:pStyle w:val="Prrafodelista"/>
        <w:rPr>
          <w:rFonts w:hAnsi="Arial" w:cs="Arial"/>
          <w:szCs w:val="22"/>
        </w:rPr>
      </w:pPr>
    </w:p>
    <w:p w:rsidR="00693881" w:rsidRDefault="00693881" w:rsidP="0095357C">
      <w:pPr>
        <w:pStyle w:val="Sinespaciado"/>
        <w:numPr>
          <w:ilvl w:val="0"/>
          <w:numId w:val="10"/>
        </w:numPr>
        <w:spacing w:line="360" w:lineRule="auto"/>
        <w:jc w:val="both"/>
        <w:rPr>
          <w:rFonts w:ascii="Arial" w:eastAsia="Arial Unicode MS" w:hAnsi="Arial" w:cs="Arial"/>
          <w:sz w:val="22"/>
          <w:szCs w:val="22"/>
          <w:u w:color="000000"/>
          <w:lang w:val="es-ES_tradnl"/>
        </w:rPr>
      </w:pPr>
      <w:r w:rsidRPr="00B66F9D">
        <w:rPr>
          <w:rFonts w:ascii="Arial" w:eastAsia="Arial Unicode MS" w:hAnsi="Arial" w:cs="Arial"/>
          <w:sz w:val="22"/>
          <w:szCs w:val="22"/>
          <w:u w:color="000000"/>
          <w:lang w:val="es-ES_tradnl"/>
        </w:rPr>
        <w:t xml:space="preserve">A pesar de las evidentes consecuencias sobre todo en el ámbito político, la derivación y presentación de los casos de incumplimiento ante la </w:t>
      </w:r>
      <w:r w:rsidR="00AD1A4C">
        <w:rPr>
          <w:rFonts w:ascii="Arial" w:eastAsia="Arial Unicode MS" w:hAnsi="Arial" w:cs="Arial"/>
          <w:sz w:val="22"/>
          <w:szCs w:val="22"/>
          <w:u w:color="000000"/>
          <w:lang w:val="es-ES_tradnl"/>
        </w:rPr>
        <w:t xml:space="preserve">Asamblea de la </w:t>
      </w:r>
      <w:r w:rsidRPr="00B66F9D">
        <w:rPr>
          <w:rFonts w:ascii="Arial" w:eastAsia="Arial Unicode MS" w:hAnsi="Arial" w:cs="Arial"/>
          <w:sz w:val="22"/>
          <w:szCs w:val="22"/>
          <w:u w:color="000000"/>
          <w:lang w:val="es-ES_tradnl"/>
        </w:rPr>
        <w:t>OEA no ha sido un mecanismo efectivo hasta la fecha</w:t>
      </w:r>
      <w:r>
        <w:rPr>
          <w:rFonts w:ascii="Arial" w:eastAsia="Arial Unicode MS" w:hAnsi="Arial" w:cs="Arial"/>
          <w:sz w:val="22"/>
          <w:szCs w:val="22"/>
          <w:u w:color="000000"/>
          <w:lang w:val="es-ES_tradnl"/>
        </w:rPr>
        <w:t>.</w:t>
      </w:r>
    </w:p>
    <w:p w:rsidR="0095357C" w:rsidRPr="0095357C" w:rsidRDefault="0095357C" w:rsidP="0095357C">
      <w:pPr>
        <w:pStyle w:val="Sinespaciado"/>
        <w:spacing w:line="360" w:lineRule="auto"/>
        <w:jc w:val="both"/>
        <w:rPr>
          <w:rFonts w:ascii="Arial" w:eastAsia="Arial Unicode MS" w:hAnsi="Arial" w:cs="Arial"/>
          <w:sz w:val="22"/>
          <w:szCs w:val="22"/>
          <w:u w:color="000000"/>
          <w:lang w:val="es-ES_tradnl"/>
        </w:rPr>
      </w:pPr>
    </w:p>
    <w:p w:rsidR="00354CFB" w:rsidRPr="00783008" w:rsidRDefault="00D05333" w:rsidP="00D05333">
      <w:pPr>
        <w:spacing w:after="200" w:line="360" w:lineRule="auto"/>
        <w:ind w:left="720" w:hanging="720"/>
        <w:jc w:val="both"/>
        <w:rPr>
          <w:rFonts w:ascii="Arial" w:eastAsiaTheme="minorHAnsi" w:hAnsi="Arial" w:cs="Arial"/>
          <w:b/>
          <w:sz w:val="22"/>
          <w:szCs w:val="22"/>
          <w:lang w:val="es-ES"/>
        </w:rPr>
      </w:pPr>
      <w:r w:rsidRPr="00783008">
        <w:rPr>
          <w:rFonts w:ascii="Arial" w:eastAsiaTheme="minorHAnsi" w:hAnsi="Arial" w:cs="Arial"/>
          <w:b/>
          <w:sz w:val="22"/>
          <w:szCs w:val="22"/>
          <w:lang w:val="es-ES"/>
        </w:rPr>
        <w:t>c)</w:t>
      </w:r>
      <w:r w:rsidRPr="00783008">
        <w:rPr>
          <w:rFonts w:ascii="Arial" w:eastAsiaTheme="minorHAnsi" w:hAnsi="Arial" w:cs="Arial"/>
          <w:b/>
          <w:sz w:val="22"/>
          <w:szCs w:val="22"/>
          <w:lang w:val="es-ES"/>
        </w:rPr>
        <w:tab/>
      </w:r>
      <w:r w:rsidR="008C780C" w:rsidRPr="00783008">
        <w:rPr>
          <w:rFonts w:ascii="Arial" w:eastAsiaTheme="minorHAnsi" w:hAnsi="Arial" w:cs="Arial"/>
          <w:b/>
          <w:sz w:val="22"/>
          <w:szCs w:val="22"/>
          <w:lang w:val="es-ES"/>
        </w:rPr>
        <w:t xml:space="preserve">Sobre el rol de los Estados responsables al ejecutar las sentencias de la Corte IDH </w:t>
      </w:r>
    </w:p>
    <w:p w:rsidR="008C780C" w:rsidRDefault="008C780C" w:rsidP="008C780C">
      <w:pPr>
        <w:pStyle w:val="Prrafodelista"/>
        <w:numPr>
          <w:ilvl w:val="0"/>
          <w:numId w:val="11"/>
        </w:numPr>
        <w:spacing w:after="200"/>
        <w:rPr>
          <w:rFonts w:eastAsiaTheme="minorHAnsi" w:hAnsi="Arial" w:cs="Arial"/>
          <w:szCs w:val="22"/>
          <w:lang w:val="es-ES"/>
        </w:rPr>
      </w:pPr>
      <w:r w:rsidRPr="008C780C">
        <w:rPr>
          <w:rFonts w:eastAsiaTheme="minorHAnsi" w:hAnsi="Arial" w:cs="Arial"/>
          <w:szCs w:val="22"/>
          <w:lang w:val="es-ES"/>
        </w:rPr>
        <w:t xml:space="preserve">Los Estados han acogido cambios motivados por las sentencias de la Corte IDH y se han plasmado en su normativa, cambios que incluyen la regulación de </w:t>
      </w:r>
      <w:r w:rsidRPr="008C780C">
        <w:rPr>
          <w:rFonts w:eastAsiaTheme="minorHAnsi" w:hAnsi="Arial" w:cs="Arial"/>
          <w:szCs w:val="22"/>
          <w:lang w:val="es-ES"/>
        </w:rPr>
        <w:lastRenderedPageBreak/>
        <w:t>amnistías para los responsables por violación de derechos humanos, incremento en las garantías del debido proceso, libertad para personas inocentes, y reformas en lo relativo a la justicia penal en la esfera policial y militar.</w:t>
      </w:r>
    </w:p>
    <w:p w:rsidR="00CC24E1" w:rsidRDefault="00CC24E1" w:rsidP="00CC24E1">
      <w:pPr>
        <w:pStyle w:val="Prrafodelista"/>
        <w:spacing w:after="200"/>
        <w:ind w:left="720" w:firstLine="0"/>
        <w:rPr>
          <w:rFonts w:eastAsiaTheme="minorHAnsi" w:hAnsi="Arial" w:cs="Arial"/>
          <w:szCs w:val="22"/>
          <w:lang w:val="es-ES"/>
        </w:rPr>
      </w:pPr>
    </w:p>
    <w:p w:rsidR="008C780C" w:rsidRDefault="008C780C" w:rsidP="008C780C">
      <w:pPr>
        <w:pStyle w:val="Prrafodelista"/>
        <w:numPr>
          <w:ilvl w:val="0"/>
          <w:numId w:val="11"/>
        </w:numPr>
        <w:spacing w:after="200"/>
        <w:rPr>
          <w:rFonts w:eastAsiaTheme="minorHAnsi" w:hAnsi="Arial" w:cs="Arial"/>
          <w:szCs w:val="22"/>
          <w:lang w:val="es-ES"/>
        </w:rPr>
      </w:pPr>
      <w:r w:rsidRPr="008C780C">
        <w:rPr>
          <w:rFonts w:eastAsiaTheme="minorHAnsi" w:hAnsi="Arial" w:cs="Arial"/>
          <w:szCs w:val="22"/>
          <w:lang w:val="es-ES"/>
        </w:rPr>
        <w:t>La voluntad política es uno de los elementos cruciales en cuanto a la ejecución de sentencias de la Corte IDH, sin ella es imposible que se materialicen las medidas de reparación a plenitud y se generen cambios favorables en el marco de los derechos humanos.</w:t>
      </w:r>
    </w:p>
    <w:p w:rsidR="00CC24E1" w:rsidRPr="00CC24E1" w:rsidRDefault="00CC24E1" w:rsidP="00CC24E1">
      <w:pPr>
        <w:pStyle w:val="Prrafodelista"/>
        <w:rPr>
          <w:rFonts w:eastAsiaTheme="minorHAnsi" w:hAnsi="Arial" w:cs="Arial"/>
          <w:szCs w:val="22"/>
          <w:lang w:val="es-ES"/>
        </w:rPr>
      </w:pPr>
    </w:p>
    <w:p w:rsidR="00CC24E1" w:rsidRDefault="00CC24E1" w:rsidP="008C780C">
      <w:pPr>
        <w:pStyle w:val="Prrafodelista"/>
        <w:numPr>
          <w:ilvl w:val="0"/>
          <w:numId w:val="11"/>
        </w:numPr>
        <w:spacing w:after="200"/>
        <w:rPr>
          <w:rFonts w:eastAsiaTheme="minorHAnsi" w:hAnsi="Arial" w:cs="Arial"/>
          <w:szCs w:val="22"/>
          <w:lang w:val="es-ES"/>
        </w:rPr>
      </w:pPr>
      <w:r w:rsidRPr="00806781">
        <w:rPr>
          <w:rFonts w:eastAsiaTheme="minorHAnsi" w:hAnsi="Arial" w:cs="Arial"/>
          <w:szCs w:val="22"/>
          <w:lang w:val="es-ES"/>
        </w:rPr>
        <w:t>El allanamiento de los Estado a las pretensiones de los peticionarios y el reconocimiento de los hechos que produjeron la violación a los derechos son muestras favorables de voluntad política.</w:t>
      </w:r>
    </w:p>
    <w:p w:rsidR="00CC24E1" w:rsidRPr="00CC24E1" w:rsidRDefault="00CC24E1" w:rsidP="00CC24E1">
      <w:pPr>
        <w:pStyle w:val="Prrafodelista"/>
        <w:rPr>
          <w:rFonts w:eastAsiaTheme="minorHAnsi" w:hAnsi="Arial" w:cs="Arial"/>
          <w:szCs w:val="22"/>
          <w:lang w:val="es-ES"/>
        </w:rPr>
      </w:pPr>
    </w:p>
    <w:p w:rsidR="00CC24E1" w:rsidRDefault="00CC24E1" w:rsidP="00CC24E1">
      <w:pPr>
        <w:pStyle w:val="Prrafodelista"/>
        <w:numPr>
          <w:ilvl w:val="0"/>
          <w:numId w:val="11"/>
        </w:numPr>
        <w:spacing w:after="200"/>
        <w:rPr>
          <w:rFonts w:eastAsiaTheme="minorHAnsi" w:hAnsi="Arial" w:cs="Arial"/>
          <w:szCs w:val="22"/>
          <w:lang w:val="es-ES"/>
        </w:rPr>
      </w:pPr>
      <w:r w:rsidRPr="00CC24E1">
        <w:rPr>
          <w:rFonts w:eastAsiaTheme="minorHAnsi" w:hAnsi="Arial" w:cs="Arial"/>
          <w:szCs w:val="22"/>
          <w:lang w:val="es-ES"/>
        </w:rPr>
        <w:t>La falta de voluntad política al cumplir las sentencias de la Corte IDH mantiene la impunidad que tiene una incidencia muy grave a nivel general pues no solo afecta a las víctimas en particular.</w:t>
      </w:r>
    </w:p>
    <w:p w:rsidR="00D05333" w:rsidRPr="00D05333" w:rsidRDefault="00D05333" w:rsidP="00D05333">
      <w:pPr>
        <w:pStyle w:val="Prrafodelista"/>
        <w:rPr>
          <w:rFonts w:eastAsiaTheme="minorHAnsi" w:hAnsi="Arial" w:cs="Arial"/>
          <w:szCs w:val="22"/>
          <w:lang w:val="es-ES"/>
        </w:rPr>
      </w:pPr>
    </w:p>
    <w:p w:rsidR="00806781" w:rsidRDefault="00D05333" w:rsidP="00D05333">
      <w:pPr>
        <w:pStyle w:val="Prrafodelista"/>
        <w:numPr>
          <w:ilvl w:val="0"/>
          <w:numId w:val="11"/>
        </w:numPr>
        <w:spacing w:after="200"/>
        <w:rPr>
          <w:rFonts w:eastAsiaTheme="minorHAnsi" w:hAnsi="Arial" w:cs="Arial"/>
          <w:szCs w:val="22"/>
          <w:lang w:val="es-ES"/>
        </w:rPr>
      </w:pPr>
      <w:r w:rsidRPr="00D05333">
        <w:rPr>
          <w:rFonts w:eastAsiaTheme="minorHAnsi" w:hAnsi="Arial" w:cs="Arial"/>
          <w:szCs w:val="22"/>
          <w:lang w:val="es-ES"/>
        </w:rPr>
        <w:t>El gran número de sentencias con cumplimiento parcial es un indicador de que los Estados responsables no niegan de forma directa sus obligaciones internacionales frente a la Corte IDH y a las víctimas, sin embargo este mismo hecho verifica la existencia de dificultades permanentes que pueden ser superadas partiendo por la voluntad política  para hacerlo.</w:t>
      </w:r>
    </w:p>
    <w:p w:rsidR="00D05333" w:rsidRPr="00D05333" w:rsidRDefault="00D05333" w:rsidP="00D05333">
      <w:pPr>
        <w:pStyle w:val="Prrafodelista"/>
        <w:rPr>
          <w:rFonts w:eastAsiaTheme="minorHAnsi" w:hAnsi="Arial" w:cs="Arial"/>
          <w:szCs w:val="22"/>
          <w:lang w:val="es-ES"/>
        </w:rPr>
      </w:pPr>
    </w:p>
    <w:p w:rsidR="00D05333" w:rsidRDefault="00D05333" w:rsidP="00D05333">
      <w:pPr>
        <w:pStyle w:val="Prrafodelista"/>
        <w:numPr>
          <w:ilvl w:val="0"/>
          <w:numId w:val="11"/>
        </w:numPr>
        <w:spacing w:after="200"/>
        <w:rPr>
          <w:rFonts w:eastAsiaTheme="minorHAnsi" w:hAnsi="Arial" w:cs="Arial"/>
          <w:szCs w:val="22"/>
          <w:lang w:val="es-ES"/>
        </w:rPr>
      </w:pPr>
      <w:r w:rsidRPr="00D05333">
        <w:rPr>
          <w:rFonts w:eastAsiaTheme="minorHAnsi" w:hAnsi="Arial" w:cs="Arial"/>
          <w:szCs w:val="22"/>
          <w:lang w:val="es-ES"/>
        </w:rPr>
        <w:t>La medida de reparación de investigar, juzgar y sancionar a los responsables es una de las obligaciones de mayor incumplimiento por parte de los Estados. El cumplimiento cabal de esta medida representa un gran compromiso para los Estados responsables pues supone la movilización de varias instituciones públicas además de la reactivación de casos archivados y el despliegue de todos los mecanismos posibles para lograr su ejecución.</w:t>
      </w:r>
    </w:p>
    <w:p w:rsidR="00D05333" w:rsidRPr="00D05333" w:rsidRDefault="00D05333" w:rsidP="00D05333">
      <w:pPr>
        <w:pStyle w:val="Prrafodelista"/>
        <w:rPr>
          <w:rFonts w:eastAsiaTheme="minorHAnsi" w:hAnsi="Arial" w:cs="Arial"/>
          <w:szCs w:val="22"/>
          <w:lang w:val="es-ES"/>
        </w:rPr>
      </w:pPr>
    </w:p>
    <w:p w:rsidR="00D05333" w:rsidRDefault="00D05333" w:rsidP="00D05333">
      <w:pPr>
        <w:pStyle w:val="Prrafodelista"/>
        <w:numPr>
          <w:ilvl w:val="0"/>
          <w:numId w:val="11"/>
        </w:numPr>
        <w:spacing w:after="200"/>
        <w:rPr>
          <w:rFonts w:eastAsiaTheme="minorHAnsi" w:hAnsi="Arial" w:cs="Arial"/>
          <w:szCs w:val="22"/>
          <w:lang w:val="es-ES"/>
        </w:rPr>
      </w:pPr>
      <w:r w:rsidRPr="00D05333">
        <w:rPr>
          <w:rFonts w:eastAsiaTheme="minorHAnsi" w:hAnsi="Arial" w:cs="Arial"/>
          <w:szCs w:val="22"/>
          <w:lang w:val="es-ES"/>
        </w:rPr>
        <w:t xml:space="preserve">Los problemas en materia de ejecución de sentencias surgen cuando en la normativa interna de los Estados responsables no se establecen mecanismos adecuados o específicos para su cumplimiento. </w:t>
      </w:r>
    </w:p>
    <w:p w:rsidR="00D05333" w:rsidRPr="00D05333" w:rsidRDefault="00D05333" w:rsidP="00D05333">
      <w:pPr>
        <w:pStyle w:val="Prrafodelista"/>
        <w:rPr>
          <w:rFonts w:eastAsiaTheme="minorHAnsi" w:hAnsi="Arial" w:cs="Arial"/>
          <w:szCs w:val="22"/>
          <w:lang w:val="es-ES"/>
        </w:rPr>
      </w:pPr>
    </w:p>
    <w:p w:rsidR="00D05333" w:rsidRDefault="00D05333" w:rsidP="00D05333">
      <w:pPr>
        <w:pStyle w:val="Prrafodelista"/>
        <w:numPr>
          <w:ilvl w:val="0"/>
          <w:numId w:val="11"/>
        </w:numPr>
        <w:spacing w:after="200"/>
        <w:rPr>
          <w:rFonts w:eastAsiaTheme="minorHAnsi" w:hAnsi="Arial" w:cs="Arial"/>
          <w:szCs w:val="22"/>
          <w:lang w:val="es-ES"/>
        </w:rPr>
      </w:pPr>
      <w:r w:rsidRPr="00D05333">
        <w:rPr>
          <w:rFonts w:eastAsiaTheme="minorHAnsi" w:hAnsi="Arial" w:cs="Arial"/>
          <w:szCs w:val="22"/>
          <w:lang w:val="es-ES"/>
        </w:rPr>
        <w:t xml:space="preserve">Al no establecerse una vía específica para ejecutar una medida de reparación, los órganos del Estado optan por los mecanismos habituales diseñados para la </w:t>
      </w:r>
      <w:r w:rsidRPr="00D05333">
        <w:rPr>
          <w:rFonts w:eastAsiaTheme="minorHAnsi" w:hAnsi="Arial" w:cs="Arial"/>
          <w:szCs w:val="22"/>
          <w:lang w:val="es-ES"/>
        </w:rPr>
        <w:lastRenderedPageBreak/>
        <w:t xml:space="preserve">realización de otras competencias lo que provoca que en el camino existan </w:t>
      </w:r>
      <w:proofErr w:type="spellStart"/>
      <w:r w:rsidRPr="00D05333">
        <w:rPr>
          <w:rFonts w:eastAsiaTheme="minorHAnsi" w:hAnsi="Arial" w:cs="Arial"/>
          <w:szCs w:val="22"/>
          <w:lang w:val="es-ES"/>
        </w:rPr>
        <w:t>vacios</w:t>
      </w:r>
      <w:proofErr w:type="spellEnd"/>
      <w:r w:rsidRPr="00D05333">
        <w:rPr>
          <w:rFonts w:eastAsiaTheme="minorHAnsi" w:hAnsi="Arial" w:cs="Arial"/>
          <w:szCs w:val="22"/>
          <w:lang w:val="es-ES"/>
        </w:rPr>
        <w:t xml:space="preserve"> en el procedimiento desnaturalizando el aspecto reparador de las medidas ordenadas.</w:t>
      </w:r>
    </w:p>
    <w:p w:rsidR="00D05333" w:rsidRPr="00D05333" w:rsidRDefault="00D05333" w:rsidP="00D05333">
      <w:pPr>
        <w:pStyle w:val="Prrafodelista"/>
        <w:rPr>
          <w:rFonts w:eastAsiaTheme="minorHAnsi" w:hAnsi="Arial" w:cs="Arial"/>
          <w:szCs w:val="22"/>
          <w:lang w:val="es-ES"/>
        </w:rPr>
      </w:pPr>
    </w:p>
    <w:p w:rsidR="00D05333" w:rsidRDefault="00D05333" w:rsidP="00D05333">
      <w:pPr>
        <w:pStyle w:val="Prrafodelista"/>
        <w:numPr>
          <w:ilvl w:val="0"/>
          <w:numId w:val="11"/>
        </w:numPr>
        <w:spacing w:after="200"/>
        <w:rPr>
          <w:rFonts w:eastAsiaTheme="minorHAnsi" w:hAnsi="Arial" w:cs="Arial"/>
          <w:szCs w:val="22"/>
          <w:lang w:val="es-ES"/>
        </w:rPr>
      </w:pPr>
      <w:r w:rsidRPr="00D05333">
        <w:rPr>
          <w:rFonts w:eastAsiaTheme="minorHAnsi" w:hAnsi="Arial" w:cs="Arial"/>
          <w:szCs w:val="22"/>
          <w:lang w:val="es-ES"/>
        </w:rPr>
        <w:t xml:space="preserve">Los Estados comúnmente reconocen y utilizan la indemnización como medida de reparación y está incluida en sus ordenamientos internos, pero no conocen las demás medidas que promueven una reparación integral ajustadas al estándar de protección que pretende la Corte IDH, de allí la dificultades que se encuentran para ejecutarlas. </w:t>
      </w:r>
    </w:p>
    <w:p w:rsidR="00D05333" w:rsidRPr="00D05333" w:rsidRDefault="00D05333" w:rsidP="00D05333">
      <w:pPr>
        <w:pStyle w:val="Prrafodelista"/>
        <w:rPr>
          <w:rFonts w:eastAsiaTheme="minorHAnsi" w:hAnsi="Arial" w:cs="Arial"/>
          <w:szCs w:val="22"/>
          <w:lang w:val="es-ES"/>
        </w:rPr>
      </w:pPr>
    </w:p>
    <w:p w:rsidR="005B62B3" w:rsidRDefault="00D05333" w:rsidP="005B62B3">
      <w:pPr>
        <w:pStyle w:val="Prrafodelista"/>
        <w:numPr>
          <w:ilvl w:val="0"/>
          <w:numId w:val="11"/>
        </w:numPr>
        <w:spacing w:after="200"/>
        <w:rPr>
          <w:rFonts w:eastAsiaTheme="minorHAnsi" w:hAnsi="Arial" w:cs="Arial"/>
          <w:szCs w:val="22"/>
          <w:lang w:val="es-ES"/>
        </w:rPr>
      </w:pPr>
      <w:r w:rsidRPr="00D05333">
        <w:rPr>
          <w:rFonts w:eastAsiaTheme="minorHAnsi" w:hAnsi="Arial" w:cs="Arial"/>
          <w:szCs w:val="22"/>
          <w:lang w:val="es-ES"/>
        </w:rPr>
        <w:t xml:space="preserve">En la aplicación de ciertas medidas de reparación es conveniente tomarse un tiempo prudente para definir los planes de ejecución, una acción acelerada podría no satisfacer a las víctimas o no reunir las condiciones esperadas por la Corte IDH.  </w:t>
      </w:r>
    </w:p>
    <w:p w:rsidR="00AD1A4C" w:rsidRPr="00AD1A4C" w:rsidRDefault="00AD1A4C" w:rsidP="00AD1A4C">
      <w:pPr>
        <w:pStyle w:val="Prrafodelista"/>
        <w:rPr>
          <w:rFonts w:eastAsiaTheme="minorHAnsi" w:hAnsi="Arial" w:cs="Arial"/>
          <w:szCs w:val="22"/>
          <w:lang w:val="es-ES"/>
        </w:rPr>
      </w:pPr>
    </w:p>
    <w:p w:rsidR="00AD1A4C" w:rsidRPr="00AD1A4C" w:rsidRDefault="00AD1A4C" w:rsidP="00AD1A4C">
      <w:pPr>
        <w:pStyle w:val="Prrafodelista"/>
        <w:spacing w:after="200"/>
        <w:ind w:left="720" w:firstLine="0"/>
        <w:rPr>
          <w:rFonts w:eastAsiaTheme="minorHAnsi" w:hAnsi="Arial" w:cs="Arial"/>
          <w:szCs w:val="22"/>
          <w:lang w:val="es-ES"/>
        </w:rPr>
      </w:pPr>
    </w:p>
    <w:p w:rsidR="00D05333" w:rsidRDefault="00D05333" w:rsidP="00693881">
      <w:pPr>
        <w:pStyle w:val="Prrafodelista"/>
        <w:numPr>
          <w:ilvl w:val="0"/>
          <w:numId w:val="11"/>
        </w:numPr>
        <w:spacing w:after="200"/>
        <w:rPr>
          <w:rFonts w:eastAsiaTheme="minorHAnsi" w:hAnsi="Arial" w:cs="Arial"/>
          <w:szCs w:val="22"/>
          <w:lang w:val="es-ES"/>
        </w:rPr>
      </w:pPr>
      <w:r w:rsidRPr="00D05333">
        <w:rPr>
          <w:rFonts w:eastAsiaTheme="minorHAnsi" w:hAnsi="Arial" w:cs="Arial"/>
          <w:szCs w:val="22"/>
          <w:lang w:val="es-ES"/>
        </w:rPr>
        <w:t>La base para iniciar un mecanismo adecuado para ejecutar las sentencias de la Corte IDH es una verdadera institucionalización de los órganos del Estado, ello implica además una determinación clara de sus competencias, lo que permite generar acuerdos y dinámicas positivas.</w:t>
      </w:r>
    </w:p>
    <w:p w:rsidR="00AD1A4C" w:rsidRPr="00693881" w:rsidRDefault="00AD1A4C" w:rsidP="00AD1A4C">
      <w:pPr>
        <w:pStyle w:val="Prrafodelista"/>
        <w:spacing w:after="200"/>
        <w:ind w:left="720" w:firstLine="0"/>
        <w:rPr>
          <w:rFonts w:eastAsiaTheme="minorHAnsi" w:hAnsi="Arial" w:cs="Arial"/>
          <w:szCs w:val="22"/>
          <w:lang w:val="es-ES"/>
        </w:rPr>
      </w:pPr>
    </w:p>
    <w:p w:rsidR="00AC7F9D" w:rsidRPr="00783008" w:rsidRDefault="00D05333" w:rsidP="00A95D1B">
      <w:pPr>
        <w:spacing w:after="200" w:line="360" w:lineRule="auto"/>
        <w:ind w:left="720" w:hanging="720"/>
        <w:jc w:val="both"/>
        <w:rPr>
          <w:rFonts w:ascii="Arial" w:eastAsiaTheme="minorHAnsi" w:hAnsi="Arial" w:cs="Arial"/>
          <w:b/>
          <w:sz w:val="22"/>
          <w:szCs w:val="22"/>
          <w:lang w:val="es-ES"/>
        </w:rPr>
      </w:pPr>
      <w:r w:rsidRPr="00783008">
        <w:rPr>
          <w:rFonts w:ascii="Arial" w:eastAsiaTheme="minorHAnsi" w:hAnsi="Arial" w:cs="Arial"/>
          <w:b/>
          <w:sz w:val="22"/>
          <w:szCs w:val="22"/>
          <w:lang w:val="es-ES"/>
        </w:rPr>
        <w:t>d)</w:t>
      </w:r>
      <w:r w:rsidRPr="00783008">
        <w:rPr>
          <w:rFonts w:ascii="Arial" w:eastAsiaTheme="minorHAnsi" w:hAnsi="Arial" w:cs="Arial"/>
          <w:b/>
          <w:sz w:val="22"/>
          <w:szCs w:val="22"/>
          <w:lang w:val="es-ES"/>
        </w:rPr>
        <w:tab/>
      </w:r>
      <w:r w:rsidR="00693881" w:rsidRPr="00783008">
        <w:rPr>
          <w:rFonts w:ascii="Arial" w:eastAsiaTheme="minorHAnsi" w:hAnsi="Arial" w:cs="Arial"/>
          <w:b/>
          <w:sz w:val="22"/>
          <w:szCs w:val="22"/>
          <w:lang w:val="es-ES"/>
        </w:rPr>
        <w:t>En cuanto a l</w:t>
      </w:r>
      <w:r w:rsidRPr="00783008">
        <w:rPr>
          <w:rFonts w:ascii="Arial" w:eastAsiaTheme="minorHAnsi" w:hAnsi="Arial" w:cs="Arial"/>
          <w:b/>
          <w:sz w:val="22"/>
          <w:szCs w:val="22"/>
          <w:lang w:val="es-ES"/>
        </w:rPr>
        <w:t>a ejecución de sentencias de la Corte IDH en el caso ecuatoriano</w:t>
      </w:r>
    </w:p>
    <w:p w:rsidR="00AC7F9D" w:rsidRDefault="00806781" w:rsidP="00AC7F9D">
      <w:pPr>
        <w:pStyle w:val="Prrafodelista"/>
        <w:numPr>
          <w:ilvl w:val="0"/>
          <w:numId w:val="14"/>
        </w:numPr>
        <w:spacing w:after="200"/>
        <w:rPr>
          <w:rFonts w:eastAsiaTheme="minorHAnsi" w:hAnsi="Arial" w:cs="Arial"/>
          <w:szCs w:val="22"/>
          <w:lang w:val="es-ES"/>
        </w:rPr>
      </w:pPr>
      <w:r w:rsidRPr="00AC7F9D">
        <w:rPr>
          <w:rFonts w:eastAsiaTheme="minorHAnsi" w:hAnsi="Arial" w:cs="Arial"/>
          <w:szCs w:val="22"/>
          <w:lang w:val="es-ES"/>
        </w:rPr>
        <w:t xml:space="preserve">Tan solo en los casos Acosta Calderón y Mejía </w:t>
      </w:r>
      <w:proofErr w:type="spellStart"/>
      <w:r w:rsidRPr="00AC7F9D">
        <w:rPr>
          <w:rFonts w:eastAsiaTheme="minorHAnsi" w:hAnsi="Arial" w:cs="Arial"/>
          <w:szCs w:val="22"/>
          <w:lang w:val="es-ES"/>
        </w:rPr>
        <w:t>Idrovo</w:t>
      </w:r>
      <w:proofErr w:type="spellEnd"/>
      <w:r w:rsidRPr="00AC7F9D">
        <w:rPr>
          <w:rFonts w:eastAsiaTheme="minorHAnsi" w:hAnsi="Arial" w:cs="Arial"/>
          <w:szCs w:val="22"/>
          <w:lang w:val="es-ES"/>
        </w:rPr>
        <w:t xml:space="preserve"> de los once hasta la actualidad donde la Corte IDH ha determinado la responsabilidad internacional del Ecuador, se ha declarado la terminación de las caus</w:t>
      </w:r>
      <w:r w:rsidR="00AC7F9D">
        <w:rPr>
          <w:rFonts w:eastAsiaTheme="minorHAnsi" w:hAnsi="Arial" w:cs="Arial"/>
          <w:szCs w:val="22"/>
          <w:lang w:val="es-ES"/>
        </w:rPr>
        <w:t>as por cumplimiento total de la sentencia</w:t>
      </w:r>
      <w:r w:rsidRPr="00AC7F9D">
        <w:rPr>
          <w:rFonts w:eastAsiaTheme="minorHAnsi" w:hAnsi="Arial" w:cs="Arial"/>
          <w:szCs w:val="22"/>
          <w:lang w:val="es-ES"/>
        </w:rPr>
        <w:t xml:space="preserve">. </w:t>
      </w:r>
    </w:p>
    <w:p w:rsidR="00AC7F9D" w:rsidRDefault="00AC7F9D" w:rsidP="00AC7F9D">
      <w:pPr>
        <w:pStyle w:val="Prrafodelista"/>
        <w:spacing w:after="200"/>
        <w:ind w:left="720" w:firstLine="0"/>
        <w:rPr>
          <w:rFonts w:eastAsiaTheme="minorHAnsi" w:hAnsi="Arial" w:cs="Arial"/>
          <w:szCs w:val="22"/>
          <w:lang w:val="es-ES"/>
        </w:rPr>
      </w:pPr>
    </w:p>
    <w:p w:rsidR="00AC7F9D" w:rsidRDefault="00806781" w:rsidP="00AC7F9D">
      <w:pPr>
        <w:pStyle w:val="Prrafodelista"/>
        <w:numPr>
          <w:ilvl w:val="0"/>
          <w:numId w:val="14"/>
        </w:numPr>
        <w:spacing w:after="200"/>
        <w:rPr>
          <w:rFonts w:eastAsiaTheme="minorHAnsi" w:hAnsi="Arial" w:cs="Arial"/>
          <w:szCs w:val="22"/>
          <w:lang w:val="es-ES"/>
        </w:rPr>
      </w:pPr>
      <w:r w:rsidRPr="00AC7F9D">
        <w:rPr>
          <w:rFonts w:eastAsiaTheme="minorHAnsi" w:hAnsi="Arial" w:cs="Arial"/>
          <w:szCs w:val="22"/>
          <w:lang w:val="es-ES"/>
        </w:rPr>
        <w:t>En los casos Suarez Rosero, Benavides Cevallos, Tibi y Zambrano Vélez queda pendiente la obligación del Estado ecuatoriano de investigar, juzgar y sancionar a los responsables de las violaciones.</w:t>
      </w:r>
    </w:p>
    <w:p w:rsidR="00AC7F9D" w:rsidRPr="00AC7F9D" w:rsidRDefault="00AC7F9D" w:rsidP="00AC7F9D">
      <w:pPr>
        <w:pStyle w:val="Prrafodelista"/>
        <w:rPr>
          <w:rFonts w:eastAsiaTheme="minorHAnsi" w:hAnsi="Arial" w:cs="Arial"/>
          <w:szCs w:val="22"/>
          <w:lang w:val="es-ES"/>
        </w:rPr>
      </w:pPr>
    </w:p>
    <w:p w:rsidR="00AC7F9D" w:rsidRDefault="00806781" w:rsidP="00AC7F9D">
      <w:pPr>
        <w:pStyle w:val="Prrafodelista"/>
        <w:numPr>
          <w:ilvl w:val="0"/>
          <w:numId w:val="14"/>
        </w:numPr>
        <w:spacing w:after="200"/>
        <w:rPr>
          <w:rFonts w:eastAsiaTheme="minorHAnsi" w:hAnsi="Arial" w:cs="Arial"/>
          <w:szCs w:val="22"/>
          <w:lang w:val="es-ES"/>
        </w:rPr>
      </w:pPr>
      <w:r w:rsidRPr="00AC7F9D">
        <w:rPr>
          <w:rFonts w:eastAsiaTheme="minorHAnsi" w:hAnsi="Arial" w:cs="Arial"/>
          <w:szCs w:val="22"/>
          <w:lang w:val="es-ES"/>
        </w:rPr>
        <w:t xml:space="preserve">Ecuador no desconoce de forma absoluta sus obligaciones internacionales, la falta de cumplimiento total de las sentencias de la Corte IDH se debe en su </w:t>
      </w:r>
      <w:r w:rsidRPr="00AC7F9D">
        <w:rPr>
          <w:rFonts w:eastAsiaTheme="minorHAnsi" w:hAnsi="Arial" w:cs="Arial"/>
          <w:szCs w:val="22"/>
          <w:lang w:val="es-ES"/>
        </w:rPr>
        <w:lastRenderedPageBreak/>
        <w:t>mayoría a problemas que surgen en los procesos de ejecución de las medidas de reparación.</w:t>
      </w:r>
    </w:p>
    <w:p w:rsidR="00AC7F9D" w:rsidRPr="00AC7F9D" w:rsidRDefault="00AC7F9D" w:rsidP="00AC7F9D">
      <w:pPr>
        <w:pStyle w:val="Prrafodelista"/>
        <w:rPr>
          <w:rFonts w:eastAsiaTheme="minorHAnsi" w:hAnsi="Arial" w:cs="Arial"/>
          <w:szCs w:val="22"/>
          <w:lang w:val="es-ES"/>
        </w:rPr>
      </w:pPr>
    </w:p>
    <w:p w:rsidR="00693881" w:rsidRPr="005C25AA" w:rsidRDefault="00806781" w:rsidP="00806781">
      <w:pPr>
        <w:pStyle w:val="Prrafodelista"/>
        <w:numPr>
          <w:ilvl w:val="0"/>
          <w:numId w:val="14"/>
        </w:numPr>
        <w:spacing w:after="200"/>
        <w:rPr>
          <w:rFonts w:eastAsiaTheme="minorHAnsi" w:hAnsi="Arial" w:cs="Arial"/>
          <w:szCs w:val="22"/>
          <w:lang w:val="es-ES"/>
        </w:rPr>
      </w:pPr>
      <w:r w:rsidRPr="00AC7F9D">
        <w:rPr>
          <w:rFonts w:eastAsiaTheme="minorHAnsi" w:hAnsi="Arial" w:cs="Arial"/>
          <w:szCs w:val="22"/>
          <w:lang w:val="es-ES"/>
        </w:rPr>
        <w:t>El Ministerio de Justicia, Derechos Humanos y Cultos, no cuenta con las atribuciones suficientes para cumplir su responsabilidad de ejecutar las sentencias de la Corte IDH.</w:t>
      </w:r>
    </w:p>
    <w:p w:rsidR="00806781" w:rsidRDefault="00806781" w:rsidP="00C45A27">
      <w:pPr>
        <w:pStyle w:val="Ttulo1"/>
        <w:spacing w:line="360" w:lineRule="auto"/>
        <w:jc w:val="both"/>
        <w:rPr>
          <w:rFonts w:ascii="Arial" w:eastAsiaTheme="minorHAnsi" w:hAnsi="Arial" w:cs="Arial"/>
          <w:color w:val="auto"/>
          <w:sz w:val="26"/>
          <w:szCs w:val="26"/>
          <w:lang w:val="es-ES"/>
        </w:rPr>
      </w:pPr>
      <w:bookmarkStart w:id="39" w:name="_Toc356432276"/>
      <w:r w:rsidRPr="00C45A27">
        <w:rPr>
          <w:rFonts w:ascii="Arial" w:eastAsiaTheme="minorHAnsi" w:hAnsi="Arial" w:cs="Arial"/>
          <w:color w:val="auto"/>
          <w:sz w:val="26"/>
          <w:szCs w:val="26"/>
          <w:lang w:val="es-ES"/>
        </w:rPr>
        <w:t>RECOMENDACIONES</w:t>
      </w:r>
      <w:bookmarkEnd w:id="39"/>
    </w:p>
    <w:p w:rsidR="009C695E" w:rsidRPr="00C45A27" w:rsidRDefault="009C695E" w:rsidP="00C45A27">
      <w:pPr>
        <w:rPr>
          <w:rFonts w:eastAsiaTheme="minorHAnsi"/>
          <w:lang w:val="es-ES"/>
        </w:rPr>
      </w:pPr>
    </w:p>
    <w:p w:rsidR="00806781" w:rsidRPr="00806781" w:rsidRDefault="00806781" w:rsidP="00806781">
      <w:pPr>
        <w:spacing w:after="200" w:line="360" w:lineRule="auto"/>
        <w:ind w:left="705" w:hanging="705"/>
        <w:jc w:val="both"/>
        <w:rPr>
          <w:rFonts w:ascii="Arial" w:eastAsiaTheme="minorHAnsi" w:hAnsi="Arial" w:cs="Arial"/>
          <w:sz w:val="22"/>
          <w:szCs w:val="22"/>
          <w:lang w:val="es-ES"/>
        </w:rPr>
      </w:pPr>
      <w:r w:rsidRPr="00806781">
        <w:rPr>
          <w:rFonts w:ascii="Arial" w:eastAsiaTheme="minorHAnsi" w:hAnsi="Arial" w:cs="Arial"/>
          <w:sz w:val="22"/>
          <w:szCs w:val="22"/>
          <w:lang w:val="es-ES"/>
        </w:rPr>
        <w:t xml:space="preserve">- </w:t>
      </w:r>
      <w:r w:rsidRPr="00806781">
        <w:rPr>
          <w:rFonts w:ascii="Arial" w:eastAsiaTheme="minorHAnsi" w:hAnsi="Arial" w:cs="Arial"/>
          <w:sz w:val="22"/>
          <w:szCs w:val="22"/>
          <w:lang w:val="es-ES"/>
        </w:rPr>
        <w:tab/>
        <w:t>La función de administración de justicia del Ecuador debería implementar con regularidad la jurisprudencia de la Corte IDH en sus decisiones, ello con el fin de ir a la par en el desarrollo regional en cuanto a la protección de derechos humanos y porque constituye una obligación internacional aplicar de manera directa los criterios interpretativos de los Jueces de la Corte IDH ya que complementan los preceptos de la Convención Americana sobre Derechos Humanos. Además</w:t>
      </w:r>
      <w:r w:rsidR="009B4FD1">
        <w:rPr>
          <w:rFonts w:ascii="Arial" w:eastAsiaTheme="minorHAnsi" w:hAnsi="Arial" w:cs="Arial"/>
          <w:sz w:val="22"/>
          <w:szCs w:val="22"/>
          <w:lang w:val="es-ES"/>
        </w:rPr>
        <w:t>,</w:t>
      </w:r>
      <w:r w:rsidRPr="00806781">
        <w:rPr>
          <w:rFonts w:ascii="Arial" w:eastAsiaTheme="minorHAnsi" w:hAnsi="Arial" w:cs="Arial"/>
          <w:sz w:val="22"/>
          <w:szCs w:val="22"/>
          <w:lang w:val="es-ES"/>
        </w:rPr>
        <w:t xml:space="preserve"> un mayor entendimiento y aplicación de los cr</w:t>
      </w:r>
      <w:r w:rsidR="009B4FD1">
        <w:rPr>
          <w:rFonts w:ascii="Arial" w:eastAsiaTheme="minorHAnsi" w:hAnsi="Arial" w:cs="Arial"/>
          <w:sz w:val="22"/>
          <w:szCs w:val="22"/>
          <w:lang w:val="es-ES"/>
        </w:rPr>
        <w:t xml:space="preserve">iterios </w:t>
      </w:r>
      <w:proofErr w:type="spellStart"/>
      <w:r w:rsidR="009B4FD1">
        <w:rPr>
          <w:rFonts w:ascii="Arial" w:eastAsiaTheme="minorHAnsi" w:hAnsi="Arial" w:cs="Arial"/>
          <w:sz w:val="22"/>
          <w:szCs w:val="22"/>
          <w:lang w:val="es-ES"/>
        </w:rPr>
        <w:t>reparatorios</w:t>
      </w:r>
      <w:proofErr w:type="spellEnd"/>
      <w:r w:rsidR="009B4FD1">
        <w:rPr>
          <w:rFonts w:ascii="Arial" w:eastAsiaTheme="minorHAnsi" w:hAnsi="Arial" w:cs="Arial"/>
          <w:sz w:val="22"/>
          <w:szCs w:val="22"/>
          <w:lang w:val="es-ES"/>
        </w:rPr>
        <w:t xml:space="preserve"> facilitará</w:t>
      </w:r>
      <w:r w:rsidRPr="00806781">
        <w:rPr>
          <w:rFonts w:ascii="Arial" w:eastAsiaTheme="minorHAnsi" w:hAnsi="Arial" w:cs="Arial"/>
          <w:sz w:val="22"/>
          <w:szCs w:val="22"/>
          <w:lang w:val="es-ES"/>
        </w:rPr>
        <w:t xml:space="preserve"> la ejecución de medidas contribuyendo al cumplimiento pleno de las sentencias de la Corte IDH.</w:t>
      </w:r>
    </w:p>
    <w:p w:rsidR="00806781" w:rsidRPr="00806781" w:rsidRDefault="00806781" w:rsidP="00806781">
      <w:pPr>
        <w:spacing w:after="200" w:line="360" w:lineRule="auto"/>
        <w:ind w:left="705" w:hanging="705"/>
        <w:jc w:val="both"/>
        <w:rPr>
          <w:rFonts w:ascii="Arial" w:eastAsiaTheme="minorHAnsi" w:hAnsi="Arial" w:cs="Arial"/>
          <w:sz w:val="22"/>
          <w:szCs w:val="22"/>
          <w:lang w:val="es-ES"/>
        </w:rPr>
      </w:pPr>
      <w:r w:rsidRPr="00806781">
        <w:rPr>
          <w:rFonts w:ascii="Arial" w:eastAsiaTheme="minorHAnsi" w:hAnsi="Arial" w:cs="Arial"/>
          <w:sz w:val="22"/>
          <w:szCs w:val="22"/>
          <w:lang w:val="es-ES"/>
        </w:rPr>
        <w:t xml:space="preserve">- </w:t>
      </w:r>
      <w:r w:rsidRPr="00806781">
        <w:rPr>
          <w:rFonts w:ascii="Arial" w:eastAsiaTheme="minorHAnsi" w:hAnsi="Arial" w:cs="Arial"/>
          <w:sz w:val="22"/>
          <w:szCs w:val="22"/>
          <w:lang w:val="es-ES"/>
        </w:rPr>
        <w:tab/>
        <w:t xml:space="preserve">En los procesos de ejecución de las sentencias de la Corte IDH, representaría un gran avance y mostraría voluntad política de cumplir tales sentencias que el Estado ecuatoriano inmediatamente declarada su responsabilidad internacional, presente a la Corte IDH una propuesta de cumplimiento donde consten las vías idóneas de ejecución y cronogramas adecuados para este fin. </w:t>
      </w:r>
    </w:p>
    <w:p w:rsidR="00806781" w:rsidRPr="00806781" w:rsidRDefault="00806781" w:rsidP="00806781">
      <w:pPr>
        <w:spacing w:after="200" w:line="360" w:lineRule="auto"/>
        <w:ind w:left="705" w:hanging="705"/>
        <w:jc w:val="both"/>
        <w:rPr>
          <w:rFonts w:ascii="Arial" w:eastAsiaTheme="minorHAnsi" w:hAnsi="Arial" w:cs="Arial"/>
          <w:sz w:val="22"/>
          <w:szCs w:val="22"/>
          <w:lang w:val="es-ES"/>
        </w:rPr>
      </w:pPr>
      <w:r w:rsidRPr="00806781">
        <w:rPr>
          <w:rFonts w:ascii="Arial" w:eastAsiaTheme="minorHAnsi" w:hAnsi="Arial" w:cs="Arial"/>
          <w:sz w:val="22"/>
          <w:szCs w:val="22"/>
          <w:lang w:val="es-ES"/>
        </w:rPr>
        <w:t xml:space="preserve">- </w:t>
      </w:r>
      <w:r w:rsidRPr="00806781">
        <w:rPr>
          <w:rFonts w:ascii="Arial" w:eastAsiaTheme="minorHAnsi" w:hAnsi="Arial" w:cs="Arial"/>
          <w:sz w:val="22"/>
          <w:szCs w:val="22"/>
          <w:lang w:val="es-ES"/>
        </w:rPr>
        <w:tab/>
        <w:t>En caso de responsabilidad internacional el Estado ecuatoriano debería actuar de manera conjunta con todas las instituciones involucradas en la ejecuci</w:t>
      </w:r>
      <w:r w:rsidR="007261E7">
        <w:rPr>
          <w:rFonts w:ascii="Arial" w:eastAsiaTheme="minorHAnsi" w:hAnsi="Arial" w:cs="Arial"/>
          <w:sz w:val="22"/>
          <w:szCs w:val="22"/>
          <w:lang w:val="es-ES"/>
        </w:rPr>
        <w:t>ón de las sentencias para presentar</w:t>
      </w:r>
      <w:r w:rsidRPr="00806781">
        <w:rPr>
          <w:rFonts w:ascii="Arial" w:eastAsiaTheme="minorHAnsi" w:hAnsi="Arial" w:cs="Arial"/>
          <w:sz w:val="22"/>
          <w:szCs w:val="22"/>
          <w:lang w:val="es-ES"/>
        </w:rPr>
        <w:t xml:space="preserve"> ante la Corte IDH una respuesta de Estado, en lugar de dejar tal responsabilidad a determinados órganos y funcionarios. </w:t>
      </w:r>
      <w:r w:rsidR="00395CBC">
        <w:rPr>
          <w:rFonts w:ascii="Arial" w:eastAsiaTheme="minorHAnsi" w:hAnsi="Arial" w:cs="Arial"/>
          <w:sz w:val="22"/>
          <w:szCs w:val="22"/>
          <w:lang w:val="es-ES"/>
        </w:rPr>
        <w:t xml:space="preserve">Sería conveniente contar con un consejo que reúna a los titulares de cada órgano involucrado para que las acciones se realicen de manera coordinada siguiendo un objetivo común. Además convendría </w:t>
      </w:r>
      <w:r w:rsidR="00BD7705">
        <w:rPr>
          <w:rFonts w:ascii="Arial" w:eastAsiaTheme="minorHAnsi" w:hAnsi="Arial" w:cs="Arial"/>
          <w:sz w:val="22"/>
          <w:szCs w:val="22"/>
          <w:lang w:val="es-ES"/>
        </w:rPr>
        <w:t>dotar a dicho consejo del</w:t>
      </w:r>
      <w:r w:rsidR="00395CBC">
        <w:rPr>
          <w:rFonts w:ascii="Arial" w:eastAsiaTheme="minorHAnsi" w:hAnsi="Arial" w:cs="Arial"/>
          <w:sz w:val="22"/>
          <w:szCs w:val="22"/>
          <w:lang w:val="es-ES"/>
        </w:rPr>
        <w:t xml:space="preserve"> </w:t>
      </w:r>
      <w:r w:rsidR="00BD7705">
        <w:rPr>
          <w:rFonts w:ascii="Arial" w:eastAsiaTheme="minorHAnsi" w:hAnsi="Arial" w:cs="Arial"/>
          <w:sz w:val="22"/>
          <w:szCs w:val="22"/>
          <w:lang w:val="es-ES"/>
        </w:rPr>
        <w:t>poder necesario</w:t>
      </w:r>
      <w:r w:rsidR="00395CBC">
        <w:rPr>
          <w:rFonts w:ascii="Arial" w:eastAsiaTheme="minorHAnsi" w:hAnsi="Arial" w:cs="Arial"/>
          <w:sz w:val="22"/>
          <w:szCs w:val="22"/>
          <w:lang w:val="es-ES"/>
        </w:rPr>
        <w:t xml:space="preserve"> para </w:t>
      </w:r>
      <w:r w:rsidR="00BD7705">
        <w:rPr>
          <w:rFonts w:ascii="Arial" w:eastAsiaTheme="minorHAnsi" w:hAnsi="Arial" w:cs="Arial"/>
          <w:sz w:val="22"/>
          <w:szCs w:val="22"/>
          <w:lang w:val="es-ES"/>
        </w:rPr>
        <w:t xml:space="preserve">establecer sanciones a los órganos que incumplan sus </w:t>
      </w:r>
      <w:r w:rsidR="00F04A92">
        <w:rPr>
          <w:rFonts w:ascii="Arial" w:eastAsiaTheme="minorHAnsi" w:hAnsi="Arial" w:cs="Arial"/>
          <w:sz w:val="22"/>
          <w:szCs w:val="22"/>
          <w:lang w:val="es-ES"/>
        </w:rPr>
        <w:t>responsabilidades de forma injustificada.</w:t>
      </w:r>
      <w:r w:rsidR="00BD7705">
        <w:rPr>
          <w:rFonts w:ascii="Arial" w:eastAsiaTheme="minorHAnsi" w:hAnsi="Arial" w:cs="Arial"/>
          <w:sz w:val="22"/>
          <w:szCs w:val="22"/>
          <w:lang w:val="es-ES"/>
        </w:rPr>
        <w:t xml:space="preserve"> </w:t>
      </w:r>
      <w:r w:rsidR="00420AE7">
        <w:rPr>
          <w:rFonts w:ascii="Arial" w:eastAsiaTheme="minorHAnsi" w:hAnsi="Arial" w:cs="Arial"/>
          <w:sz w:val="22"/>
          <w:szCs w:val="22"/>
          <w:lang w:val="es-ES"/>
        </w:rPr>
        <w:t xml:space="preserve">El tratamiento pormenorizado y a profundidad de la posibilidad de implementar este consejo </w:t>
      </w:r>
      <w:r w:rsidR="005B014F">
        <w:rPr>
          <w:rFonts w:ascii="Arial" w:eastAsiaTheme="minorHAnsi" w:hAnsi="Arial" w:cs="Arial"/>
          <w:sz w:val="22"/>
          <w:szCs w:val="22"/>
          <w:lang w:val="es-ES"/>
        </w:rPr>
        <w:t xml:space="preserve">puede ser un interesante tema de disertación, analizando desde su viabilidad hasta los beneficios que traería para el Ecuador el </w:t>
      </w:r>
      <w:r w:rsidR="005B014F">
        <w:rPr>
          <w:rFonts w:ascii="Arial" w:eastAsiaTheme="minorHAnsi" w:hAnsi="Arial" w:cs="Arial"/>
          <w:sz w:val="22"/>
          <w:szCs w:val="22"/>
          <w:lang w:val="es-ES"/>
        </w:rPr>
        <w:lastRenderedPageBreak/>
        <w:t>contar con un órgano especializado para la ejecución de sentencias de la Corte IDH y las recomendaciones de la CIDH.</w:t>
      </w:r>
    </w:p>
    <w:p w:rsidR="00806781" w:rsidRPr="00806781" w:rsidRDefault="00D86FA6" w:rsidP="00806781">
      <w:pPr>
        <w:spacing w:after="200" w:line="360" w:lineRule="auto"/>
        <w:ind w:left="705" w:hanging="705"/>
        <w:jc w:val="both"/>
        <w:rPr>
          <w:rFonts w:ascii="Arial" w:eastAsiaTheme="minorHAnsi" w:hAnsi="Arial" w:cs="Arial"/>
          <w:sz w:val="22"/>
          <w:szCs w:val="22"/>
          <w:lang w:val="es-ES"/>
        </w:rPr>
      </w:pPr>
      <w:r>
        <w:rPr>
          <w:rFonts w:ascii="Arial" w:eastAsiaTheme="minorHAnsi" w:hAnsi="Arial" w:cs="Arial"/>
          <w:sz w:val="22"/>
          <w:szCs w:val="22"/>
          <w:lang w:val="es-ES"/>
        </w:rPr>
        <w:t xml:space="preserve">-  </w:t>
      </w:r>
      <w:r>
        <w:rPr>
          <w:rFonts w:ascii="Arial" w:eastAsiaTheme="minorHAnsi" w:hAnsi="Arial" w:cs="Arial"/>
          <w:sz w:val="22"/>
          <w:szCs w:val="22"/>
          <w:lang w:val="es-ES"/>
        </w:rPr>
        <w:tab/>
        <w:t>El G</w:t>
      </w:r>
      <w:r w:rsidR="00806781" w:rsidRPr="00806781">
        <w:rPr>
          <w:rFonts w:ascii="Arial" w:eastAsiaTheme="minorHAnsi" w:hAnsi="Arial" w:cs="Arial"/>
          <w:sz w:val="22"/>
          <w:szCs w:val="22"/>
          <w:lang w:val="es-ES"/>
        </w:rPr>
        <w:t>obierno ecuatoriano debe considerar una verdadera política de estado, traducida en un plan nacional de derechos humanos que inc</w:t>
      </w:r>
      <w:r>
        <w:rPr>
          <w:rFonts w:ascii="Arial" w:eastAsiaTheme="minorHAnsi" w:hAnsi="Arial" w:cs="Arial"/>
          <w:sz w:val="22"/>
          <w:szCs w:val="22"/>
          <w:lang w:val="es-ES"/>
        </w:rPr>
        <w:t>luya a todos los organismos de E</w:t>
      </w:r>
      <w:r w:rsidR="00806781" w:rsidRPr="00806781">
        <w:rPr>
          <w:rFonts w:ascii="Arial" w:eastAsiaTheme="minorHAnsi" w:hAnsi="Arial" w:cs="Arial"/>
          <w:sz w:val="22"/>
          <w:szCs w:val="22"/>
          <w:lang w:val="es-ES"/>
        </w:rPr>
        <w:t xml:space="preserve">stado que puedan aportar no solo en la ejecución de sentencias de la Corte IDH sino también generando propuestas que no provengan únicamente del ejecutivo. La voluntad política para lograr este fin debe expresarse por medio de la implementación de políticas preventivas, además del reforzamiento de instituciones y capacitación de funcionarios públicos. </w:t>
      </w:r>
    </w:p>
    <w:p w:rsidR="00806781" w:rsidRDefault="00806781" w:rsidP="00806781">
      <w:pPr>
        <w:spacing w:after="200" w:line="360" w:lineRule="auto"/>
        <w:ind w:left="705" w:hanging="705"/>
        <w:jc w:val="both"/>
        <w:rPr>
          <w:rFonts w:ascii="Arial" w:eastAsiaTheme="minorHAnsi" w:hAnsi="Arial" w:cs="Arial"/>
          <w:sz w:val="22"/>
          <w:szCs w:val="22"/>
          <w:lang w:val="es-ES"/>
        </w:rPr>
      </w:pPr>
      <w:r w:rsidRPr="00806781">
        <w:rPr>
          <w:rFonts w:ascii="Arial" w:eastAsiaTheme="minorHAnsi" w:hAnsi="Arial" w:cs="Arial"/>
          <w:sz w:val="22"/>
          <w:szCs w:val="22"/>
          <w:lang w:val="es-ES"/>
        </w:rPr>
        <w:t xml:space="preserve">- </w:t>
      </w:r>
      <w:r w:rsidRPr="00806781">
        <w:rPr>
          <w:rFonts w:ascii="Arial" w:eastAsiaTheme="minorHAnsi" w:hAnsi="Arial" w:cs="Arial"/>
          <w:sz w:val="22"/>
          <w:szCs w:val="22"/>
          <w:lang w:val="es-ES"/>
        </w:rPr>
        <w:tab/>
        <w:t>La sociedad civil en general y las organizaciones de derechos humanos deben mantener una postura firme de exigencia en cuanto al reconocimiento, respeto y protección a los derechos fu</w:t>
      </w:r>
      <w:r w:rsidR="007261E7">
        <w:rPr>
          <w:rFonts w:ascii="Arial" w:eastAsiaTheme="minorHAnsi" w:hAnsi="Arial" w:cs="Arial"/>
          <w:sz w:val="22"/>
          <w:szCs w:val="22"/>
          <w:lang w:val="es-ES"/>
        </w:rPr>
        <w:t>ndamentales. Una constante pre</w:t>
      </w:r>
      <w:r w:rsidRPr="00806781">
        <w:rPr>
          <w:rFonts w:ascii="Arial" w:eastAsiaTheme="minorHAnsi" w:hAnsi="Arial" w:cs="Arial"/>
          <w:sz w:val="22"/>
          <w:szCs w:val="22"/>
          <w:lang w:val="es-ES"/>
        </w:rPr>
        <w:t>sión sobre el gobierno y además sobre el Sistema IDH, producirá efectos positivos, pues se pone en evidencia una actitud activa y dinámica frente a los abusos cometidos contra los derechos humanos. En la medida en que esta exigencia sea permanente se puede modificar la voluntad política del Estado y forzar a que se incluya en su agenda de forma prioritaria la necesidad de cambios y reformas, y sobre todo no permitir retrocesos o restricciones a los derechos pues uno de los principales objetivos de los instrumentos internacionales es su consta</w:t>
      </w:r>
      <w:r w:rsidR="00D86FA6">
        <w:rPr>
          <w:rFonts w:ascii="Arial" w:eastAsiaTheme="minorHAnsi" w:hAnsi="Arial" w:cs="Arial"/>
          <w:sz w:val="22"/>
          <w:szCs w:val="22"/>
          <w:lang w:val="es-ES"/>
        </w:rPr>
        <w:t>n</w:t>
      </w:r>
      <w:r w:rsidRPr="00806781">
        <w:rPr>
          <w:rFonts w:ascii="Arial" w:eastAsiaTheme="minorHAnsi" w:hAnsi="Arial" w:cs="Arial"/>
          <w:sz w:val="22"/>
          <w:szCs w:val="22"/>
          <w:lang w:val="es-ES"/>
        </w:rPr>
        <w:t xml:space="preserve">te y permanente progreso. </w:t>
      </w:r>
    </w:p>
    <w:p w:rsidR="00B9512B" w:rsidRDefault="009A324A" w:rsidP="009A324A">
      <w:pPr>
        <w:pStyle w:val="Sinespaciado"/>
        <w:spacing w:line="360" w:lineRule="auto"/>
        <w:ind w:left="705" w:hanging="705"/>
        <w:jc w:val="both"/>
        <w:rPr>
          <w:rFonts w:ascii="Arial" w:eastAsia="Arial Unicode MS" w:hAnsi="Arial" w:cs="Arial"/>
          <w:sz w:val="22"/>
          <w:szCs w:val="22"/>
          <w:lang w:val="es-ES" w:eastAsia="es-ES"/>
        </w:rPr>
      </w:pPr>
      <w:r>
        <w:rPr>
          <w:rFonts w:ascii="Arial" w:eastAsiaTheme="minorHAnsi" w:hAnsi="Arial" w:cs="Arial"/>
          <w:sz w:val="22"/>
          <w:szCs w:val="22"/>
          <w:lang w:val="es-ES"/>
        </w:rPr>
        <w:t xml:space="preserve">- </w:t>
      </w:r>
      <w:r>
        <w:rPr>
          <w:rFonts w:ascii="Arial" w:eastAsiaTheme="minorHAnsi" w:hAnsi="Arial" w:cs="Arial"/>
          <w:sz w:val="22"/>
          <w:szCs w:val="22"/>
          <w:lang w:val="es-ES"/>
        </w:rPr>
        <w:tab/>
      </w:r>
      <w:r w:rsidR="00B9512B">
        <w:rPr>
          <w:rFonts w:ascii="Arial" w:eastAsiaTheme="minorHAnsi" w:hAnsi="Arial" w:cs="Arial"/>
          <w:sz w:val="22"/>
          <w:szCs w:val="22"/>
          <w:lang w:val="es-ES"/>
        </w:rPr>
        <w:t>Sobre el papel de la Corte IDH en la reparación integral a las víctimas, sería conveniente</w:t>
      </w:r>
      <w:r w:rsidR="00B9512B">
        <w:rPr>
          <w:rFonts w:ascii="Arial" w:eastAsia="Arial Unicode MS" w:hAnsi="Arial" w:cs="Arial"/>
          <w:sz w:val="22"/>
          <w:szCs w:val="22"/>
          <w:lang w:val="es-ES" w:eastAsia="es-ES"/>
        </w:rPr>
        <w:t xml:space="preserve"> que las audiencias en las que</w:t>
      </w:r>
      <w:r w:rsidRPr="00B9512B">
        <w:rPr>
          <w:rFonts w:ascii="Arial" w:eastAsia="Arial Unicode MS" w:hAnsi="Arial" w:cs="Arial"/>
          <w:sz w:val="22"/>
          <w:szCs w:val="22"/>
          <w:lang w:val="es-ES" w:eastAsia="es-ES"/>
        </w:rPr>
        <w:t xml:space="preserve"> se analiza el fondo del asunto y las reparaciones se realicen </w:t>
      </w:r>
      <w:r w:rsidR="00B9512B">
        <w:rPr>
          <w:rFonts w:ascii="Arial" w:eastAsia="Arial Unicode MS" w:hAnsi="Arial" w:cs="Arial"/>
          <w:sz w:val="22"/>
          <w:szCs w:val="22"/>
          <w:lang w:val="es-ES" w:eastAsia="es-ES"/>
        </w:rPr>
        <w:t>siempre en un</w:t>
      </w:r>
      <w:r w:rsidRPr="00B9512B">
        <w:rPr>
          <w:rFonts w:ascii="Arial" w:eastAsia="Arial Unicode MS" w:hAnsi="Arial" w:cs="Arial"/>
          <w:sz w:val="22"/>
          <w:szCs w:val="22"/>
          <w:lang w:val="es-ES" w:eastAsia="es-ES"/>
        </w:rPr>
        <w:t xml:space="preserve"> mismo momento a fin de que los jueces cuenten con mayores elementos de juicio al momento de emitir sus decisiones.</w:t>
      </w:r>
    </w:p>
    <w:p w:rsidR="0092244B" w:rsidRDefault="0092244B" w:rsidP="009A324A">
      <w:pPr>
        <w:pStyle w:val="Sinespaciado"/>
        <w:spacing w:line="360" w:lineRule="auto"/>
        <w:ind w:left="705" w:hanging="705"/>
        <w:jc w:val="both"/>
        <w:rPr>
          <w:rFonts w:ascii="Arial" w:eastAsia="Arial Unicode MS" w:hAnsi="Arial" w:cs="Arial"/>
          <w:sz w:val="22"/>
          <w:szCs w:val="22"/>
          <w:lang w:val="es-ES" w:eastAsia="es-ES"/>
        </w:rPr>
      </w:pPr>
    </w:p>
    <w:p w:rsidR="00F03DBD" w:rsidRDefault="00B9512B" w:rsidP="00F03DBD">
      <w:pPr>
        <w:pStyle w:val="Sinespaciado"/>
        <w:spacing w:line="360" w:lineRule="auto"/>
        <w:ind w:left="705" w:hanging="705"/>
        <w:jc w:val="both"/>
        <w:rPr>
          <w:rFonts w:ascii="Arial" w:eastAsia="Arial Unicode MS" w:hAnsi="Arial" w:cs="Arial"/>
          <w:sz w:val="22"/>
          <w:szCs w:val="22"/>
          <w:u w:color="000000"/>
          <w:lang w:val="es-ES_tradnl"/>
        </w:rPr>
      </w:pPr>
      <w:r>
        <w:rPr>
          <w:rFonts w:ascii="Arial" w:eastAsia="Arial Unicode MS" w:hAnsi="Arial" w:cs="Arial"/>
          <w:sz w:val="22"/>
          <w:szCs w:val="22"/>
          <w:lang w:val="es-ES" w:eastAsia="es-ES"/>
        </w:rPr>
        <w:t>-</w:t>
      </w:r>
      <w:r>
        <w:rPr>
          <w:rFonts w:ascii="Arial" w:eastAsia="Arial Unicode MS" w:hAnsi="Arial" w:cs="Arial"/>
          <w:sz w:val="22"/>
          <w:szCs w:val="22"/>
          <w:lang w:val="es-ES" w:eastAsia="es-ES"/>
        </w:rPr>
        <w:tab/>
      </w:r>
      <w:r w:rsidR="0092244B" w:rsidRPr="00B66F9D">
        <w:rPr>
          <w:rFonts w:ascii="Arial" w:eastAsia="Arial Unicode MS" w:hAnsi="Arial" w:cs="Arial"/>
          <w:sz w:val="22"/>
          <w:szCs w:val="22"/>
          <w:u w:color="000000"/>
          <w:lang w:val="es-ES_tradnl"/>
        </w:rPr>
        <w:t xml:space="preserve">Las visitas técnicas </w:t>
      </w:r>
      <w:r w:rsidR="00F03DBD">
        <w:rPr>
          <w:rFonts w:ascii="Arial" w:eastAsia="Arial Unicode MS" w:hAnsi="Arial" w:cs="Arial"/>
          <w:sz w:val="22"/>
          <w:szCs w:val="22"/>
          <w:u w:color="000000"/>
          <w:lang w:val="es-ES_tradnl"/>
        </w:rPr>
        <w:t>que realiza</w:t>
      </w:r>
      <w:r w:rsidR="0092244B">
        <w:rPr>
          <w:rFonts w:ascii="Arial" w:eastAsia="Arial Unicode MS" w:hAnsi="Arial" w:cs="Arial"/>
          <w:sz w:val="22"/>
          <w:szCs w:val="22"/>
          <w:u w:color="000000"/>
          <w:lang w:val="es-ES_tradnl"/>
        </w:rPr>
        <w:t xml:space="preserve"> la Corte IDH deberían </w:t>
      </w:r>
      <w:r w:rsidR="00F03DBD">
        <w:rPr>
          <w:rFonts w:ascii="Arial" w:eastAsia="Arial Unicode MS" w:hAnsi="Arial" w:cs="Arial"/>
          <w:sz w:val="22"/>
          <w:szCs w:val="22"/>
          <w:u w:color="000000"/>
          <w:lang w:val="es-ES_tradnl"/>
        </w:rPr>
        <w:t>efectuarse</w:t>
      </w:r>
      <w:r w:rsidR="0092244B">
        <w:rPr>
          <w:rFonts w:ascii="Arial" w:eastAsia="Arial Unicode MS" w:hAnsi="Arial" w:cs="Arial"/>
          <w:sz w:val="22"/>
          <w:szCs w:val="22"/>
          <w:u w:color="000000"/>
          <w:lang w:val="es-ES_tradnl"/>
        </w:rPr>
        <w:t xml:space="preserve"> con mayor </w:t>
      </w:r>
      <w:r w:rsidR="00F03DBD">
        <w:rPr>
          <w:rFonts w:ascii="Arial" w:eastAsia="Arial Unicode MS" w:hAnsi="Arial" w:cs="Arial"/>
          <w:sz w:val="22"/>
          <w:szCs w:val="22"/>
          <w:u w:color="000000"/>
          <w:lang w:val="es-ES_tradnl"/>
        </w:rPr>
        <w:t>regularidad siguiendo un cronograma</w:t>
      </w:r>
      <w:r w:rsidR="00731A37">
        <w:rPr>
          <w:rFonts w:ascii="Arial" w:eastAsia="Arial Unicode MS" w:hAnsi="Arial" w:cs="Arial"/>
          <w:sz w:val="22"/>
          <w:szCs w:val="22"/>
          <w:u w:color="000000"/>
          <w:lang w:val="es-ES_tradnl"/>
        </w:rPr>
        <w:t xml:space="preserve"> definido, </w:t>
      </w:r>
      <w:r w:rsidR="0092244B">
        <w:rPr>
          <w:rFonts w:ascii="Arial" w:eastAsia="Arial Unicode MS" w:hAnsi="Arial" w:cs="Arial"/>
          <w:sz w:val="22"/>
          <w:szCs w:val="22"/>
          <w:u w:color="000000"/>
          <w:lang w:val="es-ES_tradnl"/>
        </w:rPr>
        <w:t xml:space="preserve">con el fin de determinar de primera mano y de forma imparcial el entorno jurídico y político </w:t>
      </w:r>
      <w:r w:rsidR="00F03DBD">
        <w:rPr>
          <w:rFonts w:ascii="Arial" w:eastAsia="Arial Unicode MS" w:hAnsi="Arial" w:cs="Arial"/>
          <w:sz w:val="22"/>
          <w:szCs w:val="22"/>
          <w:u w:color="000000"/>
          <w:lang w:val="es-ES_tradnl"/>
        </w:rPr>
        <w:t xml:space="preserve">de los Estados, con ello se accedería a </w:t>
      </w:r>
      <w:r w:rsidR="0092244B">
        <w:rPr>
          <w:rFonts w:ascii="Arial" w:eastAsia="Arial Unicode MS" w:hAnsi="Arial" w:cs="Arial"/>
          <w:sz w:val="22"/>
          <w:szCs w:val="22"/>
          <w:u w:color="000000"/>
          <w:lang w:val="es-ES_tradnl"/>
        </w:rPr>
        <w:t xml:space="preserve">mayores elementos </w:t>
      </w:r>
      <w:r w:rsidR="00F03DBD">
        <w:rPr>
          <w:rFonts w:ascii="Arial" w:eastAsia="Arial Unicode MS" w:hAnsi="Arial" w:cs="Arial"/>
          <w:sz w:val="22"/>
          <w:szCs w:val="22"/>
          <w:u w:color="000000"/>
          <w:lang w:val="es-ES_tradnl"/>
        </w:rPr>
        <w:t xml:space="preserve">de juicio para establecer </w:t>
      </w:r>
      <w:r w:rsidR="00731A37">
        <w:rPr>
          <w:rFonts w:ascii="Arial" w:eastAsia="Arial Unicode MS" w:hAnsi="Arial" w:cs="Arial"/>
          <w:sz w:val="22"/>
          <w:szCs w:val="22"/>
          <w:u w:color="000000"/>
          <w:lang w:val="es-ES_tradnl"/>
        </w:rPr>
        <w:t xml:space="preserve">de forma más precisa </w:t>
      </w:r>
      <w:r w:rsidR="0092244B">
        <w:rPr>
          <w:rFonts w:ascii="Arial" w:eastAsia="Arial Unicode MS" w:hAnsi="Arial" w:cs="Arial"/>
          <w:sz w:val="22"/>
          <w:szCs w:val="22"/>
          <w:u w:color="000000"/>
          <w:lang w:val="es-ES_tradnl"/>
        </w:rPr>
        <w:t>las medidas de reparación que se requieren según el caso. Además, para evidenciar los princip</w:t>
      </w:r>
      <w:r w:rsidR="00F03DBD">
        <w:rPr>
          <w:rFonts w:ascii="Arial" w:eastAsia="Arial Unicode MS" w:hAnsi="Arial" w:cs="Arial"/>
          <w:sz w:val="22"/>
          <w:szCs w:val="22"/>
          <w:u w:color="000000"/>
          <w:lang w:val="es-ES_tradnl"/>
        </w:rPr>
        <w:t>ales problemas y obstáculos en</w:t>
      </w:r>
      <w:r w:rsidR="0092244B">
        <w:rPr>
          <w:rFonts w:ascii="Arial" w:eastAsia="Arial Unicode MS" w:hAnsi="Arial" w:cs="Arial"/>
          <w:sz w:val="22"/>
          <w:szCs w:val="22"/>
          <w:u w:color="000000"/>
          <w:lang w:val="es-ES_tradnl"/>
        </w:rPr>
        <w:t xml:space="preserve"> la ejecución de</w:t>
      </w:r>
      <w:r w:rsidR="00F03DBD">
        <w:rPr>
          <w:rFonts w:ascii="Arial" w:eastAsia="Arial Unicode MS" w:hAnsi="Arial" w:cs="Arial"/>
          <w:sz w:val="22"/>
          <w:szCs w:val="22"/>
          <w:u w:color="000000"/>
          <w:lang w:val="es-ES_tradnl"/>
        </w:rPr>
        <w:t xml:space="preserve"> sentencias, de ese modo se dispondrían medidas</w:t>
      </w:r>
      <w:r w:rsidR="0092244B">
        <w:rPr>
          <w:rFonts w:ascii="Arial" w:eastAsia="Arial Unicode MS" w:hAnsi="Arial" w:cs="Arial"/>
          <w:sz w:val="22"/>
          <w:szCs w:val="22"/>
          <w:u w:color="000000"/>
          <w:lang w:val="es-ES_tradnl"/>
        </w:rPr>
        <w:t xml:space="preserve"> </w:t>
      </w:r>
      <w:r w:rsidR="00F03DBD">
        <w:rPr>
          <w:rFonts w:ascii="Arial" w:eastAsia="Arial Unicode MS" w:hAnsi="Arial" w:cs="Arial"/>
          <w:sz w:val="22"/>
          <w:szCs w:val="22"/>
          <w:u w:color="000000"/>
          <w:lang w:val="es-ES_tradnl"/>
        </w:rPr>
        <w:t xml:space="preserve">para mejorar de manera general los procesos de ejecución por medio de reformas normativas. </w:t>
      </w:r>
    </w:p>
    <w:p w:rsidR="00940844" w:rsidRPr="00EE4163" w:rsidRDefault="009A324A" w:rsidP="00EE4163">
      <w:pPr>
        <w:pStyle w:val="Sinespaciado"/>
        <w:spacing w:line="360" w:lineRule="auto"/>
        <w:ind w:left="705" w:hanging="705"/>
        <w:jc w:val="both"/>
        <w:rPr>
          <w:rFonts w:ascii="Arial" w:eastAsia="Arial Unicode MS" w:hAnsi="Arial" w:cs="Arial"/>
          <w:sz w:val="22"/>
          <w:szCs w:val="22"/>
          <w:lang w:val="es-ES" w:eastAsia="es-ES"/>
        </w:rPr>
      </w:pPr>
      <w:r w:rsidRPr="00B9512B">
        <w:rPr>
          <w:rFonts w:ascii="Arial" w:eastAsia="Arial Unicode MS" w:hAnsi="Arial" w:cs="Arial"/>
          <w:sz w:val="22"/>
          <w:szCs w:val="22"/>
          <w:lang w:val="es-ES" w:eastAsia="es-ES"/>
        </w:rPr>
        <w:t xml:space="preserve">  </w:t>
      </w:r>
    </w:p>
    <w:p w:rsidR="00B52E89" w:rsidRPr="009C695E" w:rsidRDefault="00B52E89" w:rsidP="00C45A27">
      <w:pPr>
        <w:pStyle w:val="Body1"/>
        <w:jc w:val="both"/>
        <w:outlineLvl w:val="0"/>
        <w:rPr>
          <w:rFonts w:ascii="Arial" w:hAnsi="Arial" w:cs="Arial"/>
          <w:b/>
          <w:sz w:val="26"/>
          <w:szCs w:val="26"/>
        </w:rPr>
      </w:pPr>
      <w:r w:rsidRPr="009C695E">
        <w:rPr>
          <w:rFonts w:ascii="Arial" w:hAnsi="Arial" w:cs="Arial"/>
          <w:b/>
          <w:sz w:val="26"/>
          <w:szCs w:val="26"/>
        </w:rPr>
        <w:lastRenderedPageBreak/>
        <w:t xml:space="preserve">BIBLIOGRAFÍA </w:t>
      </w:r>
    </w:p>
    <w:p w:rsidR="00B52E89" w:rsidRPr="00416FDD" w:rsidRDefault="00B52E89" w:rsidP="00B52E89">
      <w:pPr>
        <w:pStyle w:val="Body1"/>
        <w:jc w:val="both"/>
        <w:rPr>
          <w:rFonts w:ascii="Arial" w:hAnsi="Arial" w:cs="Arial"/>
          <w:sz w:val="22"/>
          <w:szCs w:val="22"/>
        </w:rPr>
      </w:pPr>
    </w:p>
    <w:p w:rsidR="00B52E89" w:rsidRPr="00416FDD" w:rsidRDefault="00B52E89" w:rsidP="00B52E89">
      <w:pPr>
        <w:pStyle w:val="Body1"/>
        <w:jc w:val="both"/>
        <w:rPr>
          <w:rFonts w:ascii="Arial" w:hAnsi="Arial" w:cs="Arial"/>
          <w:sz w:val="22"/>
          <w:szCs w:val="22"/>
        </w:rPr>
      </w:pPr>
    </w:p>
    <w:p w:rsidR="00B52E89" w:rsidRPr="00416FDD" w:rsidRDefault="00B52E89" w:rsidP="00644225">
      <w:pPr>
        <w:pStyle w:val="Body1"/>
        <w:numPr>
          <w:ilvl w:val="0"/>
          <w:numId w:val="16"/>
        </w:numPr>
        <w:jc w:val="both"/>
        <w:rPr>
          <w:rFonts w:ascii="Arial" w:hAnsi="Arial" w:cs="Arial"/>
          <w:sz w:val="22"/>
          <w:szCs w:val="22"/>
        </w:rPr>
      </w:pPr>
      <w:r w:rsidRPr="00416FDD">
        <w:rPr>
          <w:rFonts w:ascii="Arial" w:hAnsi="Arial" w:cs="Arial"/>
          <w:b/>
          <w:sz w:val="22"/>
          <w:szCs w:val="22"/>
        </w:rPr>
        <w:t>Doctrina</w:t>
      </w:r>
      <w:r w:rsidRPr="00416FDD">
        <w:rPr>
          <w:rFonts w:ascii="Arial" w:hAnsi="Arial" w:cs="Arial"/>
          <w:sz w:val="22"/>
          <w:szCs w:val="22"/>
        </w:rPr>
        <w:t xml:space="preserve"> </w:t>
      </w:r>
    </w:p>
    <w:p w:rsidR="00B52E89" w:rsidRPr="00416FDD" w:rsidRDefault="00B52E89" w:rsidP="00B52E89">
      <w:pPr>
        <w:pStyle w:val="Body1"/>
        <w:jc w:val="both"/>
        <w:rPr>
          <w:rFonts w:ascii="Arial" w:hAnsi="Arial" w:cs="Arial"/>
          <w:sz w:val="22"/>
          <w:szCs w:val="22"/>
        </w:rPr>
      </w:pPr>
    </w:p>
    <w:p w:rsidR="00B52E89" w:rsidRPr="00450D20" w:rsidRDefault="00450D20" w:rsidP="00D15F94">
      <w:pPr>
        <w:pStyle w:val="Body1"/>
        <w:numPr>
          <w:ilvl w:val="0"/>
          <w:numId w:val="17"/>
        </w:numPr>
        <w:spacing w:line="360" w:lineRule="auto"/>
        <w:jc w:val="both"/>
        <w:rPr>
          <w:rFonts w:ascii="Arial" w:eastAsia="Times New Roman" w:hAnsi="Arial" w:cs="Arial"/>
          <w:color w:val="auto"/>
          <w:sz w:val="22"/>
          <w:szCs w:val="22"/>
        </w:rPr>
      </w:pPr>
      <w:r>
        <w:rPr>
          <w:rFonts w:ascii="Arial" w:hAnsi="Arial" w:cs="Arial"/>
          <w:sz w:val="22"/>
          <w:szCs w:val="22"/>
        </w:rPr>
        <w:t>Ayala Rodríguez</w:t>
      </w:r>
      <w:r w:rsidR="00857ED3">
        <w:rPr>
          <w:rFonts w:ascii="Arial" w:hAnsi="Arial" w:cs="Arial"/>
          <w:sz w:val="22"/>
          <w:szCs w:val="22"/>
        </w:rPr>
        <w:t>,</w:t>
      </w:r>
      <w:r>
        <w:rPr>
          <w:rFonts w:ascii="Arial" w:hAnsi="Arial" w:cs="Arial"/>
          <w:sz w:val="22"/>
          <w:szCs w:val="22"/>
        </w:rPr>
        <w:t xml:space="preserve"> Paula.</w:t>
      </w:r>
      <w:r w:rsidR="00B52E89" w:rsidRPr="00416FDD">
        <w:rPr>
          <w:rFonts w:ascii="Arial" w:hAnsi="Arial" w:cs="Arial"/>
          <w:sz w:val="22"/>
          <w:szCs w:val="22"/>
        </w:rPr>
        <w:t xml:space="preserve"> </w:t>
      </w:r>
      <w:r w:rsidR="00B52E89" w:rsidRPr="00857ED3">
        <w:rPr>
          <w:rFonts w:ascii="Arial" w:hAnsi="Arial" w:cs="Arial"/>
          <w:sz w:val="22"/>
          <w:szCs w:val="22"/>
          <w:u w:val="single"/>
        </w:rPr>
        <w:t>La reparación Integral como forma de cumplir con la obligación moral de recordar</w:t>
      </w:r>
      <w:r w:rsidR="00B52E89" w:rsidRPr="00416FDD">
        <w:rPr>
          <w:rFonts w:ascii="Arial" w:hAnsi="Arial" w:cs="Arial"/>
          <w:sz w:val="22"/>
          <w:szCs w:val="22"/>
        </w:rPr>
        <w:t xml:space="preserve">, Bogotá, Ediciones </w:t>
      </w:r>
      <w:proofErr w:type="spellStart"/>
      <w:r w:rsidR="00B52E89" w:rsidRPr="00416FDD">
        <w:rPr>
          <w:rFonts w:ascii="Arial" w:hAnsi="Arial" w:cs="Arial"/>
          <w:sz w:val="22"/>
          <w:szCs w:val="22"/>
        </w:rPr>
        <w:t>Uniandes</w:t>
      </w:r>
      <w:proofErr w:type="spellEnd"/>
      <w:r w:rsidR="00B52E89" w:rsidRPr="00416FDD">
        <w:rPr>
          <w:rFonts w:ascii="Arial" w:hAnsi="Arial" w:cs="Arial"/>
          <w:sz w:val="22"/>
          <w:szCs w:val="22"/>
        </w:rPr>
        <w:t>, 2005.</w:t>
      </w:r>
    </w:p>
    <w:p w:rsidR="00B52E89" w:rsidRPr="00450D20" w:rsidRDefault="00B52E89" w:rsidP="00D15F94">
      <w:pPr>
        <w:pStyle w:val="Textonotapie"/>
        <w:numPr>
          <w:ilvl w:val="0"/>
          <w:numId w:val="17"/>
        </w:numPr>
        <w:spacing w:line="360" w:lineRule="auto"/>
        <w:jc w:val="both"/>
        <w:rPr>
          <w:rFonts w:ascii="Arial" w:hAnsi="Arial" w:cs="Arial"/>
          <w:sz w:val="22"/>
          <w:szCs w:val="22"/>
          <w:lang w:val="es-ES"/>
        </w:rPr>
      </w:pPr>
      <w:proofErr w:type="spellStart"/>
      <w:r w:rsidRPr="00416FDD">
        <w:rPr>
          <w:rFonts w:ascii="Arial" w:hAnsi="Arial" w:cs="Arial"/>
          <w:sz w:val="22"/>
          <w:szCs w:val="22"/>
          <w:lang w:val="es-ES"/>
        </w:rPr>
        <w:t>Beristain</w:t>
      </w:r>
      <w:proofErr w:type="spellEnd"/>
      <w:r w:rsidR="00857ED3">
        <w:rPr>
          <w:rFonts w:ascii="Arial" w:hAnsi="Arial" w:cs="Arial"/>
          <w:sz w:val="22"/>
          <w:szCs w:val="22"/>
          <w:lang w:val="es-ES"/>
        </w:rPr>
        <w:t>, Carlos Martin.</w:t>
      </w:r>
      <w:r w:rsidRPr="00416FDD">
        <w:rPr>
          <w:rFonts w:ascii="Arial" w:hAnsi="Arial" w:cs="Arial"/>
          <w:sz w:val="22"/>
          <w:szCs w:val="22"/>
          <w:lang w:val="es-ES"/>
        </w:rPr>
        <w:t xml:space="preserve"> </w:t>
      </w:r>
      <w:r w:rsidRPr="00857ED3">
        <w:rPr>
          <w:rFonts w:ascii="Arial" w:hAnsi="Arial" w:cs="Arial"/>
          <w:sz w:val="22"/>
          <w:szCs w:val="22"/>
          <w:u w:val="single"/>
          <w:lang w:val="es-ES"/>
        </w:rPr>
        <w:t>Diálogos sobre la reparación</w:t>
      </w:r>
      <w:r w:rsidRPr="00416FDD">
        <w:rPr>
          <w:rFonts w:ascii="Arial" w:hAnsi="Arial" w:cs="Arial"/>
          <w:sz w:val="22"/>
          <w:szCs w:val="22"/>
          <w:lang w:val="es-ES"/>
        </w:rPr>
        <w:t xml:space="preserve">, Qué reparar en los casos de violaciones de derechos humanos, serie justicia y derechos humanos, </w:t>
      </w:r>
      <w:proofErr w:type="spellStart"/>
      <w:r w:rsidRPr="00416FDD">
        <w:rPr>
          <w:rFonts w:ascii="Arial" w:hAnsi="Arial" w:cs="Arial"/>
          <w:sz w:val="22"/>
          <w:szCs w:val="22"/>
          <w:lang w:val="es-ES"/>
        </w:rPr>
        <w:t>neoconstiticionalismo</w:t>
      </w:r>
      <w:proofErr w:type="spellEnd"/>
      <w:r w:rsidRPr="00416FDD">
        <w:rPr>
          <w:rFonts w:ascii="Arial" w:hAnsi="Arial" w:cs="Arial"/>
          <w:sz w:val="22"/>
          <w:szCs w:val="22"/>
          <w:lang w:val="es-ES"/>
        </w:rPr>
        <w:t xml:space="preserve"> y sociedad, Ministerio de Justicia y Derechos Humanos, Quito, 2009.  </w:t>
      </w:r>
    </w:p>
    <w:p w:rsidR="00B52E89" w:rsidRPr="00450D20" w:rsidRDefault="00B52E89" w:rsidP="00D15F94">
      <w:pPr>
        <w:pStyle w:val="Body1"/>
        <w:numPr>
          <w:ilvl w:val="0"/>
          <w:numId w:val="17"/>
        </w:numPr>
        <w:spacing w:line="360" w:lineRule="auto"/>
        <w:jc w:val="both"/>
        <w:rPr>
          <w:rFonts w:ascii="Arial" w:eastAsia="Times New Roman" w:hAnsi="Arial" w:cs="Arial"/>
          <w:color w:val="auto"/>
          <w:sz w:val="22"/>
          <w:szCs w:val="22"/>
        </w:rPr>
      </w:pPr>
      <w:r w:rsidRPr="00416FDD">
        <w:rPr>
          <w:rFonts w:ascii="Arial" w:hAnsi="Arial" w:cs="Arial"/>
          <w:sz w:val="22"/>
          <w:szCs w:val="22"/>
        </w:rPr>
        <w:t>Chávez</w:t>
      </w:r>
      <w:r w:rsidR="00857ED3">
        <w:rPr>
          <w:rFonts w:ascii="Arial" w:hAnsi="Arial" w:cs="Arial"/>
          <w:sz w:val="22"/>
          <w:szCs w:val="22"/>
        </w:rPr>
        <w:t>,</w:t>
      </w:r>
      <w:r w:rsidRPr="00416FDD">
        <w:rPr>
          <w:rFonts w:ascii="Arial" w:hAnsi="Arial" w:cs="Arial"/>
          <w:sz w:val="22"/>
          <w:szCs w:val="22"/>
        </w:rPr>
        <w:t xml:space="preserve"> Gardenia y Garcés</w:t>
      </w:r>
      <w:r w:rsidR="00857ED3">
        <w:rPr>
          <w:rFonts w:ascii="Arial" w:hAnsi="Arial" w:cs="Arial"/>
          <w:sz w:val="22"/>
          <w:szCs w:val="22"/>
        </w:rPr>
        <w:t>, Miriam.</w:t>
      </w:r>
      <w:r w:rsidRPr="00416FDD">
        <w:rPr>
          <w:rFonts w:ascii="Arial" w:hAnsi="Arial" w:cs="Arial"/>
          <w:sz w:val="22"/>
          <w:szCs w:val="22"/>
        </w:rPr>
        <w:t xml:space="preserve"> editoras, </w:t>
      </w:r>
      <w:r w:rsidRPr="00857ED3">
        <w:rPr>
          <w:rFonts w:ascii="Arial" w:hAnsi="Arial" w:cs="Arial"/>
          <w:sz w:val="22"/>
          <w:szCs w:val="22"/>
          <w:u w:val="single"/>
        </w:rPr>
        <w:t>El derecho a la reparación en el procesamiento penal</w:t>
      </w:r>
      <w:r w:rsidRPr="00416FDD">
        <w:rPr>
          <w:rFonts w:ascii="Arial" w:hAnsi="Arial" w:cs="Arial"/>
          <w:sz w:val="22"/>
          <w:szCs w:val="22"/>
        </w:rPr>
        <w:t>, INREDH-CEPAM, Quito, 2000.</w:t>
      </w:r>
    </w:p>
    <w:p w:rsidR="00B52E89" w:rsidRPr="00450D20" w:rsidRDefault="00857ED3" w:rsidP="00D15F94">
      <w:pPr>
        <w:pStyle w:val="Textonotapie"/>
        <w:numPr>
          <w:ilvl w:val="0"/>
          <w:numId w:val="17"/>
        </w:numPr>
        <w:spacing w:line="360" w:lineRule="auto"/>
        <w:jc w:val="both"/>
        <w:rPr>
          <w:rFonts w:ascii="Arial" w:hAnsi="Arial" w:cs="Arial"/>
          <w:sz w:val="22"/>
          <w:szCs w:val="22"/>
          <w:lang w:val="es-ES"/>
        </w:rPr>
      </w:pPr>
      <w:r>
        <w:rPr>
          <w:rFonts w:ascii="Arial" w:hAnsi="Arial" w:cs="Arial"/>
          <w:sz w:val="22"/>
          <w:szCs w:val="22"/>
          <w:lang w:val="es-ES"/>
        </w:rPr>
        <w:t>Escobar Hernández, Concepción.</w:t>
      </w:r>
      <w:r w:rsidR="00B52E89" w:rsidRPr="00416FDD">
        <w:rPr>
          <w:rFonts w:ascii="Arial" w:hAnsi="Arial" w:cs="Arial"/>
          <w:sz w:val="22"/>
          <w:szCs w:val="22"/>
          <w:lang w:val="es-ES"/>
        </w:rPr>
        <w:t xml:space="preserve"> “Ejecución de sentencias del Tribunal Europeo de Derechos Humanos”, </w:t>
      </w:r>
      <w:r w:rsidR="00B52E89" w:rsidRPr="00857ED3">
        <w:rPr>
          <w:rFonts w:ascii="Arial" w:hAnsi="Arial" w:cs="Arial"/>
          <w:sz w:val="22"/>
          <w:szCs w:val="22"/>
          <w:u w:val="single"/>
          <w:lang w:val="es-ES"/>
        </w:rPr>
        <w:t>Revista Española de Derecho Internacional</w:t>
      </w:r>
      <w:r w:rsidR="00B52E89" w:rsidRPr="00416FDD">
        <w:rPr>
          <w:rFonts w:ascii="Arial" w:hAnsi="Arial" w:cs="Arial"/>
          <w:sz w:val="22"/>
          <w:szCs w:val="22"/>
          <w:lang w:val="es-ES"/>
        </w:rPr>
        <w:t xml:space="preserve"> (REDI) t. XLII, 1990.   </w:t>
      </w:r>
    </w:p>
    <w:p w:rsidR="00B52E89" w:rsidRPr="00450D20" w:rsidRDefault="00B52E89" w:rsidP="00D15F94">
      <w:pPr>
        <w:pStyle w:val="Body1"/>
        <w:numPr>
          <w:ilvl w:val="0"/>
          <w:numId w:val="17"/>
        </w:numPr>
        <w:spacing w:line="360" w:lineRule="auto"/>
        <w:jc w:val="both"/>
        <w:rPr>
          <w:rFonts w:ascii="Arial" w:eastAsia="Times New Roman" w:hAnsi="Arial" w:cs="Arial"/>
          <w:color w:val="auto"/>
          <w:sz w:val="22"/>
          <w:szCs w:val="22"/>
        </w:rPr>
      </w:pPr>
      <w:proofErr w:type="spellStart"/>
      <w:r w:rsidRPr="00416FDD">
        <w:rPr>
          <w:rFonts w:ascii="Arial" w:hAnsi="Arial" w:cs="Arial"/>
          <w:sz w:val="22"/>
          <w:szCs w:val="22"/>
        </w:rPr>
        <w:t>Fruhling</w:t>
      </w:r>
      <w:proofErr w:type="spellEnd"/>
      <w:r w:rsidR="00857ED3">
        <w:rPr>
          <w:rFonts w:ascii="Arial" w:hAnsi="Arial" w:cs="Arial"/>
          <w:sz w:val="22"/>
          <w:szCs w:val="22"/>
        </w:rPr>
        <w:t xml:space="preserve">, Michael. </w:t>
      </w:r>
      <w:r w:rsidR="00857ED3" w:rsidRPr="00857ED3">
        <w:rPr>
          <w:rFonts w:ascii="Arial" w:hAnsi="Arial" w:cs="Arial"/>
          <w:sz w:val="22"/>
          <w:szCs w:val="22"/>
          <w:u w:val="single"/>
        </w:rPr>
        <w:t>E</w:t>
      </w:r>
      <w:r w:rsidRPr="00857ED3">
        <w:rPr>
          <w:rFonts w:ascii="Arial" w:hAnsi="Arial" w:cs="Arial"/>
          <w:sz w:val="22"/>
          <w:szCs w:val="22"/>
          <w:u w:val="single"/>
        </w:rPr>
        <w:t xml:space="preserve">xperiencias de </w:t>
      </w:r>
      <w:proofErr w:type="spellStart"/>
      <w:r w:rsidRPr="00857ED3">
        <w:rPr>
          <w:rFonts w:ascii="Arial" w:hAnsi="Arial" w:cs="Arial"/>
          <w:sz w:val="22"/>
          <w:szCs w:val="22"/>
          <w:u w:val="single"/>
        </w:rPr>
        <w:t>alternatividad</w:t>
      </w:r>
      <w:proofErr w:type="spellEnd"/>
      <w:r w:rsidRPr="00857ED3">
        <w:rPr>
          <w:rFonts w:ascii="Arial" w:hAnsi="Arial" w:cs="Arial"/>
          <w:sz w:val="22"/>
          <w:szCs w:val="22"/>
          <w:u w:val="single"/>
        </w:rPr>
        <w:t xml:space="preserve"> penal en procesos de paz</w:t>
      </w:r>
      <w:r w:rsidRPr="00416FDD">
        <w:rPr>
          <w:rFonts w:ascii="Arial" w:hAnsi="Arial" w:cs="Arial"/>
          <w:sz w:val="22"/>
          <w:szCs w:val="22"/>
        </w:rPr>
        <w:t xml:space="preserve">, Director de la Oficina en Colombia del Alto Comisionado de las Naciones Unidas para los Derechos Humanos, 2004. </w:t>
      </w:r>
    </w:p>
    <w:p w:rsidR="00B52E89" w:rsidRPr="00450D20" w:rsidRDefault="00B52E89" w:rsidP="00D15F94">
      <w:pPr>
        <w:pStyle w:val="Body1"/>
        <w:numPr>
          <w:ilvl w:val="0"/>
          <w:numId w:val="17"/>
        </w:numPr>
        <w:spacing w:line="360" w:lineRule="auto"/>
        <w:jc w:val="both"/>
        <w:rPr>
          <w:rFonts w:ascii="Arial" w:eastAsia="Times New Roman" w:hAnsi="Arial" w:cs="Arial"/>
          <w:color w:val="auto"/>
          <w:sz w:val="22"/>
          <w:szCs w:val="22"/>
        </w:rPr>
      </w:pPr>
      <w:r w:rsidRPr="00416FDD">
        <w:rPr>
          <w:rFonts w:ascii="Arial" w:hAnsi="Arial" w:cs="Arial"/>
          <w:sz w:val="22"/>
          <w:szCs w:val="22"/>
        </w:rPr>
        <w:t>Gil Botero</w:t>
      </w:r>
      <w:r w:rsidR="00857ED3">
        <w:rPr>
          <w:rFonts w:ascii="Arial" w:hAnsi="Arial" w:cs="Arial"/>
          <w:sz w:val="22"/>
          <w:szCs w:val="22"/>
        </w:rPr>
        <w:t>, Enrique.</w:t>
      </w:r>
      <w:r w:rsidRPr="00416FDD">
        <w:rPr>
          <w:rFonts w:ascii="Arial" w:hAnsi="Arial" w:cs="Arial"/>
          <w:sz w:val="22"/>
          <w:szCs w:val="22"/>
        </w:rPr>
        <w:t xml:space="preserve"> </w:t>
      </w:r>
      <w:r w:rsidRPr="00857ED3">
        <w:rPr>
          <w:rFonts w:ascii="Arial" w:hAnsi="Arial" w:cs="Arial"/>
          <w:sz w:val="22"/>
          <w:szCs w:val="22"/>
          <w:u w:val="single"/>
        </w:rPr>
        <w:t>El principio de reparación integral en Colombia a la luz del sistema interamericano de derechos humanos</w:t>
      </w:r>
      <w:r w:rsidRPr="00416FDD">
        <w:rPr>
          <w:rFonts w:ascii="Arial" w:hAnsi="Arial" w:cs="Arial"/>
          <w:sz w:val="22"/>
          <w:szCs w:val="22"/>
        </w:rPr>
        <w:t>, articulo para el libro: Realidades y Tendencias del derecho en el siglo XXI, Pontificia Universidad Javeriana, editorial TEMIS, Bogotá, 2010.</w:t>
      </w:r>
    </w:p>
    <w:p w:rsidR="00B52E89" w:rsidRPr="00416FDD" w:rsidRDefault="00450D20" w:rsidP="00D15F94">
      <w:pPr>
        <w:pStyle w:val="Body1"/>
        <w:numPr>
          <w:ilvl w:val="0"/>
          <w:numId w:val="17"/>
        </w:numPr>
        <w:spacing w:line="360" w:lineRule="auto"/>
        <w:jc w:val="both"/>
        <w:rPr>
          <w:rFonts w:ascii="Arial" w:hAnsi="Arial" w:cs="Arial"/>
          <w:sz w:val="22"/>
          <w:szCs w:val="22"/>
        </w:rPr>
      </w:pPr>
      <w:r>
        <w:rPr>
          <w:rFonts w:ascii="Arial" w:hAnsi="Arial" w:cs="Arial"/>
          <w:sz w:val="22"/>
          <w:szCs w:val="22"/>
        </w:rPr>
        <w:t>Gómez Isa</w:t>
      </w:r>
      <w:r w:rsidR="00857ED3">
        <w:rPr>
          <w:rFonts w:ascii="Arial" w:hAnsi="Arial" w:cs="Arial"/>
          <w:sz w:val="22"/>
          <w:szCs w:val="22"/>
        </w:rPr>
        <w:t>, Felipe.</w:t>
      </w:r>
      <w:r w:rsidR="00B52E89" w:rsidRPr="00416FDD">
        <w:rPr>
          <w:rFonts w:ascii="Arial" w:hAnsi="Arial" w:cs="Arial"/>
          <w:sz w:val="22"/>
          <w:szCs w:val="22"/>
        </w:rPr>
        <w:t xml:space="preserve"> </w:t>
      </w:r>
      <w:r w:rsidR="00B52E89" w:rsidRPr="00857ED3">
        <w:rPr>
          <w:rFonts w:ascii="Arial" w:hAnsi="Arial" w:cs="Arial"/>
          <w:sz w:val="22"/>
          <w:szCs w:val="22"/>
          <w:u w:val="single"/>
        </w:rPr>
        <w:t>El Derecho a la Memoria</w:t>
      </w:r>
      <w:r w:rsidR="00B52E89" w:rsidRPr="00416FDD">
        <w:rPr>
          <w:rFonts w:ascii="Arial" w:hAnsi="Arial" w:cs="Arial"/>
          <w:sz w:val="22"/>
          <w:szCs w:val="22"/>
        </w:rPr>
        <w:t>, Bilbao,</w:t>
      </w:r>
      <w:r w:rsidR="00857ED3">
        <w:rPr>
          <w:rFonts w:ascii="Arial" w:hAnsi="Arial" w:cs="Arial"/>
          <w:sz w:val="22"/>
          <w:szCs w:val="22"/>
        </w:rPr>
        <w:t xml:space="preserve"> </w:t>
      </w:r>
      <w:r w:rsidR="00B52E89" w:rsidRPr="00416FDD">
        <w:rPr>
          <w:rFonts w:ascii="Arial" w:hAnsi="Arial" w:cs="Arial"/>
          <w:sz w:val="22"/>
          <w:szCs w:val="22"/>
        </w:rPr>
        <w:t xml:space="preserve">Ed. </w:t>
      </w:r>
      <w:proofErr w:type="spellStart"/>
      <w:r w:rsidR="00B52E89" w:rsidRPr="00416FDD">
        <w:rPr>
          <w:rFonts w:ascii="Arial" w:hAnsi="Arial" w:cs="Arial"/>
          <w:sz w:val="22"/>
          <w:szCs w:val="22"/>
        </w:rPr>
        <w:t>Alberdania</w:t>
      </w:r>
      <w:proofErr w:type="spellEnd"/>
      <w:r w:rsidR="00B52E89" w:rsidRPr="00416FDD">
        <w:rPr>
          <w:rFonts w:ascii="Arial" w:hAnsi="Arial" w:cs="Arial"/>
          <w:sz w:val="22"/>
          <w:szCs w:val="22"/>
        </w:rPr>
        <w:t>, 2006.</w:t>
      </w:r>
    </w:p>
    <w:p w:rsidR="00B52E89" w:rsidRPr="00416FDD" w:rsidRDefault="00B52E89" w:rsidP="00D15F94">
      <w:pPr>
        <w:pStyle w:val="Body1"/>
        <w:numPr>
          <w:ilvl w:val="0"/>
          <w:numId w:val="17"/>
        </w:numPr>
        <w:spacing w:line="360" w:lineRule="auto"/>
        <w:jc w:val="both"/>
        <w:rPr>
          <w:rFonts w:ascii="Arial" w:eastAsia="Times New Roman" w:hAnsi="Arial" w:cs="Arial"/>
          <w:color w:val="auto"/>
          <w:sz w:val="22"/>
          <w:szCs w:val="22"/>
        </w:rPr>
      </w:pPr>
      <w:proofErr w:type="spellStart"/>
      <w:r w:rsidRPr="00416FDD">
        <w:rPr>
          <w:rFonts w:ascii="Arial" w:hAnsi="Arial" w:cs="Arial"/>
          <w:sz w:val="22"/>
          <w:szCs w:val="22"/>
        </w:rPr>
        <w:t>Jacoby</w:t>
      </w:r>
      <w:proofErr w:type="spellEnd"/>
      <w:r w:rsidR="00857ED3">
        <w:rPr>
          <w:rFonts w:ascii="Arial" w:hAnsi="Arial" w:cs="Arial"/>
          <w:sz w:val="22"/>
          <w:szCs w:val="22"/>
        </w:rPr>
        <w:t>,</w:t>
      </w:r>
      <w:r w:rsidRPr="00416FDD">
        <w:rPr>
          <w:rFonts w:ascii="Arial" w:hAnsi="Arial" w:cs="Arial"/>
          <w:sz w:val="22"/>
          <w:szCs w:val="22"/>
        </w:rPr>
        <w:t xml:space="preserve"> Pablo Miguel y </w:t>
      </w:r>
      <w:proofErr w:type="spellStart"/>
      <w:r w:rsidRPr="00416FDD">
        <w:rPr>
          <w:rFonts w:ascii="Arial" w:hAnsi="Arial" w:cs="Arial"/>
          <w:sz w:val="22"/>
          <w:szCs w:val="22"/>
        </w:rPr>
        <w:t>Folgueiro</w:t>
      </w:r>
      <w:proofErr w:type="spellEnd"/>
      <w:r w:rsidR="00857ED3">
        <w:rPr>
          <w:rFonts w:ascii="Arial" w:hAnsi="Arial" w:cs="Arial"/>
          <w:sz w:val="22"/>
          <w:szCs w:val="22"/>
        </w:rPr>
        <w:t>, Hernán Luis.</w:t>
      </w:r>
      <w:r w:rsidRPr="00416FDD">
        <w:rPr>
          <w:rFonts w:ascii="Arial" w:hAnsi="Arial" w:cs="Arial"/>
          <w:sz w:val="22"/>
          <w:szCs w:val="22"/>
        </w:rPr>
        <w:t xml:space="preserve"> </w:t>
      </w:r>
      <w:r w:rsidRPr="00857ED3">
        <w:rPr>
          <w:rFonts w:ascii="Arial" w:hAnsi="Arial" w:cs="Arial"/>
          <w:sz w:val="22"/>
          <w:szCs w:val="22"/>
          <w:u w:val="single"/>
        </w:rPr>
        <w:t>La búsqueda de una reparación integral para las violaciones de derechos humanos</w:t>
      </w:r>
      <w:r w:rsidRPr="00416FDD">
        <w:rPr>
          <w:rFonts w:ascii="Arial" w:hAnsi="Arial" w:cs="Arial"/>
          <w:sz w:val="22"/>
          <w:szCs w:val="22"/>
        </w:rPr>
        <w:t>. Reflexiones a partir de</w:t>
      </w:r>
      <w:r w:rsidR="00857ED3">
        <w:rPr>
          <w:rFonts w:ascii="Arial" w:hAnsi="Arial" w:cs="Arial"/>
          <w:sz w:val="22"/>
          <w:szCs w:val="22"/>
        </w:rPr>
        <w:t>l</w:t>
      </w:r>
      <w:r w:rsidRPr="00416FDD">
        <w:rPr>
          <w:rFonts w:ascii="Arial" w:hAnsi="Arial" w:cs="Arial"/>
          <w:sz w:val="22"/>
          <w:szCs w:val="22"/>
        </w:rPr>
        <w:t xml:space="preserve"> caso Amia, Revista de derecho procesal Penal, Instituto de Ciencias Penales, Buenos Aires.</w:t>
      </w:r>
    </w:p>
    <w:p w:rsidR="00B52E89" w:rsidRPr="00416FDD" w:rsidRDefault="00B52E89" w:rsidP="00D15F94">
      <w:pPr>
        <w:pStyle w:val="Textonotapie"/>
        <w:numPr>
          <w:ilvl w:val="0"/>
          <w:numId w:val="17"/>
        </w:numPr>
        <w:spacing w:line="360" w:lineRule="auto"/>
        <w:jc w:val="both"/>
        <w:rPr>
          <w:rFonts w:ascii="Arial" w:hAnsi="Arial" w:cs="Arial"/>
          <w:sz w:val="22"/>
          <w:szCs w:val="22"/>
          <w:lang w:val="es-ES"/>
        </w:rPr>
      </w:pPr>
      <w:r w:rsidRPr="00416FDD">
        <w:rPr>
          <w:rFonts w:ascii="Arial" w:hAnsi="Arial" w:cs="Arial"/>
          <w:sz w:val="22"/>
          <w:szCs w:val="22"/>
          <w:lang w:val="es-ES"/>
        </w:rPr>
        <w:t>Londoño Lázaro</w:t>
      </w:r>
      <w:r w:rsidR="00857ED3">
        <w:rPr>
          <w:rFonts w:ascii="Arial" w:hAnsi="Arial" w:cs="Arial"/>
          <w:sz w:val="22"/>
          <w:szCs w:val="22"/>
          <w:lang w:val="es-ES"/>
        </w:rPr>
        <w:t>, María Carmelina.</w:t>
      </w:r>
      <w:r w:rsidRPr="00416FDD">
        <w:rPr>
          <w:rFonts w:ascii="Arial" w:hAnsi="Arial" w:cs="Arial"/>
          <w:sz w:val="22"/>
          <w:szCs w:val="22"/>
          <w:lang w:val="es-ES"/>
        </w:rPr>
        <w:t xml:space="preserve"> </w:t>
      </w:r>
      <w:r w:rsidRPr="00857ED3">
        <w:rPr>
          <w:rFonts w:ascii="Arial" w:hAnsi="Arial" w:cs="Arial"/>
          <w:sz w:val="22"/>
          <w:szCs w:val="22"/>
          <w:u w:val="single"/>
          <w:lang w:val="es-ES"/>
        </w:rPr>
        <w:t>El cumplimiento de las sentencias de la Corte Interamericana</w:t>
      </w:r>
      <w:r w:rsidRPr="00416FDD">
        <w:rPr>
          <w:rFonts w:ascii="Arial" w:hAnsi="Arial" w:cs="Arial"/>
          <w:sz w:val="22"/>
          <w:szCs w:val="22"/>
          <w:lang w:val="es-ES"/>
        </w:rPr>
        <w:t xml:space="preserve">: dilemas y retos, IV Curso Andino de derechos Humanos, noviembre 2006.  </w:t>
      </w:r>
    </w:p>
    <w:p w:rsidR="00B52E89" w:rsidRPr="00450D20" w:rsidRDefault="00B52E89" w:rsidP="00D15F94">
      <w:pPr>
        <w:pStyle w:val="Body1"/>
        <w:numPr>
          <w:ilvl w:val="0"/>
          <w:numId w:val="17"/>
        </w:numPr>
        <w:spacing w:line="360" w:lineRule="auto"/>
        <w:jc w:val="both"/>
        <w:rPr>
          <w:rFonts w:ascii="Arial" w:eastAsia="Times New Roman" w:hAnsi="Arial" w:cs="Arial"/>
          <w:color w:val="auto"/>
          <w:sz w:val="22"/>
          <w:szCs w:val="22"/>
        </w:rPr>
      </w:pPr>
      <w:r w:rsidRPr="00416FDD">
        <w:rPr>
          <w:rFonts w:ascii="Arial" w:hAnsi="Arial" w:cs="Arial"/>
          <w:sz w:val="22"/>
          <w:szCs w:val="22"/>
        </w:rPr>
        <w:t>Miranda</w:t>
      </w:r>
      <w:r w:rsidR="00857ED3">
        <w:rPr>
          <w:rFonts w:ascii="Arial" w:hAnsi="Arial" w:cs="Arial"/>
          <w:sz w:val="22"/>
          <w:szCs w:val="22"/>
        </w:rPr>
        <w:t xml:space="preserve">, Javier. </w:t>
      </w:r>
      <w:r w:rsidR="00857ED3" w:rsidRPr="00857ED3">
        <w:rPr>
          <w:rFonts w:ascii="Arial" w:hAnsi="Arial" w:cs="Arial"/>
          <w:sz w:val="22"/>
          <w:szCs w:val="22"/>
          <w:u w:val="single"/>
        </w:rPr>
        <w:t>V</w:t>
      </w:r>
      <w:r w:rsidRPr="00857ED3">
        <w:rPr>
          <w:rFonts w:ascii="Arial" w:hAnsi="Arial" w:cs="Arial"/>
          <w:sz w:val="22"/>
          <w:szCs w:val="22"/>
          <w:u w:val="single"/>
        </w:rPr>
        <w:t>erdad y justicia en procesos de paz o transición a la democracia</w:t>
      </w:r>
      <w:r w:rsidRPr="00416FDD">
        <w:rPr>
          <w:rFonts w:ascii="Arial" w:hAnsi="Arial" w:cs="Arial"/>
          <w:sz w:val="22"/>
          <w:szCs w:val="22"/>
        </w:rPr>
        <w:t>, oficina en Colombia del Alto Comisionado de las Naciones Unidas para los derechos humanos, Santa Fe de Bogotá, 2003.</w:t>
      </w:r>
    </w:p>
    <w:p w:rsidR="00B52E89" w:rsidRPr="00416FDD" w:rsidRDefault="00857ED3" w:rsidP="00D15F94">
      <w:pPr>
        <w:pStyle w:val="Body1"/>
        <w:numPr>
          <w:ilvl w:val="0"/>
          <w:numId w:val="17"/>
        </w:numPr>
        <w:spacing w:line="360" w:lineRule="auto"/>
        <w:jc w:val="both"/>
        <w:rPr>
          <w:rFonts w:ascii="Arial" w:hAnsi="Arial" w:cs="Arial"/>
          <w:i/>
          <w:sz w:val="22"/>
          <w:szCs w:val="22"/>
        </w:rPr>
      </w:pPr>
      <w:r w:rsidRPr="00857ED3">
        <w:rPr>
          <w:rFonts w:ascii="Arial" w:hAnsi="Arial" w:cs="Arial"/>
          <w:sz w:val="22"/>
          <w:szCs w:val="22"/>
        </w:rPr>
        <w:t>Monedero</w:t>
      </w:r>
      <w:r>
        <w:rPr>
          <w:rFonts w:ascii="Arial" w:hAnsi="Arial" w:cs="Arial"/>
          <w:sz w:val="22"/>
          <w:szCs w:val="22"/>
        </w:rPr>
        <w:t>,</w:t>
      </w:r>
      <w:r w:rsidRPr="00857ED3">
        <w:rPr>
          <w:rFonts w:ascii="Arial" w:hAnsi="Arial" w:cs="Arial"/>
          <w:sz w:val="22"/>
          <w:szCs w:val="22"/>
        </w:rPr>
        <w:t xml:space="preserve"> Juan Carlos. "Nocturno de la transición", en Emilio Silva (ed.), </w:t>
      </w:r>
      <w:r w:rsidRPr="00857ED3">
        <w:rPr>
          <w:rFonts w:ascii="Arial" w:hAnsi="Arial" w:cs="Arial"/>
          <w:sz w:val="22"/>
          <w:szCs w:val="22"/>
          <w:u w:val="single"/>
        </w:rPr>
        <w:t>La memoria de los olvidados</w:t>
      </w:r>
      <w:r w:rsidRPr="00857ED3">
        <w:rPr>
          <w:rFonts w:ascii="Arial" w:hAnsi="Arial" w:cs="Arial"/>
          <w:sz w:val="22"/>
          <w:szCs w:val="22"/>
        </w:rPr>
        <w:t>. Valladolid, Acento, 2004.</w:t>
      </w:r>
    </w:p>
    <w:p w:rsidR="00B52E89" w:rsidRPr="00416FDD" w:rsidRDefault="00B52E89" w:rsidP="00D15F94">
      <w:pPr>
        <w:pStyle w:val="Body1"/>
        <w:numPr>
          <w:ilvl w:val="0"/>
          <w:numId w:val="17"/>
        </w:numPr>
        <w:spacing w:line="360" w:lineRule="auto"/>
        <w:jc w:val="both"/>
        <w:rPr>
          <w:rFonts w:ascii="Arial" w:hAnsi="Arial" w:cs="Arial"/>
          <w:sz w:val="22"/>
          <w:szCs w:val="22"/>
        </w:rPr>
      </w:pPr>
      <w:proofErr w:type="spellStart"/>
      <w:r w:rsidRPr="00416FDD">
        <w:rPr>
          <w:rFonts w:ascii="Arial" w:hAnsi="Arial" w:cs="Arial"/>
          <w:sz w:val="22"/>
          <w:szCs w:val="22"/>
        </w:rPr>
        <w:t>Neuburger</w:t>
      </w:r>
      <w:proofErr w:type="spellEnd"/>
      <w:r w:rsidR="00857ED3">
        <w:rPr>
          <w:rFonts w:ascii="Arial" w:hAnsi="Arial" w:cs="Arial"/>
          <w:sz w:val="22"/>
          <w:szCs w:val="22"/>
        </w:rPr>
        <w:t>,</w:t>
      </w:r>
      <w:r w:rsidRPr="00416FDD">
        <w:rPr>
          <w:rFonts w:ascii="Arial" w:hAnsi="Arial" w:cs="Arial"/>
          <w:sz w:val="22"/>
          <w:szCs w:val="22"/>
        </w:rPr>
        <w:t xml:space="preserve"> Alicia y Rodríguez </w:t>
      </w:r>
      <w:proofErr w:type="spellStart"/>
      <w:r w:rsidRPr="00416FDD">
        <w:rPr>
          <w:rFonts w:ascii="Arial" w:hAnsi="Arial" w:cs="Arial"/>
          <w:sz w:val="22"/>
          <w:szCs w:val="22"/>
        </w:rPr>
        <w:t>Rescia</w:t>
      </w:r>
      <w:proofErr w:type="spellEnd"/>
      <w:r w:rsidR="00857ED3">
        <w:rPr>
          <w:rFonts w:ascii="Arial" w:hAnsi="Arial" w:cs="Arial"/>
          <w:sz w:val="22"/>
          <w:szCs w:val="22"/>
        </w:rPr>
        <w:t>, Víctor.</w:t>
      </w:r>
      <w:r w:rsidRPr="00416FDD">
        <w:rPr>
          <w:rFonts w:ascii="Arial" w:hAnsi="Arial" w:cs="Arial"/>
          <w:sz w:val="22"/>
          <w:szCs w:val="22"/>
        </w:rPr>
        <w:t xml:space="preserve"> </w:t>
      </w:r>
      <w:r w:rsidR="00857ED3">
        <w:rPr>
          <w:rFonts w:ascii="Arial" w:hAnsi="Arial" w:cs="Arial"/>
          <w:sz w:val="22"/>
          <w:szCs w:val="22"/>
        </w:rPr>
        <w:t>“A</w:t>
      </w:r>
      <w:r w:rsidRPr="00857ED3">
        <w:rPr>
          <w:rFonts w:ascii="Arial" w:hAnsi="Arial" w:cs="Arial"/>
          <w:sz w:val="22"/>
          <w:szCs w:val="22"/>
        </w:rPr>
        <w:t>portes psicosociales</w:t>
      </w:r>
      <w:r w:rsidR="00857ED3">
        <w:rPr>
          <w:rFonts w:ascii="Arial" w:hAnsi="Arial" w:cs="Arial"/>
          <w:sz w:val="22"/>
          <w:szCs w:val="22"/>
        </w:rPr>
        <w:t>”</w:t>
      </w:r>
      <w:r w:rsidRPr="00857ED3">
        <w:rPr>
          <w:rFonts w:ascii="Arial" w:hAnsi="Arial" w:cs="Arial"/>
          <w:sz w:val="22"/>
          <w:szCs w:val="22"/>
        </w:rPr>
        <w:t>, artículo que</w:t>
      </w:r>
      <w:r w:rsidR="00857ED3">
        <w:rPr>
          <w:rFonts w:ascii="Arial" w:hAnsi="Arial" w:cs="Arial"/>
          <w:sz w:val="22"/>
          <w:szCs w:val="22"/>
        </w:rPr>
        <w:t xml:space="preserve"> forma parte de la publicación </w:t>
      </w:r>
      <w:r w:rsidRPr="00857ED3">
        <w:rPr>
          <w:rFonts w:ascii="Arial" w:hAnsi="Arial" w:cs="Arial"/>
          <w:sz w:val="22"/>
          <w:szCs w:val="22"/>
          <w:u w:val="single"/>
        </w:rPr>
        <w:t xml:space="preserve">Atención integral a víctimas de tortura en procesos </w:t>
      </w:r>
      <w:r w:rsidRPr="00857ED3">
        <w:rPr>
          <w:rFonts w:ascii="Arial" w:hAnsi="Arial" w:cs="Arial"/>
          <w:sz w:val="22"/>
          <w:szCs w:val="22"/>
          <w:u w:val="single"/>
        </w:rPr>
        <w:lastRenderedPageBreak/>
        <w:t>de litigio</w:t>
      </w:r>
      <w:r w:rsidRPr="00857ED3">
        <w:rPr>
          <w:rFonts w:ascii="Arial" w:hAnsi="Arial" w:cs="Arial"/>
          <w:sz w:val="22"/>
          <w:szCs w:val="22"/>
        </w:rPr>
        <w:t>, Instituto Interamericano</w:t>
      </w:r>
      <w:r w:rsidRPr="00416FDD">
        <w:rPr>
          <w:rFonts w:ascii="Arial" w:hAnsi="Arial" w:cs="Arial"/>
          <w:sz w:val="22"/>
          <w:szCs w:val="22"/>
        </w:rPr>
        <w:t xml:space="preserve"> de Derechos Humanos, San José Costa rica, 2007.</w:t>
      </w:r>
    </w:p>
    <w:p w:rsidR="00B52E89" w:rsidRPr="00857ED3" w:rsidRDefault="00B52E89" w:rsidP="00D15F94">
      <w:pPr>
        <w:pStyle w:val="Body1"/>
        <w:numPr>
          <w:ilvl w:val="0"/>
          <w:numId w:val="17"/>
        </w:numPr>
        <w:spacing w:line="360" w:lineRule="auto"/>
        <w:jc w:val="both"/>
        <w:rPr>
          <w:rFonts w:ascii="Arial" w:hAnsi="Arial" w:cs="Arial"/>
          <w:sz w:val="22"/>
          <w:szCs w:val="22"/>
          <w:lang w:val="en-US"/>
        </w:rPr>
      </w:pPr>
      <w:proofErr w:type="spellStart"/>
      <w:r w:rsidRPr="00857ED3">
        <w:rPr>
          <w:rFonts w:ascii="Arial" w:hAnsi="Arial" w:cs="Arial"/>
          <w:sz w:val="22"/>
          <w:szCs w:val="22"/>
          <w:lang w:val="en-US"/>
        </w:rPr>
        <w:t>Orentlicher</w:t>
      </w:r>
      <w:proofErr w:type="spellEnd"/>
      <w:r w:rsidR="00857ED3" w:rsidRPr="00857ED3">
        <w:rPr>
          <w:rFonts w:ascii="Arial" w:hAnsi="Arial" w:cs="Arial"/>
          <w:sz w:val="22"/>
          <w:szCs w:val="22"/>
          <w:lang w:val="en-US"/>
        </w:rPr>
        <w:t xml:space="preserve">, Diane. </w:t>
      </w:r>
      <w:r w:rsidRPr="00857ED3">
        <w:rPr>
          <w:rFonts w:ascii="Arial" w:hAnsi="Arial" w:cs="Arial"/>
          <w:sz w:val="22"/>
          <w:szCs w:val="22"/>
          <w:u w:val="single"/>
          <w:lang w:val="en-US"/>
        </w:rPr>
        <w:t>Settling Accounts: the Duty to Prosecute Human Rights Violations of a Prior Regime</w:t>
      </w:r>
      <w:r w:rsidRPr="00857ED3">
        <w:rPr>
          <w:rFonts w:ascii="Arial" w:hAnsi="Arial" w:cs="Arial"/>
          <w:sz w:val="22"/>
          <w:szCs w:val="22"/>
          <w:lang w:val="en-US"/>
        </w:rPr>
        <w:t xml:space="preserve">, </w:t>
      </w:r>
      <w:proofErr w:type="spellStart"/>
      <w:r w:rsidRPr="00857ED3">
        <w:rPr>
          <w:rFonts w:ascii="Arial" w:hAnsi="Arial" w:cs="Arial"/>
          <w:sz w:val="22"/>
          <w:szCs w:val="22"/>
          <w:lang w:val="en-US"/>
        </w:rPr>
        <w:t>en</w:t>
      </w:r>
      <w:proofErr w:type="spellEnd"/>
      <w:r w:rsidRPr="00857ED3">
        <w:rPr>
          <w:rFonts w:ascii="Arial" w:hAnsi="Arial" w:cs="Arial"/>
          <w:sz w:val="22"/>
          <w:szCs w:val="22"/>
          <w:lang w:val="en-US"/>
        </w:rPr>
        <w:t xml:space="preserve"> KRITZ, </w:t>
      </w:r>
      <w:proofErr w:type="spellStart"/>
      <w:r w:rsidRPr="00857ED3">
        <w:rPr>
          <w:rFonts w:ascii="Arial" w:hAnsi="Arial" w:cs="Arial"/>
          <w:sz w:val="22"/>
          <w:szCs w:val="22"/>
          <w:lang w:val="en-US"/>
        </w:rPr>
        <w:t>N</w:t>
      </w:r>
      <w:r w:rsidR="00857ED3">
        <w:rPr>
          <w:rFonts w:ascii="Arial" w:hAnsi="Arial" w:cs="Arial"/>
          <w:sz w:val="22"/>
          <w:szCs w:val="22"/>
          <w:lang w:val="en-US"/>
        </w:rPr>
        <w:t>eil</w:t>
      </w:r>
      <w:r w:rsidRPr="00857ED3">
        <w:rPr>
          <w:rFonts w:ascii="Arial" w:hAnsi="Arial" w:cs="Arial"/>
          <w:sz w:val="22"/>
          <w:szCs w:val="22"/>
          <w:lang w:val="en-US"/>
        </w:rPr>
        <w:t>.J</w:t>
      </w:r>
      <w:proofErr w:type="spellEnd"/>
      <w:r w:rsidRPr="00857ED3">
        <w:rPr>
          <w:rFonts w:ascii="Arial" w:hAnsi="Arial" w:cs="Arial"/>
          <w:sz w:val="22"/>
          <w:szCs w:val="22"/>
          <w:lang w:val="en-US"/>
        </w:rPr>
        <w:t xml:space="preserve">. (Ed.): </w:t>
      </w:r>
      <w:proofErr w:type="spellStart"/>
      <w:r w:rsidRPr="00857ED3">
        <w:rPr>
          <w:rFonts w:ascii="Arial" w:hAnsi="Arial" w:cs="Arial"/>
          <w:sz w:val="22"/>
          <w:szCs w:val="22"/>
          <w:lang w:val="en-US"/>
        </w:rPr>
        <w:t>Trasitional</w:t>
      </w:r>
      <w:proofErr w:type="spellEnd"/>
      <w:r w:rsidRPr="00857ED3">
        <w:rPr>
          <w:rFonts w:ascii="Arial" w:hAnsi="Arial" w:cs="Arial"/>
          <w:sz w:val="22"/>
          <w:szCs w:val="22"/>
          <w:lang w:val="en-US"/>
        </w:rPr>
        <w:t xml:space="preserve"> Justice.</w:t>
      </w:r>
    </w:p>
    <w:p w:rsidR="00B52E89" w:rsidRPr="00416FDD" w:rsidRDefault="00B52E89" w:rsidP="00D15F94">
      <w:pPr>
        <w:pStyle w:val="Body1"/>
        <w:numPr>
          <w:ilvl w:val="0"/>
          <w:numId w:val="17"/>
        </w:numPr>
        <w:spacing w:line="360" w:lineRule="auto"/>
        <w:jc w:val="both"/>
        <w:rPr>
          <w:rFonts w:ascii="Arial" w:hAnsi="Arial" w:cs="Arial"/>
          <w:sz w:val="22"/>
          <w:szCs w:val="22"/>
        </w:rPr>
      </w:pPr>
      <w:r w:rsidRPr="00416FDD">
        <w:rPr>
          <w:rFonts w:ascii="Arial" w:hAnsi="Arial" w:cs="Arial"/>
          <w:sz w:val="22"/>
          <w:szCs w:val="22"/>
        </w:rPr>
        <w:t>Rojas</w:t>
      </w:r>
      <w:r w:rsidR="00857ED3">
        <w:rPr>
          <w:rFonts w:ascii="Arial" w:hAnsi="Arial" w:cs="Arial"/>
          <w:sz w:val="22"/>
          <w:szCs w:val="22"/>
        </w:rPr>
        <w:t>, Paz.</w:t>
      </w:r>
      <w:r w:rsidRPr="00416FDD">
        <w:rPr>
          <w:rFonts w:ascii="Arial" w:hAnsi="Arial" w:cs="Arial"/>
          <w:sz w:val="22"/>
          <w:szCs w:val="22"/>
        </w:rPr>
        <w:t xml:space="preserve"> </w:t>
      </w:r>
      <w:r w:rsidRPr="00857ED3">
        <w:rPr>
          <w:rFonts w:ascii="Arial" w:hAnsi="Arial" w:cs="Arial"/>
          <w:sz w:val="22"/>
          <w:szCs w:val="22"/>
          <w:u w:val="single"/>
        </w:rPr>
        <w:t>La reparación y sus efectos</w:t>
      </w:r>
      <w:r w:rsidRPr="00857ED3">
        <w:rPr>
          <w:rFonts w:ascii="Arial" w:hAnsi="Arial" w:cs="Arial"/>
          <w:sz w:val="22"/>
          <w:szCs w:val="22"/>
        </w:rPr>
        <w:t>,</w:t>
      </w:r>
      <w:r w:rsidRPr="00416FDD">
        <w:rPr>
          <w:rFonts w:ascii="Arial" w:hAnsi="Arial" w:cs="Arial"/>
          <w:sz w:val="22"/>
          <w:szCs w:val="22"/>
        </w:rPr>
        <w:t xml:space="preserve"> F y G Editores, Guatemala, 2002.</w:t>
      </w:r>
    </w:p>
    <w:p w:rsidR="00B52E89" w:rsidRPr="00416FDD" w:rsidRDefault="00857ED3" w:rsidP="00D15F94">
      <w:pPr>
        <w:pStyle w:val="Body1"/>
        <w:numPr>
          <w:ilvl w:val="0"/>
          <w:numId w:val="17"/>
        </w:numPr>
        <w:spacing w:line="360" w:lineRule="auto"/>
        <w:jc w:val="both"/>
        <w:rPr>
          <w:rFonts w:ascii="Arial" w:eastAsia="Times New Roman" w:hAnsi="Arial" w:cs="Arial"/>
          <w:color w:val="auto"/>
          <w:sz w:val="22"/>
          <w:szCs w:val="22"/>
        </w:rPr>
      </w:pPr>
      <w:proofErr w:type="spellStart"/>
      <w:r>
        <w:rPr>
          <w:rFonts w:ascii="Arial" w:hAnsi="Arial" w:cs="Arial"/>
          <w:sz w:val="22"/>
          <w:szCs w:val="22"/>
        </w:rPr>
        <w:t>Todorov</w:t>
      </w:r>
      <w:proofErr w:type="spellEnd"/>
      <w:r>
        <w:rPr>
          <w:rFonts w:ascii="Arial" w:hAnsi="Arial" w:cs="Arial"/>
          <w:sz w:val="22"/>
          <w:szCs w:val="22"/>
        </w:rPr>
        <w:t xml:space="preserve">, </w:t>
      </w:r>
      <w:proofErr w:type="spellStart"/>
      <w:r>
        <w:rPr>
          <w:rFonts w:ascii="Arial" w:hAnsi="Arial" w:cs="Arial"/>
          <w:sz w:val="22"/>
          <w:szCs w:val="22"/>
        </w:rPr>
        <w:t>Tzvetan</w:t>
      </w:r>
      <w:proofErr w:type="spellEnd"/>
      <w:r>
        <w:rPr>
          <w:rFonts w:ascii="Arial" w:hAnsi="Arial" w:cs="Arial"/>
          <w:sz w:val="22"/>
          <w:szCs w:val="22"/>
        </w:rPr>
        <w:t xml:space="preserve">. Conferencia, </w:t>
      </w:r>
      <w:r w:rsidR="00B52E89" w:rsidRPr="00857ED3">
        <w:rPr>
          <w:rFonts w:ascii="Arial" w:hAnsi="Arial" w:cs="Arial"/>
          <w:sz w:val="22"/>
          <w:szCs w:val="22"/>
          <w:u w:val="single"/>
        </w:rPr>
        <w:t>Arte y Política: la aspiración al absoluto</w:t>
      </w:r>
      <w:r w:rsidR="00B52E89" w:rsidRPr="00416FDD">
        <w:rPr>
          <w:rFonts w:ascii="Arial" w:hAnsi="Arial" w:cs="Arial"/>
          <w:sz w:val="22"/>
          <w:szCs w:val="22"/>
        </w:rPr>
        <w:t>, Santiago Chile, 2012.</w:t>
      </w:r>
    </w:p>
    <w:p w:rsidR="00B52E89" w:rsidRPr="00416FDD" w:rsidRDefault="00B52E89" w:rsidP="00D15F94">
      <w:pPr>
        <w:pStyle w:val="Body1"/>
        <w:numPr>
          <w:ilvl w:val="0"/>
          <w:numId w:val="17"/>
        </w:numPr>
        <w:spacing w:line="360" w:lineRule="auto"/>
        <w:jc w:val="both"/>
        <w:rPr>
          <w:rFonts w:ascii="Arial" w:eastAsia="Times New Roman" w:hAnsi="Arial" w:cs="Arial"/>
          <w:color w:val="auto"/>
          <w:sz w:val="22"/>
          <w:szCs w:val="22"/>
        </w:rPr>
      </w:pPr>
      <w:r w:rsidRPr="00416FDD">
        <w:rPr>
          <w:rFonts w:ascii="Arial" w:hAnsi="Arial" w:cs="Arial"/>
          <w:sz w:val="22"/>
          <w:szCs w:val="22"/>
        </w:rPr>
        <w:t>Valladolid</w:t>
      </w:r>
      <w:r w:rsidR="00857ED3">
        <w:rPr>
          <w:rFonts w:ascii="Arial" w:hAnsi="Arial" w:cs="Arial"/>
          <w:sz w:val="22"/>
          <w:szCs w:val="22"/>
        </w:rPr>
        <w:t xml:space="preserve"> Bueno,</w:t>
      </w:r>
      <w:r w:rsidRPr="00416FDD">
        <w:rPr>
          <w:rFonts w:ascii="Arial" w:hAnsi="Arial" w:cs="Arial"/>
          <w:sz w:val="22"/>
          <w:szCs w:val="22"/>
        </w:rPr>
        <w:t xml:space="preserve"> T</w:t>
      </w:r>
      <w:r w:rsidR="00857ED3">
        <w:rPr>
          <w:rFonts w:ascii="Arial" w:hAnsi="Arial" w:cs="Arial"/>
          <w:sz w:val="22"/>
          <w:szCs w:val="22"/>
        </w:rPr>
        <w:t>omas</w:t>
      </w:r>
      <w:r w:rsidRPr="00416FDD">
        <w:rPr>
          <w:rFonts w:ascii="Arial" w:hAnsi="Arial" w:cs="Arial"/>
          <w:sz w:val="22"/>
          <w:szCs w:val="22"/>
        </w:rPr>
        <w:t xml:space="preserve">. "Los derechos de las víctimas". En Mardones J. y Reyes M. </w:t>
      </w:r>
      <w:r w:rsidRPr="00857ED3">
        <w:rPr>
          <w:rFonts w:ascii="Arial" w:hAnsi="Arial" w:cs="Arial"/>
          <w:sz w:val="22"/>
          <w:szCs w:val="22"/>
          <w:u w:val="single"/>
        </w:rPr>
        <w:t>La ética ante las víctimas</w:t>
      </w:r>
      <w:r w:rsidRPr="00416FDD">
        <w:rPr>
          <w:rFonts w:ascii="Arial" w:hAnsi="Arial" w:cs="Arial"/>
          <w:i/>
          <w:sz w:val="22"/>
          <w:szCs w:val="22"/>
        </w:rPr>
        <w:t xml:space="preserve">, </w:t>
      </w:r>
      <w:r w:rsidR="00857ED3">
        <w:rPr>
          <w:rFonts w:ascii="Arial" w:hAnsi="Arial" w:cs="Arial"/>
          <w:sz w:val="22"/>
          <w:szCs w:val="22"/>
        </w:rPr>
        <w:t xml:space="preserve">España, </w:t>
      </w:r>
      <w:proofErr w:type="spellStart"/>
      <w:r w:rsidR="00857ED3">
        <w:rPr>
          <w:rFonts w:ascii="Arial" w:hAnsi="Arial" w:cs="Arial"/>
          <w:sz w:val="22"/>
          <w:szCs w:val="22"/>
        </w:rPr>
        <w:t>Anthropos</w:t>
      </w:r>
      <w:proofErr w:type="spellEnd"/>
      <w:r w:rsidR="00857ED3">
        <w:rPr>
          <w:rFonts w:ascii="Arial" w:hAnsi="Arial" w:cs="Arial"/>
          <w:sz w:val="22"/>
          <w:szCs w:val="22"/>
        </w:rPr>
        <w:t xml:space="preserve"> Editorial,</w:t>
      </w:r>
      <w:r w:rsidR="00857ED3" w:rsidRPr="00857ED3">
        <w:rPr>
          <w:rFonts w:ascii="Arial" w:hAnsi="Arial" w:cs="Arial"/>
          <w:sz w:val="22"/>
          <w:szCs w:val="22"/>
        </w:rPr>
        <w:t xml:space="preserve"> </w:t>
      </w:r>
      <w:r w:rsidR="00857ED3">
        <w:rPr>
          <w:rFonts w:ascii="Arial" w:hAnsi="Arial" w:cs="Arial"/>
          <w:sz w:val="22"/>
          <w:szCs w:val="22"/>
        </w:rPr>
        <w:t>2003.</w:t>
      </w:r>
      <w:r w:rsidRPr="00416FDD">
        <w:rPr>
          <w:rFonts w:ascii="Arial" w:hAnsi="Arial" w:cs="Arial"/>
          <w:sz w:val="22"/>
          <w:szCs w:val="22"/>
        </w:rPr>
        <w:t xml:space="preserve">   </w:t>
      </w:r>
    </w:p>
    <w:p w:rsidR="00B52E89" w:rsidRPr="00416FDD" w:rsidRDefault="00B52E89" w:rsidP="00D15F94">
      <w:pPr>
        <w:pStyle w:val="Textonotapie"/>
        <w:numPr>
          <w:ilvl w:val="0"/>
          <w:numId w:val="17"/>
        </w:numPr>
        <w:spacing w:line="360" w:lineRule="auto"/>
        <w:rPr>
          <w:rFonts w:ascii="Arial" w:hAnsi="Arial" w:cs="Arial"/>
          <w:sz w:val="22"/>
          <w:szCs w:val="22"/>
          <w:lang w:val="es-ES"/>
        </w:rPr>
      </w:pPr>
      <w:r w:rsidRPr="00416FDD">
        <w:rPr>
          <w:rFonts w:ascii="Arial" w:hAnsi="Arial" w:cs="Arial"/>
          <w:sz w:val="22"/>
          <w:szCs w:val="22"/>
          <w:lang w:val="es-ES"/>
        </w:rPr>
        <w:t>Villán Durán</w:t>
      </w:r>
      <w:r w:rsidR="00D07ABC">
        <w:rPr>
          <w:rFonts w:ascii="Arial" w:hAnsi="Arial" w:cs="Arial"/>
          <w:sz w:val="22"/>
          <w:szCs w:val="22"/>
          <w:lang w:val="es-ES"/>
        </w:rPr>
        <w:t>, Carlos.</w:t>
      </w:r>
      <w:r w:rsidRPr="00416FDD">
        <w:rPr>
          <w:rFonts w:ascii="Arial" w:hAnsi="Arial" w:cs="Arial"/>
          <w:sz w:val="22"/>
          <w:szCs w:val="22"/>
          <w:lang w:val="es-ES"/>
        </w:rPr>
        <w:t xml:space="preserve"> </w:t>
      </w:r>
      <w:r w:rsidRPr="00D07ABC">
        <w:rPr>
          <w:rFonts w:ascii="Arial" w:hAnsi="Arial" w:cs="Arial"/>
          <w:sz w:val="22"/>
          <w:szCs w:val="22"/>
          <w:u w:val="single"/>
          <w:lang w:val="es-ES"/>
        </w:rPr>
        <w:t>Curso de Derecho Internacional de los Derechos Humanos</w:t>
      </w:r>
      <w:r w:rsidRPr="00416FDD">
        <w:rPr>
          <w:rFonts w:ascii="Arial" w:hAnsi="Arial" w:cs="Arial"/>
          <w:sz w:val="22"/>
          <w:szCs w:val="22"/>
          <w:lang w:val="es-ES"/>
        </w:rPr>
        <w:t xml:space="preserve">, ed. </w:t>
      </w:r>
      <w:proofErr w:type="spellStart"/>
      <w:r w:rsidRPr="00416FDD">
        <w:rPr>
          <w:rFonts w:ascii="Arial" w:hAnsi="Arial" w:cs="Arial"/>
          <w:sz w:val="22"/>
          <w:szCs w:val="22"/>
          <w:lang w:val="es-ES"/>
        </w:rPr>
        <w:t>Trotta</w:t>
      </w:r>
      <w:proofErr w:type="spellEnd"/>
      <w:r w:rsidRPr="00416FDD">
        <w:rPr>
          <w:rFonts w:ascii="Arial" w:hAnsi="Arial" w:cs="Arial"/>
          <w:sz w:val="22"/>
          <w:szCs w:val="22"/>
          <w:lang w:val="es-ES"/>
        </w:rPr>
        <w:t xml:space="preserve">, Madrid, 2002. </w:t>
      </w:r>
    </w:p>
    <w:p w:rsidR="00B52E89" w:rsidRPr="00416FDD" w:rsidRDefault="00B52E89" w:rsidP="00B52E89">
      <w:pPr>
        <w:pStyle w:val="Body1"/>
        <w:jc w:val="both"/>
        <w:rPr>
          <w:rFonts w:ascii="Arial" w:hAnsi="Arial" w:cs="Arial"/>
          <w:sz w:val="22"/>
          <w:szCs w:val="22"/>
        </w:rPr>
      </w:pPr>
    </w:p>
    <w:p w:rsidR="00B52E89" w:rsidRPr="00416FDD" w:rsidRDefault="00B52E89" w:rsidP="00B52E89">
      <w:pPr>
        <w:pStyle w:val="Body1"/>
        <w:jc w:val="both"/>
        <w:rPr>
          <w:rFonts w:ascii="Arial" w:hAnsi="Arial" w:cs="Arial"/>
          <w:sz w:val="22"/>
          <w:szCs w:val="22"/>
        </w:rPr>
      </w:pPr>
    </w:p>
    <w:p w:rsidR="00B52E89" w:rsidRDefault="00B52E89" w:rsidP="00D15F94">
      <w:pPr>
        <w:pStyle w:val="Body1"/>
        <w:numPr>
          <w:ilvl w:val="0"/>
          <w:numId w:val="16"/>
        </w:numPr>
        <w:jc w:val="both"/>
        <w:rPr>
          <w:rFonts w:ascii="Arial" w:hAnsi="Arial" w:cs="Arial"/>
          <w:b/>
          <w:sz w:val="22"/>
          <w:szCs w:val="22"/>
        </w:rPr>
      </w:pPr>
      <w:r w:rsidRPr="00416FDD">
        <w:rPr>
          <w:rFonts w:ascii="Arial" w:hAnsi="Arial" w:cs="Arial"/>
          <w:b/>
          <w:sz w:val="22"/>
          <w:szCs w:val="22"/>
        </w:rPr>
        <w:t>Normativa.</w:t>
      </w:r>
    </w:p>
    <w:p w:rsidR="00D15F94" w:rsidRPr="00416FDD" w:rsidRDefault="00D15F94" w:rsidP="00D15F94">
      <w:pPr>
        <w:pStyle w:val="Body1"/>
        <w:ind w:left="1080"/>
        <w:jc w:val="both"/>
        <w:rPr>
          <w:rFonts w:ascii="Arial" w:hAnsi="Arial" w:cs="Arial"/>
          <w:b/>
          <w:sz w:val="22"/>
          <w:szCs w:val="22"/>
        </w:rPr>
      </w:pPr>
    </w:p>
    <w:p w:rsidR="00B52E89" w:rsidRPr="00416FDD" w:rsidRDefault="00B52E89" w:rsidP="00B52E89">
      <w:pPr>
        <w:pStyle w:val="Textonotapie"/>
        <w:jc w:val="both"/>
        <w:rPr>
          <w:rFonts w:ascii="Arial" w:hAnsi="Arial" w:cs="Arial"/>
          <w:sz w:val="22"/>
          <w:szCs w:val="22"/>
          <w:lang w:val="es-ES"/>
        </w:rPr>
      </w:pPr>
    </w:p>
    <w:p w:rsidR="00B52E89" w:rsidRPr="00416FDD" w:rsidRDefault="00B52E89" w:rsidP="00D15F94">
      <w:pPr>
        <w:pStyle w:val="Textonotapie"/>
        <w:numPr>
          <w:ilvl w:val="0"/>
          <w:numId w:val="18"/>
        </w:numPr>
        <w:spacing w:line="360" w:lineRule="auto"/>
        <w:jc w:val="both"/>
        <w:rPr>
          <w:rFonts w:ascii="Arial" w:hAnsi="Arial" w:cs="Arial"/>
          <w:sz w:val="22"/>
          <w:szCs w:val="22"/>
          <w:lang w:val="es-ES"/>
        </w:rPr>
      </w:pPr>
      <w:r>
        <w:rPr>
          <w:rFonts w:ascii="Arial" w:hAnsi="Arial" w:cs="Arial"/>
          <w:sz w:val="22"/>
          <w:szCs w:val="22"/>
          <w:lang w:val="es-ES"/>
        </w:rPr>
        <w:t>Convención Americana s</w:t>
      </w:r>
      <w:r w:rsidRPr="00416FDD">
        <w:rPr>
          <w:rFonts w:ascii="Arial" w:hAnsi="Arial" w:cs="Arial"/>
          <w:sz w:val="22"/>
          <w:szCs w:val="22"/>
          <w:lang w:val="es-ES"/>
        </w:rPr>
        <w:t>obre Derechos Humanos</w:t>
      </w:r>
      <w:r w:rsidR="00D07ABC">
        <w:rPr>
          <w:rFonts w:ascii="Arial" w:hAnsi="Arial" w:cs="Arial"/>
          <w:sz w:val="22"/>
          <w:szCs w:val="22"/>
          <w:lang w:val="es-ES"/>
        </w:rPr>
        <w:t>,</w:t>
      </w:r>
      <w:r w:rsidR="00DC53C8">
        <w:rPr>
          <w:rFonts w:ascii="Arial" w:hAnsi="Arial" w:cs="Arial"/>
          <w:sz w:val="22"/>
          <w:szCs w:val="22"/>
          <w:lang w:val="es-ES"/>
        </w:rPr>
        <w:t xml:space="preserve"> San José</w:t>
      </w:r>
      <w:r w:rsidRPr="00416FDD">
        <w:rPr>
          <w:rFonts w:ascii="Arial" w:hAnsi="Arial" w:cs="Arial"/>
          <w:sz w:val="22"/>
          <w:szCs w:val="22"/>
          <w:lang w:val="es-ES"/>
        </w:rPr>
        <w:t xml:space="preserve"> </w:t>
      </w:r>
      <w:r w:rsidR="00DC53C8">
        <w:rPr>
          <w:rFonts w:ascii="Arial" w:hAnsi="Arial" w:cs="Arial"/>
          <w:sz w:val="22"/>
          <w:szCs w:val="22"/>
          <w:lang w:val="es-ES"/>
        </w:rPr>
        <w:t>(</w:t>
      </w:r>
      <w:r w:rsidRPr="00416FDD">
        <w:rPr>
          <w:rFonts w:ascii="Arial" w:hAnsi="Arial" w:cs="Arial"/>
          <w:sz w:val="22"/>
          <w:szCs w:val="22"/>
          <w:lang w:val="es-ES"/>
        </w:rPr>
        <w:t>Costa Rica</w:t>
      </w:r>
      <w:r w:rsidR="00DC53C8">
        <w:rPr>
          <w:rFonts w:ascii="Arial" w:hAnsi="Arial" w:cs="Arial"/>
          <w:sz w:val="22"/>
          <w:szCs w:val="22"/>
          <w:lang w:val="es-ES"/>
        </w:rPr>
        <w:t>),</w:t>
      </w:r>
      <w:r w:rsidRPr="00416FDD">
        <w:rPr>
          <w:rFonts w:ascii="Arial" w:hAnsi="Arial" w:cs="Arial"/>
          <w:sz w:val="22"/>
          <w:szCs w:val="22"/>
          <w:lang w:val="es-ES"/>
        </w:rPr>
        <w:t xml:space="preserve"> 22 de noviembre de 1969. (Pacto de San José). </w:t>
      </w:r>
    </w:p>
    <w:p w:rsidR="00B52E89" w:rsidRPr="00416FDD" w:rsidRDefault="00B52E89" w:rsidP="00DC53C8">
      <w:pPr>
        <w:pStyle w:val="Textonotapie"/>
        <w:numPr>
          <w:ilvl w:val="0"/>
          <w:numId w:val="18"/>
        </w:numPr>
        <w:spacing w:line="360" w:lineRule="auto"/>
        <w:jc w:val="both"/>
        <w:rPr>
          <w:rFonts w:ascii="Arial" w:hAnsi="Arial" w:cs="Arial"/>
          <w:sz w:val="22"/>
          <w:szCs w:val="22"/>
          <w:lang w:val="es-ES"/>
        </w:rPr>
      </w:pPr>
      <w:r w:rsidRPr="00416FDD">
        <w:rPr>
          <w:rFonts w:ascii="Arial" w:hAnsi="Arial" w:cs="Arial"/>
          <w:sz w:val="22"/>
          <w:szCs w:val="22"/>
          <w:lang w:val="es-ES"/>
        </w:rPr>
        <w:t>Convención de Viena sobre el Derecho de los Tratados, Viena (Austria</w:t>
      </w:r>
      <w:r w:rsidR="00DC53C8">
        <w:rPr>
          <w:rFonts w:ascii="Arial" w:hAnsi="Arial" w:cs="Arial"/>
          <w:sz w:val="22"/>
          <w:szCs w:val="22"/>
          <w:lang w:val="es-ES"/>
        </w:rPr>
        <w:t xml:space="preserve">), </w:t>
      </w:r>
      <w:r>
        <w:rPr>
          <w:rFonts w:ascii="Arial" w:hAnsi="Arial" w:cs="Arial"/>
          <w:sz w:val="22"/>
          <w:szCs w:val="22"/>
          <w:lang w:val="es-ES"/>
        </w:rPr>
        <w:t>23 de mayo de 1969</w:t>
      </w:r>
      <w:r w:rsidRPr="00416FDD">
        <w:rPr>
          <w:rFonts w:ascii="Arial" w:hAnsi="Arial" w:cs="Arial"/>
          <w:sz w:val="22"/>
          <w:szCs w:val="22"/>
          <w:lang w:val="es-ES"/>
        </w:rPr>
        <w:t>.</w:t>
      </w:r>
    </w:p>
    <w:p w:rsidR="00B52E89" w:rsidRPr="00416FDD" w:rsidRDefault="00B52E89" w:rsidP="00D15F94">
      <w:pPr>
        <w:pStyle w:val="Textonotapie"/>
        <w:numPr>
          <w:ilvl w:val="0"/>
          <w:numId w:val="18"/>
        </w:numPr>
        <w:spacing w:line="360" w:lineRule="auto"/>
        <w:jc w:val="both"/>
        <w:rPr>
          <w:rFonts w:ascii="Arial" w:hAnsi="Arial" w:cs="Arial"/>
          <w:sz w:val="22"/>
          <w:szCs w:val="22"/>
          <w:lang w:val="es-ES"/>
        </w:rPr>
      </w:pPr>
      <w:r w:rsidRPr="00416FDD">
        <w:rPr>
          <w:rFonts w:ascii="Arial" w:hAnsi="Arial" w:cs="Arial"/>
          <w:sz w:val="22"/>
          <w:szCs w:val="22"/>
          <w:lang w:val="es-ES"/>
        </w:rPr>
        <w:t xml:space="preserve">Estatuto de la Corte Interamericana de Derechos Humanos, </w:t>
      </w:r>
      <w:r w:rsidR="00DC53C8">
        <w:rPr>
          <w:rFonts w:ascii="Arial" w:hAnsi="Arial" w:cs="Arial"/>
          <w:sz w:val="22"/>
          <w:szCs w:val="22"/>
          <w:lang w:val="es-ES"/>
        </w:rPr>
        <w:t>La Paz</w:t>
      </w:r>
      <w:r w:rsidRPr="00416FDD">
        <w:rPr>
          <w:rFonts w:ascii="Arial" w:hAnsi="Arial" w:cs="Arial"/>
          <w:sz w:val="22"/>
          <w:szCs w:val="22"/>
          <w:lang w:val="es-ES"/>
        </w:rPr>
        <w:t xml:space="preserve"> </w:t>
      </w:r>
      <w:r w:rsidR="00DC53C8">
        <w:rPr>
          <w:rFonts w:ascii="Arial" w:hAnsi="Arial" w:cs="Arial"/>
          <w:sz w:val="22"/>
          <w:szCs w:val="22"/>
          <w:lang w:val="es-ES"/>
        </w:rPr>
        <w:t>(</w:t>
      </w:r>
      <w:r w:rsidRPr="00416FDD">
        <w:rPr>
          <w:rFonts w:ascii="Arial" w:hAnsi="Arial" w:cs="Arial"/>
          <w:sz w:val="22"/>
          <w:szCs w:val="22"/>
          <w:lang w:val="es-ES"/>
        </w:rPr>
        <w:t>Bolivia</w:t>
      </w:r>
      <w:r w:rsidR="00DC53C8">
        <w:rPr>
          <w:rFonts w:ascii="Arial" w:hAnsi="Arial" w:cs="Arial"/>
          <w:sz w:val="22"/>
          <w:szCs w:val="22"/>
          <w:lang w:val="es-ES"/>
        </w:rPr>
        <w:t>)</w:t>
      </w:r>
      <w:r w:rsidRPr="00416FDD">
        <w:rPr>
          <w:rFonts w:ascii="Arial" w:hAnsi="Arial" w:cs="Arial"/>
          <w:sz w:val="22"/>
          <w:szCs w:val="22"/>
          <w:lang w:val="es-ES"/>
        </w:rPr>
        <w:t>, octubre de 1979.</w:t>
      </w:r>
    </w:p>
    <w:p w:rsidR="00B52E89" w:rsidRPr="00416FDD" w:rsidRDefault="00B52E89" w:rsidP="00D15F94">
      <w:pPr>
        <w:pStyle w:val="Body1"/>
        <w:numPr>
          <w:ilvl w:val="0"/>
          <w:numId w:val="18"/>
        </w:numPr>
        <w:spacing w:line="360" w:lineRule="auto"/>
        <w:jc w:val="both"/>
        <w:rPr>
          <w:rFonts w:ascii="Arial" w:hAnsi="Arial" w:cs="Arial"/>
          <w:sz w:val="22"/>
          <w:szCs w:val="22"/>
        </w:rPr>
      </w:pPr>
      <w:r w:rsidRPr="00416FDD">
        <w:rPr>
          <w:rFonts w:ascii="Arial" w:hAnsi="Arial" w:cs="Arial"/>
          <w:sz w:val="22"/>
          <w:szCs w:val="22"/>
        </w:rPr>
        <w:t>Reglamento de la Corte Interamericana de Derechos Humanos, 28 de noviembre del 2009</w:t>
      </w:r>
      <w:r w:rsidR="004B1D3D">
        <w:rPr>
          <w:rFonts w:ascii="Arial" w:hAnsi="Arial" w:cs="Arial"/>
          <w:sz w:val="22"/>
          <w:szCs w:val="22"/>
        </w:rPr>
        <w:t>.</w:t>
      </w:r>
    </w:p>
    <w:p w:rsidR="00B52E89" w:rsidRPr="00416FDD" w:rsidRDefault="00B52E89" w:rsidP="00D15F94">
      <w:pPr>
        <w:pStyle w:val="Textonotapie"/>
        <w:numPr>
          <w:ilvl w:val="0"/>
          <w:numId w:val="18"/>
        </w:numPr>
        <w:spacing w:line="360" w:lineRule="auto"/>
        <w:jc w:val="both"/>
        <w:rPr>
          <w:rFonts w:ascii="Arial" w:hAnsi="Arial" w:cs="Arial"/>
          <w:sz w:val="22"/>
          <w:szCs w:val="22"/>
          <w:lang w:val="es-ES"/>
        </w:rPr>
      </w:pPr>
      <w:r w:rsidRPr="00416FDD">
        <w:rPr>
          <w:rFonts w:ascii="Arial" w:hAnsi="Arial" w:cs="Arial"/>
          <w:sz w:val="22"/>
          <w:szCs w:val="22"/>
          <w:lang w:val="es-ES"/>
        </w:rPr>
        <w:t>Reglamento de la Comisión Interamericana de Derechos Humanos.</w:t>
      </w:r>
    </w:p>
    <w:p w:rsidR="00B52E89" w:rsidRPr="00416FDD" w:rsidRDefault="00B52E89" w:rsidP="00D15F94">
      <w:pPr>
        <w:pStyle w:val="Textonotapie"/>
        <w:numPr>
          <w:ilvl w:val="0"/>
          <w:numId w:val="18"/>
        </w:numPr>
        <w:spacing w:line="360" w:lineRule="auto"/>
        <w:jc w:val="both"/>
        <w:rPr>
          <w:rFonts w:ascii="Arial" w:hAnsi="Arial" w:cs="Arial"/>
          <w:sz w:val="22"/>
          <w:szCs w:val="22"/>
          <w:lang w:val="es-ES"/>
        </w:rPr>
      </w:pPr>
      <w:r w:rsidRPr="00416FDD">
        <w:rPr>
          <w:rFonts w:ascii="Arial" w:hAnsi="Arial" w:cs="Arial"/>
          <w:sz w:val="22"/>
          <w:szCs w:val="22"/>
          <w:lang w:val="es-ES"/>
        </w:rPr>
        <w:t>Principios y directrices básicos sobre el derecho de las víctimas de violaciones manifiestas de las normas internacionales de derechos humanos y de violaciones graves del derecho internacional humanitario a interponer recursos y obtener reparaciones, 16 de diciembre de 2005.</w:t>
      </w:r>
    </w:p>
    <w:p w:rsidR="00B52E89" w:rsidRPr="00416FDD" w:rsidRDefault="00B52E89" w:rsidP="00D15F94">
      <w:pPr>
        <w:pStyle w:val="Body1"/>
        <w:numPr>
          <w:ilvl w:val="0"/>
          <w:numId w:val="18"/>
        </w:numPr>
        <w:spacing w:line="360" w:lineRule="auto"/>
        <w:jc w:val="both"/>
        <w:rPr>
          <w:rFonts w:ascii="Arial" w:hAnsi="Arial" w:cs="Arial"/>
          <w:sz w:val="22"/>
          <w:szCs w:val="22"/>
        </w:rPr>
      </w:pPr>
      <w:r w:rsidRPr="00416FDD">
        <w:rPr>
          <w:rFonts w:ascii="Arial" w:hAnsi="Arial" w:cs="Arial"/>
          <w:sz w:val="22"/>
          <w:szCs w:val="22"/>
        </w:rPr>
        <w:t>Estatuto del Consejo d</w:t>
      </w:r>
      <w:r>
        <w:rPr>
          <w:rFonts w:ascii="Arial" w:hAnsi="Arial" w:cs="Arial"/>
          <w:sz w:val="22"/>
          <w:szCs w:val="22"/>
        </w:rPr>
        <w:t>e Europa</w:t>
      </w:r>
      <w:r w:rsidR="002B7E4E">
        <w:rPr>
          <w:rFonts w:ascii="Arial" w:hAnsi="Arial" w:cs="Arial"/>
          <w:sz w:val="22"/>
          <w:szCs w:val="22"/>
        </w:rPr>
        <w:t>, Londres 1949.</w:t>
      </w:r>
    </w:p>
    <w:p w:rsidR="00B52E89" w:rsidRPr="00416FDD" w:rsidRDefault="00B52E89" w:rsidP="00D15F94">
      <w:pPr>
        <w:pStyle w:val="Textonotapie"/>
        <w:numPr>
          <w:ilvl w:val="0"/>
          <w:numId w:val="18"/>
        </w:numPr>
        <w:spacing w:line="360" w:lineRule="auto"/>
        <w:rPr>
          <w:rFonts w:ascii="Arial" w:hAnsi="Arial" w:cs="Arial"/>
          <w:sz w:val="22"/>
          <w:szCs w:val="22"/>
          <w:lang w:val="es-ES"/>
        </w:rPr>
      </w:pPr>
      <w:r w:rsidRPr="00416FDD">
        <w:rPr>
          <w:rFonts w:ascii="Arial" w:hAnsi="Arial" w:cs="Arial"/>
          <w:sz w:val="22"/>
          <w:szCs w:val="22"/>
          <w:lang w:val="es-ES"/>
        </w:rPr>
        <w:t xml:space="preserve">Constitución de la República del Ecuador, Registro Oficial 449 de 20 de octubre de 2008. </w:t>
      </w:r>
    </w:p>
    <w:p w:rsidR="00B52E89" w:rsidRPr="00416FDD" w:rsidRDefault="00B52E89" w:rsidP="00D15F94">
      <w:pPr>
        <w:pStyle w:val="Textonotapie"/>
        <w:numPr>
          <w:ilvl w:val="0"/>
          <w:numId w:val="18"/>
        </w:numPr>
        <w:spacing w:line="360" w:lineRule="auto"/>
        <w:rPr>
          <w:rFonts w:ascii="Arial" w:hAnsi="Arial" w:cs="Arial"/>
          <w:sz w:val="22"/>
          <w:szCs w:val="22"/>
          <w:lang w:val="es-ES"/>
        </w:rPr>
      </w:pPr>
      <w:r w:rsidRPr="00416FDD">
        <w:rPr>
          <w:rFonts w:ascii="Arial" w:hAnsi="Arial" w:cs="Arial"/>
          <w:sz w:val="22"/>
          <w:szCs w:val="22"/>
          <w:lang w:val="es-ES"/>
        </w:rPr>
        <w:t>Reglamento Orgánico Funcional de la Procuraduría General del Estado, Regist</w:t>
      </w:r>
      <w:r w:rsidR="002B7E4E">
        <w:rPr>
          <w:rFonts w:ascii="Arial" w:hAnsi="Arial" w:cs="Arial"/>
          <w:sz w:val="22"/>
          <w:szCs w:val="22"/>
          <w:lang w:val="es-ES"/>
        </w:rPr>
        <w:t xml:space="preserve">ro Oficial Suplemento 228 de 16 de </w:t>
      </w:r>
      <w:r w:rsidRPr="00416FDD">
        <w:rPr>
          <w:rFonts w:ascii="Arial" w:hAnsi="Arial" w:cs="Arial"/>
          <w:sz w:val="22"/>
          <w:szCs w:val="22"/>
          <w:lang w:val="es-ES"/>
        </w:rPr>
        <w:t>ene</w:t>
      </w:r>
      <w:r w:rsidR="002B7E4E">
        <w:rPr>
          <w:rFonts w:ascii="Arial" w:hAnsi="Arial" w:cs="Arial"/>
          <w:sz w:val="22"/>
          <w:szCs w:val="22"/>
          <w:lang w:val="es-ES"/>
        </w:rPr>
        <w:t xml:space="preserve">ro de </w:t>
      </w:r>
      <w:r w:rsidRPr="00416FDD">
        <w:rPr>
          <w:rFonts w:ascii="Arial" w:hAnsi="Arial" w:cs="Arial"/>
          <w:sz w:val="22"/>
          <w:szCs w:val="22"/>
          <w:lang w:val="es-ES"/>
        </w:rPr>
        <w:t xml:space="preserve">2012.  </w:t>
      </w:r>
    </w:p>
    <w:p w:rsidR="00B52E89" w:rsidRPr="00416FDD" w:rsidRDefault="00B52E89" w:rsidP="00D15F94">
      <w:pPr>
        <w:pStyle w:val="Textonotapie"/>
        <w:numPr>
          <w:ilvl w:val="0"/>
          <w:numId w:val="18"/>
        </w:numPr>
        <w:spacing w:line="360" w:lineRule="auto"/>
        <w:rPr>
          <w:rFonts w:ascii="Arial" w:hAnsi="Arial" w:cs="Arial"/>
          <w:sz w:val="22"/>
          <w:szCs w:val="22"/>
          <w:lang w:val="es-ES"/>
        </w:rPr>
      </w:pPr>
      <w:r w:rsidRPr="00416FDD">
        <w:rPr>
          <w:rFonts w:ascii="Arial" w:hAnsi="Arial" w:cs="Arial"/>
          <w:sz w:val="22"/>
          <w:szCs w:val="22"/>
          <w:lang w:val="es-ES"/>
        </w:rPr>
        <w:t>Decreto Ejecutivo 1</w:t>
      </w:r>
      <w:r w:rsidR="002B7E4E">
        <w:rPr>
          <w:rFonts w:ascii="Arial" w:hAnsi="Arial" w:cs="Arial"/>
          <w:sz w:val="22"/>
          <w:szCs w:val="22"/>
          <w:lang w:val="es-ES"/>
        </w:rPr>
        <w:t xml:space="preserve">317, Registro Oficial 428 de 18 de </w:t>
      </w:r>
      <w:r w:rsidRPr="00416FDD">
        <w:rPr>
          <w:rFonts w:ascii="Arial" w:hAnsi="Arial" w:cs="Arial"/>
          <w:sz w:val="22"/>
          <w:szCs w:val="22"/>
          <w:lang w:val="es-ES"/>
        </w:rPr>
        <w:t>sep</w:t>
      </w:r>
      <w:r w:rsidR="002B7E4E">
        <w:rPr>
          <w:rFonts w:ascii="Arial" w:hAnsi="Arial" w:cs="Arial"/>
          <w:sz w:val="22"/>
          <w:szCs w:val="22"/>
          <w:lang w:val="es-ES"/>
        </w:rPr>
        <w:t xml:space="preserve">tiembre de </w:t>
      </w:r>
      <w:r w:rsidRPr="00416FDD">
        <w:rPr>
          <w:rFonts w:ascii="Arial" w:hAnsi="Arial" w:cs="Arial"/>
          <w:sz w:val="22"/>
          <w:szCs w:val="22"/>
          <w:lang w:val="es-ES"/>
        </w:rPr>
        <w:t>2008</w:t>
      </w:r>
      <w:r w:rsidR="002B7E4E">
        <w:rPr>
          <w:rFonts w:ascii="Arial" w:hAnsi="Arial" w:cs="Arial"/>
          <w:sz w:val="22"/>
          <w:szCs w:val="22"/>
          <w:lang w:val="es-ES"/>
        </w:rPr>
        <w:t>.</w:t>
      </w:r>
      <w:r w:rsidRPr="00416FDD">
        <w:rPr>
          <w:rFonts w:ascii="Arial" w:hAnsi="Arial" w:cs="Arial"/>
          <w:sz w:val="22"/>
          <w:szCs w:val="22"/>
          <w:lang w:val="es-ES"/>
        </w:rPr>
        <w:t xml:space="preserve"> </w:t>
      </w:r>
    </w:p>
    <w:p w:rsidR="00783008" w:rsidRDefault="00783008" w:rsidP="00B52E89">
      <w:pPr>
        <w:pStyle w:val="Body1"/>
        <w:jc w:val="both"/>
        <w:rPr>
          <w:rFonts w:ascii="Arial" w:hAnsi="Arial" w:cs="Arial"/>
          <w:sz w:val="22"/>
          <w:szCs w:val="22"/>
        </w:rPr>
      </w:pPr>
    </w:p>
    <w:p w:rsidR="002B7E4E" w:rsidRPr="00416FDD" w:rsidRDefault="002B7E4E" w:rsidP="00B52E89">
      <w:pPr>
        <w:pStyle w:val="Body1"/>
        <w:jc w:val="both"/>
        <w:rPr>
          <w:rFonts w:ascii="Arial" w:hAnsi="Arial" w:cs="Arial"/>
          <w:sz w:val="22"/>
          <w:szCs w:val="22"/>
        </w:rPr>
      </w:pPr>
    </w:p>
    <w:p w:rsidR="00B52E89" w:rsidRDefault="00B52E89" w:rsidP="00D15F94">
      <w:pPr>
        <w:pStyle w:val="Body1"/>
        <w:numPr>
          <w:ilvl w:val="0"/>
          <w:numId w:val="16"/>
        </w:numPr>
        <w:jc w:val="both"/>
        <w:rPr>
          <w:rFonts w:ascii="Arial" w:hAnsi="Arial" w:cs="Arial"/>
          <w:b/>
          <w:sz w:val="22"/>
          <w:szCs w:val="22"/>
        </w:rPr>
      </w:pPr>
      <w:r w:rsidRPr="00416FDD">
        <w:rPr>
          <w:rFonts w:ascii="Arial" w:hAnsi="Arial" w:cs="Arial"/>
          <w:b/>
          <w:sz w:val="22"/>
          <w:szCs w:val="22"/>
        </w:rPr>
        <w:t>Jurisprudencia.</w:t>
      </w:r>
    </w:p>
    <w:p w:rsidR="005305BE" w:rsidRPr="00416FDD" w:rsidRDefault="005305BE" w:rsidP="005305BE">
      <w:pPr>
        <w:pStyle w:val="Body1"/>
        <w:ind w:left="1080"/>
        <w:jc w:val="both"/>
        <w:rPr>
          <w:rFonts w:ascii="Arial" w:hAnsi="Arial" w:cs="Arial"/>
          <w:b/>
          <w:sz w:val="22"/>
          <w:szCs w:val="22"/>
        </w:rPr>
      </w:pPr>
    </w:p>
    <w:p w:rsidR="00B52E89" w:rsidRDefault="00A3443A" w:rsidP="00A3443A">
      <w:pPr>
        <w:pStyle w:val="Body1"/>
        <w:ind w:left="1080"/>
        <w:jc w:val="both"/>
        <w:rPr>
          <w:rFonts w:ascii="Arial" w:hAnsi="Arial" w:cs="Arial"/>
          <w:b/>
          <w:sz w:val="22"/>
          <w:szCs w:val="22"/>
        </w:rPr>
      </w:pPr>
      <w:r>
        <w:rPr>
          <w:rFonts w:ascii="Arial" w:hAnsi="Arial" w:cs="Arial"/>
          <w:b/>
          <w:sz w:val="22"/>
          <w:szCs w:val="22"/>
        </w:rPr>
        <w:lastRenderedPageBreak/>
        <w:t>Casos Contenciosos</w:t>
      </w:r>
      <w:r w:rsidR="007706F6">
        <w:rPr>
          <w:rFonts w:ascii="Arial" w:hAnsi="Arial" w:cs="Arial"/>
          <w:b/>
          <w:sz w:val="22"/>
          <w:szCs w:val="22"/>
        </w:rPr>
        <w:t xml:space="preserve"> de la Corte Interamericana de Derechos Humanos</w:t>
      </w:r>
    </w:p>
    <w:p w:rsidR="00111583" w:rsidRDefault="00111583" w:rsidP="00A3443A">
      <w:pPr>
        <w:pStyle w:val="Body1"/>
        <w:ind w:left="1080"/>
        <w:jc w:val="both"/>
        <w:rPr>
          <w:rFonts w:ascii="Arial" w:hAnsi="Arial" w:cs="Arial"/>
          <w:b/>
          <w:sz w:val="22"/>
          <w:szCs w:val="22"/>
        </w:rPr>
      </w:pPr>
    </w:p>
    <w:p w:rsidR="00111583"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Caso Baena Ricardo y otros Vs. Panamá, s</w:t>
      </w:r>
      <w:r w:rsidRPr="00416FDD">
        <w:rPr>
          <w:rFonts w:ascii="Arial" w:hAnsi="Arial" w:cs="Arial"/>
          <w:sz w:val="22"/>
          <w:szCs w:val="22"/>
          <w:lang w:val="es-ES"/>
        </w:rPr>
        <w:t xml:space="preserve">entencia de 28 de noviembre de 2003. </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C</w:t>
      </w:r>
      <w:r>
        <w:rPr>
          <w:rFonts w:ascii="Arial" w:hAnsi="Arial" w:cs="Arial"/>
          <w:sz w:val="22"/>
          <w:szCs w:val="22"/>
          <w:lang w:val="es-ES"/>
        </w:rPr>
        <w:t xml:space="preserve">aso de las Masacres de </w:t>
      </w:r>
      <w:proofErr w:type="spellStart"/>
      <w:r>
        <w:rPr>
          <w:rFonts w:ascii="Arial" w:hAnsi="Arial" w:cs="Arial"/>
          <w:sz w:val="22"/>
          <w:szCs w:val="22"/>
          <w:lang w:val="es-ES"/>
        </w:rPr>
        <w:t>Ituango</w:t>
      </w:r>
      <w:proofErr w:type="spellEnd"/>
      <w:r>
        <w:rPr>
          <w:rFonts w:ascii="Arial" w:hAnsi="Arial" w:cs="Arial"/>
          <w:sz w:val="22"/>
          <w:szCs w:val="22"/>
          <w:lang w:val="es-ES"/>
        </w:rPr>
        <w:t xml:space="preserve"> V</w:t>
      </w:r>
      <w:r w:rsidRPr="00416FDD">
        <w:rPr>
          <w:rFonts w:ascii="Arial" w:hAnsi="Arial" w:cs="Arial"/>
          <w:sz w:val="22"/>
          <w:szCs w:val="22"/>
          <w:lang w:val="es-ES"/>
        </w:rPr>
        <w:t>s Colombia, sentencia 1 de julio de 2006.</w:t>
      </w:r>
    </w:p>
    <w:p w:rsidR="00111583" w:rsidRPr="00A3443A" w:rsidRDefault="00111583" w:rsidP="00111583">
      <w:pPr>
        <w:pStyle w:val="Body1"/>
        <w:numPr>
          <w:ilvl w:val="0"/>
          <w:numId w:val="19"/>
        </w:numPr>
        <w:spacing w:line="360" w:lineRule="auto"/>
        <w:jc w:val="both"/>
        <w:rPr>
          <w:rFonts w:ascii="Arial" w:hAnsi="Arial" w:cs="Arial"/>
          <w:sz w:val="22"/>
          <w:szCs w:val="22"/>
        </w:rPr>
      </w:pPr>
      <w:r>
        <w:rPr>
          <w:rFonts w:ascii="Arial" w:hAnsi="Arial" w:cs="Arial"/>
          <w:sz w:val="22"/>
          <w:szCs w:val="22"/>
        </w:rPr>
        <w:t>Caso Barrios Altos Vs. Perú,</w:t>
      </w:r>
      <w:r w:rsidRPr="00416FDD">
        <w:rPr>
          <w:rFonts w:ascii="Arial" w:hAnsi="Arial" w:cs="Arial"/>
          <w:sz w:val="22"/>
          <w:szCs w:val="22"/>
        </w:rPr>
        <w:t xml:space="preserve"> sentencia de 29 de julio de 1988</w:t>
      </w:r>
      <w:r>
        <w:rPr>
          <w:rFonts w:ascii="Arial" w:hAnsi="Arial" w:cs="Arial"/>
          <w:sz w:val="22"/>
          <w:szCs w:val="22"/>
        </w:rPr>
        <w:t>.</w:t>
      </w:r>
    </w:p>
    <w:p w:rsidR="00111583" w:rsidRPr="00A3443A"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 xml:space="preserve">Caso </w:t>
      </w:r>
      <w:proofErr w:type="spellStart"/>
      <w:r w:rsidRPr="00416FDD">
        <w:rPr>
          <w:rFonts w:ascii="Arial" w:hAnsi="Arial" w:cs="Arial"/>
          <w:sz w:val="22"/>
          <w:szCs w:val="22"/>
          <w:lang w:val="es-ES"/>
        </w:rPr>
        <w:t>Lori</w:t>
      </w:r>
      <w:proofErr w:type="spellEnd"/>
      <w:r w:rsidRPr="00416FDD">
        <w:rPr>
          <w:rFonts w:ascii="Arial" w:hAnsi="Arial" w:cs="Arial"/>
          <w:sz w:val="22"/>
          <w:szCs w:val="22"/>
          <w:lang w:val="es-ES"/>
        </w:rPr>
        <w:t xml:space="preserve"> </w:t>
      </w:r>
      <w:proofErr w:type="spellStart"/>
      <w:r w:rsidRPr="00416FDD">
        <w:rPr>
          <w:rFonts w:ascii="Arial" w:hAnsi="Arial" w:cs="Arial"/>
          <w:sz w:val="22"/>
          <w:szCs w:val="22"/>
          <w:lang w:val="es-ES"/>
        </w:rPr>
        <w:t>Berenson</w:t>
      </w:r>
      <w:proofErr w:type="spellEnd"/>
      <w:r w:rsidRPr="00416FDD">
        <w:rPr>
          <w:rFonts w:ascii="Arial" w:hAnsi="Arial" w:cs="Arial"/>
          <w:sz w:val="22"/>
          <w:szCs w:val="22"/>
          <w:lang w:val="es-ES"/>
        </w:rPr>
        <w:t xml:space="preserve"> Mejía</w:t>
      </w:r>
      <w:r>
        <w:rPr>
          <w:rFonts w:ascii="Arial" w:hAnsi="Arial" w:cs="Arial"/>
          <w:sz w:val="22"/>
          <w:szCs w:val="22"/>
          <w:lang w:val="es-ES"/>
        </w:rPr>
        <w:t xml:space="preserve"> Vs. Perú,</w:t>
      </w:r>
      <w:r w:rsidRPr="00416FDD">
        <w:rPr>
          <w:rFonts w:ascii="Arial" w:hAnsi="Arial" w:cs="Arial"/>
          <w:sz w:val="22"/>
          <w:szCs w:val="22"/>
          <w:lang w:val="es-ES"/>
        </w:rPr>
        <w:t xml:space="preserve"> </w:t>
      </w:r>
      <w:r>
        <w:rPr>
          <w:rFonts w:ascii="Arial" w:hAnsi="Arial" w:cs="Arial"/>
          <w:sz w:val="22"/>
          <w:szCs w:val="22"/>
          <w:lang w:val="es-ES"/>
        </w:rPr>
        <w:t>sentencia de 25 de noviembre de 2004.</w:t>
      </w:r>
    </w:p>
    <w:p w:rsidR="00111583" w:rsidRPr="003633B6" w:rsidRDefault="00111583" w:rsidP="00111583">
      <w:pPr>
        <w:pStyle w:val="Textonotapie"/>
        <w:numPr>
          <w:ilvl w:val="0"/>
          <w:numId w:val="19"/>
        </w:numPr>
        <w:spacing w:line="360" w:lineRule="auto"/>
        <w:jc w:val="both"/>
        <w:rPr>
          <w:rFonts w:ascii="Arial" w:hAnsi="Arial" w:cs="Arial"/>
          <w:sz w:val="22"/>
          <w:szCs w:val="22"/>
          <w:lang w:val="es-ES"/>
        </w:rPr>
      </w:pPr>
      <w:r w:rsidRPr="003633B6">
        <w:rPr>
          <w:rFonts w:ascii="Arial" w:hAnsi="Arial" w:cs="Arial"/>
          <w:sz w:val="22"/>
          <w:szCs w:val="22"/>
          <w:lang w:val="es-ES"/>
        </w:rPr>
        <w:t xml:space="preserve">Caso Carpio </w:t>
      </w:r>
      <w:proofErr w:type="spellStart"/>
      <w:r w:rsidRPr="003633B6">
        <w:rPr>
          <w:rFonts w:ascii="Arial" w:hAnsi="Arial" w:cs="Arial"/>
          <w:sz w:val="22"/>
          <w:szCs w:val="22"/>
          <w:lang w:val="es-ES"/>
        </w:rPr>
        <w:t>Nicolle</w:t>
      </w:r>
      <w:proofErr w:type="spellEnd"/>
      <w:r w:rsidRPr="003633B6">
        <w:rPr>
          <w:rFonts w:ascii="Arial" w:hAnsi="Arial" w:cs="Arial"/>
          <w:sz w:val="22"/>
          <w:szCs w:val="22"/>
          <w:lang w:val="es-ES"/>
        </w:rPr>
        <w:t xml:space="preserve"> Vs. Guatemala, sentencia de 22 de noviembre de 2004</w:t>
      </w:r>
      <w:r>
        <w:rPr>
          <w:rFonts w:ascii="Arial" w:hAnsi="Arial" w:cs="Arial"/>
          <w:sz w:val="22"/>
          <w:szCs w:val="22"/>
          <w:lang w:val="es-ES"/>
        </w:rPr>
        <w:t>.</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C</w:t>
      </w:r>
      <w:r>
        <w:rPr>
          <w:rFonts w:ascii="Arial" w:hAnsi="Arial" w:cs="Arial"/>
          <w:sz w:val="22"/>
          <w:szCs w:val="22"/>
          <w:lang w:val="es-ES"/>
        </w:rPr>
        <w:t>aso De la Cruz Flores Vs. Perú, sentencia de 18 de noviembre de 2004.</w:t>
      </w:r>
    </w:p>
    <w:p w:rsidR="00111583" w:rsidRPr="00416FDD" w:rsidRDefault="00111583" w:rsidP="00111583">
      <w:pPr>
        <w:pStyle w:val="Textonotapie"/>
        <w:numPr>
          <w:ilvl w:val="0"/>
          <w:numId w:val="19"/>
        </w:numPr>
        <w:spacing w:line="360" w:lineRule="auto"/>
        <w:rPr>
          <w:rFonts w:ascii="Arial" w:hAnsi="Arial" w:cs="Arial"/>
          <w:sz w:val="22"/>
          <w:szCs w:val="22"/>
          <w:lang w:val="es-ES"/>
        </w:rPr>
      </w:pPr>
      <w:r>
        <w:rPr>
          <w:rFonts w:ascii="Arial" w:hAnsi="Arial" w:cs="Arial"/>
          <w:sz w:val="22"/>
          <w:szCs w:val="22"/>
          <w:lang w:val="es-ES"/>
        </w:rPr>
        <w:t xml:space="preserve">Caso Masacre Plan de Sánchez Vs. Guatemala, sentencia de 19 de noviembre de 2004. </w:t>
      </w:r>
    </w:p>
    <w:p w:rsidR="00111583" w:rsidRPr="00416FDD" w:rsidRDefault="00111583" w:rsidP="00111583">
      <w:pPr>
        <w:pStyle w:val="Textonotapie"/>
        <w:numPr>
          <w:ilvl w:val="0"/>
          <w:numId w:val="19"/>
        </w:numPr>
        <w:spacing w:line="360" w:lineRule="auto"/>
        <w:rPr>
          <w:rFonts w:ascii="Arial" w:hAnsi="Arial" w:cs="Arial"/>
          <w:sz w:val="22"/>
          <w:szCs w:val="22"/>
          <w:lang w:val="es-ES"/>
        </w:rPr>
      </w:pPr>
      <w:r>
        <w:rPr>
          <w:rFonts w:ascii="Arial" w:hAnsi="Arial" w:cs="Arial"/>
          <w:sz w:val="22"/>
          <w:szCs w:val="22"/>
          <w:lang w:val="es-ES"/>
        </w:rPr>
        <w:t>Caso Gutiérrez Soler Vs</w:t>
      </w:r>
      <w:r w:rsidRPr="00416FDD">
        <w:rPr>
          <w:rFonts w:ascii="Arial" w:hAnsi="Arial" w:cs="Arial"/>
          <w:sz w:val="22"/>
          <w:szCs w:val="22"/>
          <w:lang w:val="es-ES"/>
        </w:rPr>
        <w:t xml:space="preserve">. Colombia, sentencia </w:t>
      </w:r>
      <w:r>
        <w:rPr>
          <w:rFonts w:ascii="Arial" w:hAnsi="Arial" w:cs="Arial"/>
          <w:sz w:val="22"/>
          <w:szCs w:val="22"/>
          <w:lang w:val="es-ES"/>
        </w:rPr>
        <w:t xml:space="preserve">de </w:t>
      </w:r>
      <w:r w:rsidRPr="00416FDD">
        <w:rPr>
          <w:rFonts w:ascii="Arial" w:hAnsi="Arial" w:cs="Arial"/>
          <w:sz w:val="22"/>
          <w:szCs w:val="22"/>
          <w:lang w:val="es-ES"/>
        </w:rPr>
        <w:t>12 de septiembre 2005.</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 xml:space="preserve">Caso </w:t>
      </w:r>
      <w:proofErr w:type="spellStart"/>
      <w:r w:rsidRPr="00416FDD">
        <w:rPr>
          <w:rFonts w:ascii="Arial" w:hAnsi="Arial" w:cs="Arial"/>
          <w:sz w:val="22"/>
          <w:szCs w:val="22"/>
          <w:lang w:val="es-ES"/>
        </w:rPr>
        <w:t>Furlan</w:t>
      </w:r>
      <w:proofErr w:type="spellEnd"/>
      <w:r w:rsidRPr="00416FDD">
        <w:rPr>
          <w:rFonts w:ascii="Arial" w:hAnsi="Arial" w:cs="Arial"/>
          <w:sz w:val="22"/>
          <w:szCs w:val="22"/>
          <w:lang w:val="es-ES"/>
        </w:rPr>
        <w:t xml:space="preserve"> </w:t>
      </w:r>
      <w:r>
        <w:rPr>
          <w:rFonts w:ascii="Arial" w:hAnsi="Arial" w:cs="Arial"/>
          <w:sz w:val="22"/>
          <w:szCs w:val="22"/>
          <w:lang w:val="es-ES"/>
        </w:rPr>
        <w:t>y familiares V</w:t>
      </w:r>
      <w:r w:rsidRPr="00416FDD">
        <w:rPr>
          <w:rFonts w:ascii="Arial" w:hAnsi="Arial" w:cs="Arial"/>
          <w:sz w:val="22"/>
          <w:szCs w:val="22"/>
          <w:lang w:val="es-ES"/>
        </w:rPr>
        <w:t>s. Argentina</w:t>
      </w:r>
      <w:r>
        <w:rPr>
          <w:rFonts w:ascii="Arial" w:hAnsi="Arial" w:cs="Arial"/>
          <w:sz w:val="22"/>
          <w:szCs w:val="22"/>
          <w:lang w:val="es-ES"/>
        </w:rPr>
        <w:t>, sentencia de 31 de agosto de 2012.</w:t>
      </w:r>
    </w:p>
    <w:p w:rsidR="00111583"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Caso De la Masacre</w:t>
      </w:r>
      <w:r>
        <w:rPr>
          <w:rFonts w:ascii="Arial" w:hAnsi="Arial" w:cs="Arial"/>
          <w:sz w:val="22"/>
          <w:szCs w:val="22"/>
          <w:lang w:val="es-ES"/>
        </w:rPr>
        <w:t xml:space="preserve"> de las Dos Erres Vs. Guatemala, sentencia de 24 de noviembre de 2009.</w:t>
      </w:r>
      <w:r w:rsidRPr="00416FDD">
        <w:rPr>
          <w:rFonts w:ascii="Arial" w:hAnsi="Arial" w:cs="Arial"/>
          <w:sz w:val="22"/>
          <w:szCs w:val="22"/>
          <w:lang w:val="es-ES"/>
        </w:rPr>
        <w:t xml:space="preserve"> </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Caso Velásquez Rodríguez V</w:t>
      </w:r>
      <w:r w:rsidRPr="00416FDD">
        <w:rPr>
          <w:rFonts w:ascii="Arial" w:hAnsi="Arial" w:cs="Arial"/>
          <w:sz w:val="22"/>
          <w:szCs w:val="22"/>
          <w:lang w:val="es-ES"/>
        </w:rPr>
        <w:t>s. Honduras</w:t>
      </w:r>
      <w:r>
        <w:rPr>
          <w:rFonts w:ascii="Arial" w:hAnsi="Arial" w:cs="Arial"/>
          <w:sz w:val="22"/>
          <w:szCs w:val="22"/>
          <w:lang w:val="es-ES"/>
        </w:rPr>
        <w:t>,</w:t>
      </w:r>
      <w:r w:rsidRPr="00416FDD">
        <w:rPr>
          <w:rFonts w:ascii="Arial" w:hAnsi="Arial" w:cs="Arial"/>
          <w:sz w:val="22"/>
          <w:szCs w:val="22"/>
          <w:lang w:val="es-ES"/>
        </w:rPr>
        <w:t xml:space="preserve"> </w:t>
      </w:r>
      <w:r>
        <w:rPr>
          <w:rFonts w:ascii="Arial" w:hAnsi="Arial" w:cs="Arial"/>
          <w:sz w:val="22"/>
          <w:szCs w:val="22"/>
          <w:lang w:val="es-ES"/>
        </w:rPr>
        <w:t>s</w:t>
      </w:r>
      <w:r w:rsidRPr="00416FDD">
        <w:rPr>
          <w:rFonts w:ascii="Arial" w:hAnsi="Arial" w:cs="Arial"/>
          <w:sz w:val="22"/>
          <w:szCs w:val="22"/>
          <w:lang w:val="es-ES"/>
        </w:rPr>
        <w:t>entencia de 21 de Julio de 1989</w:t>
      </w:r>
      <w:r>
        <w:rPr>
          <w:rFonts w:ascii="Arial" w:hAnsi="Arial" w:cs="Arial"/>
          <w:sz w:val="22"/>
          <w:szCs w:val="22"/>
          <w:lang w:val="es-ES"/>
        </w:rPr>
        <w:t>.</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 xml:space="preserve">Caso Myrna </w:t>
      </w:r>
      <w:proofErr w:type="spellStart"/>
      <w:r w:rsidRPr="00416FDD">
        <w:rPr>
          <w:rFonts w:ascii="Arial" w:hAnsi="Arial" w:cs="Arial"/>
          <w:sz w:val="22"/>
          <w:szCs w:val="22"/>
          <w:lang w:val="es-ES"/>
        </w:rPr>
        <w:t>Mack</w:t>
      </w:r>
      <w:proofErr w:type="spellEnd"/>
      <w:r w:rsidRPr="00416FDD">
        <w:rPr>
          <w:rFonts w:ascii="Arial" w:hAnsi="Arial" w:cs="Arial"/>
          <w:sz w:val="22"/>
          <w:szCs w:val="22"/>
          <w:lang w:val="es-ES"/>
        </w:rPr>
        <w:t xml:space="preserve"> Ch</w:t>
      </w:r>
      <w:r>
        <w:rPr>
          <w:rFonts w:ascii="Arial" w:hAnsi="Arial" w:cs="Arial"/>
          <w:sz w:val="22"/>
          <w:szCs w:val="22"/>
          <w:lang w:val="es-ES"/>
        </w:rPr>
        <w:t xml:space="preserve">ang Vs. Guatemala, sentencia de 25 de noviembre de 2003. </w:t>
      </w:r>
    </w:p>
    <w:p w:rsidR="00111583" w:rsidRPr="00416FDD" w:rsidRDefault="00111583" w:rsidP="00111583">
      <w:pPr>
        <w:pStyle w:val="Body1"/>
        <w:numPr>
          <w:ilvl w:val="0"/>
          <w:numId w:val="19"/>
        </w:numPr>
        <w:spacing w:line="360" w:lineRule="auto"/>
        <w:jc w:val="both"/>
        <w:rPr>
          <w:rFonts w:ascii="Arial" w:hAnsi="Arial" w:cs="Arial"/>
          <w:sz w:val="22"/>
          <w:szCs w:val="22"/>
        </w:rPr>
      </w:pPr>
      <w:r w:rsidRPr="00416FDD">
        <w:rPr>
          <w:rFonts w:ascii="Arial" w:hAnsi="Arial" w:cs="Arial"/>
          <w:sz w:val="22"/>
          <w:szCs w:val="22"/>
        </w:rPr>
        <w:t>Caso</w:t>
      </w:r>
      <w:r>
        <w:rPr>
          <w:rFonts w:ascii="Arial" w:hAnsi="Arial" w:cs="Arial"/>
          <w:sz w:val="22"/>
          <w:szCs w:val="22"/>
        </w:rPr>
        <w:t xml:space="preserve"> Fermín Ramírez Vs. Guatemala, sentencia de 20 de junio de 2005.</w:t>
      </w:r>
    </w:p>
    <w:p w:rsidR="00111583" w:rsidRPr="00416FDD" w:rsidRDefault="00111583" w:rsidP="00111583">
      <w:pPr>
        <w:pStyle w:val="Body1"/>
        <w:numPr>
          <w:ilvl w:val="0"/>
          <w:numId w:val="19"/>
        </w:numPr>
        <w:spacing w:line="360" w:lineRule="auto"/>
        <w:jc w:val="both"/>
        <w:rPr>
          <w:rFonts w:ascii="Arial" w:eastAsia="Times New Roman" w:hAnsi="Arial" w:cs="Arial"/>
          <w:color w:val="auto"/>
          <w:sz w:val="22"/>
          <w:szCs w:val="22"/>
        </w:rPr>
      </w:pPr>
      <w:r w:rsidRPr="00416FDD">
        <w:rPr>
          <w:rFonts w:ascii="Arial" w:hAnsi="Arial" w:cs="Arial"/>
          <w:sz w:val="22"/>
          <w:szCs w:val="22"/>
        </w:rPr>
        <w:t>Caso Niños de la Cal</w:t>
      </w:r>
      <w:r>
        <w:rPr>
          <w:rFonts w:ascii="Arial" w:hAnsi="Arial" w:cs="Arial"/>
          <w:sz w:val="22"/>
          <w:szCs w:val="22"/>
        </w:rPr>
        <w:t>le (Villagrán Morales y otros) Vs. Guatemala, sentencia de 26 de mayo de 2001.</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 xml:space="preserve">Caso </w:t>
      </w:r>
      <w:proofErr w:type="spellStart"/>
      <w:r>
        <w:rPr>
          <w:rFonts w:ascii="Arial" w:hAnsi="Arial" w:cs="Arial"/>
          <w:sz w:val="22"/>
          <w:szCs w:val="22"/>
          <w:lang w:val="es-ES"/>
        </w:rPr>
        <w:t>Aloeboetoe</w:t>
      </w:r>
      <w:proofErr w:type="spellEnd"/>
      <w:r>
        <w:rPr>
          <w:rFonts w:ascii="Arial" w:hAnsi="Arial" w:cs="Arial"/>
          <w:sz w:val="22"/>
          <w:szCs w:val="22"/>
          <w:lang w:val="es-ES"/>
        </w:rPr>
        <w:t>, y otros V</w:t>
      </w:r>
      <w:r w:rsidRPr="00416FDD">
        <w:rPr>
          <w:rFonts w:ascii="Arial" w:hAnsi="Arial" w:cs="Arial"/>
          <w:sz w:val="22"/>
          <w:szCs w:val="22"/>
          <w:lang w:val="es-ES"/>
        </w:rPr>
        <w:t xml:space="preserve">s. Surinam, </w:t>
      </w:r>
      <w:r>
        <w:rPr>
          <w:rFonts w:ascii="Arial" w:hAnsi="Arial" w:cs="Arial"/>
          <w:sz w:val="22"/>
          <w:szCs w:val="22"/>
          <w:lang w:val="es-ES"/>
        </w:rPr>
        <w:t>s</w:t>
      </w:r>
      <w:r w:rsidRPr="00416FDD">
        <w:rPr>
          <w:rFonts w:ascii="Arial" w:hAnsi="Arial" w:cs="Arial"/>
          <w:sz w:val="22"/>
          <w:szCs w:val="22"/>
          <w:lang w:val="es-ES"/>
        </w:rPr>
        <w:t>entencia de 10 de septiembre de 1993</w:t>
      </w:r>
      <w:r>
        <w:rPr>
          <w:rFonts w:ascii="Arial" w:hAnsi="Arial" w:cs="Arial"/>
          <w:sz w:val="22"/>
          <w:szCs w:val="22"/>
          <w:lang w:val="es-ES"/>
        </w:rPr>
        <w:t>.</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 xml:space="preserve">Caso </w:t>
      </w:r>
      <w:proofErr w:type="spellStart"/>
      <w:r>
        <w:rPr>
          <w:rFonts w:ascii="Arial" w:hAnsi="Arial" w:cs="Arial"/>
          <w:sz w:val="22"/>
          <w:szCs w:val="22"/>
          <w:lang w:val="es-ES"/>
        </w:rPr>
        <w:t>Fornerón</w:t>
      </w:r>
      <w:proofErr w:type="spellEnd"/>
      <w:r>
        <w:rPr>
          <w:rFonts w:ascii="Arial" w:hAnsi="Arial" w:cs="Arial"/>
          <w:sz w:val="22"/>
          <w:szCs w:val="22"/>
          <w:lang w:val="es-ES"/>
        </w:rPr>
        <w:t xml:space="preserve"> e hija Vs. Argentina, s</w:t>
      </w:r>
      <w:r w:rsidRPr="00416FDD">
        <w:rPr>
          <w:rFonts w:ascii="Arial" w:hAnsi="Arial" w:cs="Arial"/>
          <w:sz w:val="22"/>
          <w:szCs w:val="22"/>
          <w:lang w:val="es-ES"/>
        </w:rPr>
        <w:t>entencia de 27 de Abril de 2012</w:t>
      </w:r>
      <w:r>
        <w:rPr>
          <w:rFonts w:ascii="Arial" w:hAnsi="Arial" w:cs="Arial"/>
          <w:sz w:val="22"/>
          <w:szCs w:val="22"/>
          <w:lang w:val="es-ES"/>
        </w:rPr>
        <w:t>.</w:t>
      </w:r>
      <w:r w:rsidRPr="00416FDD">
        <w:rPr>
          <w:rFonts w:ascii="Arial" w:hAnsi="Arial" w:cs="Arial"/>
          <w:sz w:val="22"/>
          <w:szCs w:val="22"/>
          <w:lang w:val="es-ES"/>
        </w:rPr>
        <w:t xml:space="preserve"> </w:t>
      </w:r>
    </w:p>
    <w:p w:rsidR="00111583" w:rsidRPr="000D63E8"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 xml:space="preserve">Caso </w:t>
      </w:r>
      <w:proofErr w:type="spellStart"/>
      <w:r>
        <w:rPr>
          <w:rFonts w:ascii="Arial" w:hAnsi="Arial" w:cs="Arial"/>
          <w:sz w:val="22"/>
          <w:szCs w:val="22"/>
          <w:lang w:val="es-ES"/>
        </w:rPr>
        <w:t>Bámaca</w:t>
      </w:r>
      <w:proofErr w:type="spellEnd"/>
      <w:r>
        <w:rPr>
          <w:rFonts w:ascii="Arial" w:hAnsi="Arial" w:cs="Arial"/>
          <w:sz w:val="22"/>
          <w:szCs w:val="22"/>
          <w:lang w:val="es-ES"/>
        </w:rPr>
        <w:t xml:space="preserve"> Velásquez V</w:t>
      </w:r>
      <w:r w:rsidRPr="00416FDD">
        <w:rPr>
          <w:rFonts w:ascii="Arial" w:hAnsi="Arial" w:cs="Arial"/>
          <w:sz w:val="22"/>
          <w:szCs w:val="22"/>
          <w:lang w:val="es-ES"/>
        </w:rPr>
        <w:t xml:space="preserve">s. Guatemala, </w:t>
      </w:r>
      <w:r>
        <w:rPr>
          <w:rFonts w:ascii="Arial" w:hAnsi="Arial" w:cs="Arial"/>
          <w:sz w:val="22"/>
          <w:szCs w:val="22"/>
          <w:lang w:val="es-ES"/>
        </w:rPr>
        <w:t>22 de febrero de 2002.</w:t>
      </w:r>
    </w:p>
    <w:p w:rsidR="00111583" w:rsidRDefault="00111583" w:rsidP="00111583">
      <w:pPr>
        <w:pStyle w:val="Textonotapie"/>
        <w:numPr>
          <w:ilvl w:val="0"/>
          <w:numId w:val="19"/>
        </w:numPr>
        <w:spacing w:line="360" w:lineRule="auto"/>
        <w:rPr>
          <w:rFonts w:ascii="Arial" w:hAnsi="Arial" w:cs="Arial"/>
          <w:sz w:val="22"/>
          <w:szCs w:val="22"/>
          <w:lang w:val="es-ES"/>
        </w:rPr>
      </w:pPr>
      <w:r>
        <w:rPr>
          <w:rFonts w:ascii="Arial" w:hAnsi="Arial" w:cs="Arial"/>
          <w:sz w:val="22"/>
          <w:szCs w:val="22"/>
          <w:lang w:val="es-ES"/>
        </w:rPr>
        <w:t>Caso Cantos Vs. Argentina, sentencia de28 de noviembre de 2002.</w:t>
      </w:r>
      <w:r w:rsidRPr="00416FDD">
        <w:rPr>
          <w:rFonts w:ascii="Arial" w:hAnsi="Arial" w:cs="Arial"/>
          <w:sz w:val="22"/>
          <w:szCs w:val="22"/>
          <w:lang w:val="es-ES"/>
        </w:rPr>
        <w:t xml:space="preserve"> </w:t>
      </w:r>
    </w:p>
    <w:p w:rsidR="00111583" w:rsidRPr="0068521C" w:rsidRDefault="00111583" w:rsidP="0068521C">
      <w:pPr>
        <w:pStyle w:val="Textonotapie"/>
        <w:numPr>
          <w:ilvl w:val="0"/>
          <w:numId w:val="19"/>
        </w:numPr>
        <w:spacing w:line="360" w:lineRule="auto"/>
        <w:rPr>
          <w:rFonts w:ascii="Arial" w:hAnsi="Arial" w:cs="Arial"/>
          <w:sz w:val="22"/>
          <w:szCs w:val="22"/>
          <w:lang w:val="es-ES"/>
        </w:rPr>
      </w:pPr>
      <w:r>
        <w:rPr>
          <w:rFonts w:ascii="Arial" w:hAnsi="Arial" w:cs="Arial"/>
          <w:sz w:val="22"/>
          <w:szCs w:val="22"/>
          <w:lang w:val="es-ES"/>
        </w:rPr>
        <w:t>Caso del Caracazo Vs. Venezuela, sentencia de 29 de agosto de 2002.</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 xml:space="preserve">Caso Perozo y otros Vs. Venezuela, sentencia </w:t>
      </w:r>
      <w:r>
        <w:rPr>
          <w:rFonts w:ascii="Arial" w:hAnsi="Arial" w:cs="Arial"/>
          <w:sz w:val="22"/>
          <w:szCs w:val="22"/>
          <w:lang w:val="es-ES"/>
        </w:rPr>
        <w:t xml:space="preserve">de </w:t>
      </w:r>
      <w:r w:rsidRPr="00416FDD">
        <w:rPr>
          <w:rFonts w:ascii="Arial" w:hAnsi="Arial" w:cs="Arial"/>
          <w:sz w:val="22"/>
          <w:szCs w:val="22"/>
          <w:lang w:val="es-ES"/>
        </w:rPr>
        <w:t>26 de mayo del 2001</w:t>
      </w:r>
      <w:r>
        <w:rPr>
          <w:rFonts w:ascii="Arial" w:hAnsi="Arial" w:cs="Arial"/>
          <w:sz w:val="22"/>
          <w:szCs w:val="22"/>
          <w:lang w:val="es-ES"/>
        </w:rPr>
        <w:t>.</w:t>
      </w:r>
    </w:p>
    <w:p w:rsidR="00111583" w:rsidRPr="00416FDD" w:rsidRDefault="00111583" w:rsidP="00111583">
      <w:pPr>
        <w:pStyle w:val="Textonotapie"/>
        <w:numPr>
          <w:ilvl w:val="0"/>
          <w:numId w:val="19"/>
        </w:numPr>
        <w:spacing w:line="360" w:lineRule="auto"/>
        <w:rPr>
          <w:rFonts w:ascii="Arial" w:hAnsi="Arial" w:cs="Arial"/>
          <w:sz w:val="22"/>
          <w:szCs w:val="22"/>
          <w:lang w:val="es-ES"/>
        </w:rPr>
      </w:pPr>
      <w:r>
        <w:rPr>
          <w:rFonts w:ascii="Arial" w:hAnsi="Arial" w:cs="Arial"/>
          <w:sz w:val="22"/>
          <w:szCs w:val="22"/>
          <w:lang w:val="es-ES"/>
        </w:rPr>
        <w:t>Caso de los H</w:t>
      </w:r>
      <w:r w:rsidRPr="00416FDD">
        <w:rPr>
          <w:rFonts w:ascii="Arial" w:hAnsi="Arial" w:cs="Arial"/>
          <w:sz w:val="22"/>
          <w:szCs w:val="22"/>
          <w:lang w:val="es-ES"/>
        </w:rPr>
        <w:t xml:space="preserve">ermanos Gómez </w:t>
      </w:r>
      <w:proofErr w:type="spellStart"/>
      <w:r w:rsidRPr="00416FDD">
        <w:rPr>
          <w:rFonts w:ascii="Arial" w:hAnsi="Arial" w:cs="Arial"/>
          <w:sz w:val="22"/>
          <w:szCs w:val="22"/>
          <w:lang w:val="es-ES"/>
        </w:rPr>
        <w:t>Paquiya</w:t>
      </w:r>
      <w:r>
        <w:rPr>
          <w:rFonts w:ascii="Arial" w:hAnsi="Arial" w:cs="Arial"/>
          <w:sz w:val="22"/>
          <w:szCs w:val="22"/>
          <w:lang w:val="es-ES"/>
        </w:rPr>
        <w:t>uri</w:t>
      </w:r>
      <w:proofErr w:type="spellEnd"/>
      <w:r>
        <w:rPr>
          <w:rFonts w:ascii="Arial" w:hAnsi="Arial" w:cs="Arial"/>
          <w:sz w:val="22"/>
          <w:szCs w:val="22"/>
          <w:lang w:val="es-ES"/>
        </w:rPr>
        <w:t xml:space="preserve"> Vs. Perú, sentencia de 8 de julio de 2004.</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Caso Blanco Romero y otr</w:t>
      </w:r>
      <w:r>
        <w:rPr>
          <w:rFonts w:ascii="Arial" w:hAnsi="Arial" w:cs="Arial"/>
          <w:sz w:val="22"/>
          <w:szCs w:val="22"/>
          <w:lang w:val="es-ES"/>
        </w:rPr>
        <w:t>os V</w:t>
      </w:r>
      <w:r w:rsidRPr="00416FDD">
        <w:rPr>
          <w:rFonts w:ascii="Arial" w:hAnsi="Arial" w:cs="Arial"/>
          <w:sz w:val="22"/>
          <w:szCs w:val="22"/>
          <w:lang w:val="es-ES"/>
        </w:rPr>
        <w:t>s. Venezuela, Sentencia de 28 de Noviembre de 2005.</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 xml:space="preserve">Caso </w:t>
      </w:r>
      <w:proofErr w:type="spellStart"/>
      <w:r>
        <w:rPr>
          <w:rFonts w:ascii="Arial" w:hAnsi="Arial" w:cs="Arial"/>
          <w:sz w:val="22"/>
          <w:szCs w:val="22"/>
          <w:lang w:val="es-ES"/>
        </w:rPr>
        <w:t>Caesar</w:t>
      </w:r>
      <w:proofErr w:type="spellEnd"/>
      <w:r>
        <w:rPr>
          <w:rFonts w:ascii="Arial" w:hAnsi="Arial" w:cs="Arial"/>
          <w:sz w:val="22"/>
          <w:szCs w:val="22"/>
          <w:lang w:val="es-ES"/>
        </w:rPr>
        <w:t xml:space="preserve"> Vs. Trinidad y Tobago, sentencia de 11 de marzo de 2005.</w:t>
      </w:r>
      <w:r w:rsidRPr="00416FDD">
        <w:rPr>
          <w:rFonts w:ascii="Arial" w:hAnsi="Arial" w:cs="Arial"/>
          <w:sz w:val="22"/>
          <w:szCs w:val="22"/>
          <w:lang w:val="es-ES"/>
        </w:rPr>
        <w:t xml:space="preserve"> </w:t>
      </w:r>
    </w:p>
    <w:p w:rsidR="00111583"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 xml:space="preserve">Caso Cantoral Benavides Vs. Perú, sentencia de </w:t>
      </w:r>
      <w:r w:rsidRPr="00416FDD">
        <w:rPr>
          <w:rFonts w:ascii="Arial" w:hAnsi="Arial" w:cs="Arial"/>
          <w:sz w:val="22"/>
          <w:szCs w:val="22"/>
          <w:lang w:val="es-ES"/>
        </w:rPr>
        <w:t xml:space="preserve"> </w:t>
      </w:r>
      <w:r>
        <w:rPr>
          <w:rFonts w:ascii="Arial" w:hAnsi="Arial" w:cs="Arial"/>
          <w:sz w:val="22"/>
          <w:szCs w:val="22"/>
          <w:lang w:val="es-ES"/>
        </w:rPr>
        <w:t>3 de diciembre de 2001.</w:t>
      </w:r>
    </w:p>
    <w:p w:rsidR="00111583" w:rsidRPr="002F7789" w:rsidRDefault="00111583" w:rsidP="00111583">
      <w:pPr>
        <w:pStyle w:val="Textonotapie"/>
        <w:numPr>
          <w:ilvl w:val="0"/>
          <w:numId w:val="19"/>
        </w:numPr>
        <w:spacing w:line="360" w:lineRule="auto"/>
        <w:jc w:val="both"/>
        <w:rPr>
          <w:rFonts w:ascii="Arial" w:hAnsi="Arial" w:cs="Arial"/>
          <w:sz w:val="22"/>
          <w:szCs w:val="22"/>
          <w:lang w:val="es-ES"/>
        </w:rPr>
      </w:pPr>
      <w:r w:rsidRPr="00416FDD">
        <w:rPr>
          <w:rFonts w:ascii="Arial" w:hAnsi="Arial" w:cs="Arial"/>
          <w:sz w:val="22"/>
          <w:szCs w:val="22"/>
          <w:lang w:val="es-ES"/>
        </w:rPr>
        <w:t>Caso Inst</w:t>
      </w:r>
      <w:r>
        <w:rPr>
          <w:rFonts w:ascii="Arial" w:hAnsi="Arial" w:cs="Arial"/>
          <w:sz w:val="22"/>
          <w:szCs w:val="22"/>
          <w:lang w:val="es-ES"/>
        </w:rPr>
        <w:t>ituto de Reeducación del Menor Vs. Paraguay, s</w:t>
      </w:r>
      <w:r w:rsidRPr="00416FDD">
        <w:rPr>
          <w:rFonts w:ascii="Arial" w:hAnsi="Arial" w:cs="Arial"/>
          <w:sz w:val="22"/>
          <w:szCs w:val="22"/>
          <w:lang w:val="es-ES"/>
        </w:rPr>
        <w:t xml:space="preserve">entencia </w:t>
      </w:r>
      <w:r>
        <w:rPr>
          <w:rFonts w:ascii="Arial" w:hAnsi="Arial" w:cs="Arial"/>
          <w:sz w:val="22"/>
          <w:szCs w:val="22"/>
          <w:lang w:val="es-ES"/>
        </w:rPr>
        <w:t xml:space="preserve">de </w:t>
      </w:r>
      <w:r w:rsidRPr="00416FDD">
        <w:rPr>
          <w:rFonts w:ascii="Arial" w:hAnsi="Arial" w:cs="Arial"/>
          <w:sz w:val="22"/>
          <w:szCs w:val="22"/>
          <w:lang w:val="es-ES"/>
        </w:rPr>
        <w:t>2 de sept</w:t>
      </w:r>
      <w:r>
        <w:rPr>
          <w:rFonts w:ascii="Arial" w:hAnsi="Arial" w:cs="Arial"/>
          <w:sz w:val="22"/>
          <w:szCs w:val="22"/>
          <w:lang w:val="es-ES"/>
        </w:rPr>
        <w:t>iembre del 2004.</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 xml:space="preserve">Caso </w:t>
      </w:r>
      <w:proofErr w:type="spellStart"/>
      <w:r>
        <w:rPr>
          <w:rFonts w:ascii="Arial" w:hAnsi="Arial" w:cs="Arial"/>
          <w:sz w:val="22"/>
          <w:szCs w:val="22"/>
          <w:lang w:val="es-ES"/>
        </w:rPr>
        <w:t>Bulacio</w:t>
      </w:r>
      <w:proofErr w:type="spellEnd"/>
      <w:r>
        <w:rPr>
          <w:rFonts w:ascii="Arial" w:hAnsi="Arial" w:cs="Arial"/>
          <w:sz w:val="22"/>
          <w:szCs w:val="22"/>
          <w:lang w:val="es-ES"/>
        </w:rPr>
        <w:t xml:space="preserve"> V</w:t>
      </w:r>
      <w:r w:rsidRPr="00416FDD">
        <w:rPr>
          <w:rFonts w:ascii="Arial" w:hAnsi="Arial" w:cs="Arial"/>
          <w:sz w:val="22"/>
          <w:szCs w:val="22"/>
          <w:lang w:val="es-ES"/>
        </w:rPr>
        <w:t xml:space="preserve">s Argentina, sentencia </w:t>
      </w:r>
      <w:r>
        <w:rPr>
          <w:rFonts w:ascii="Arial" w:hAnsi="Arial" w:cs="Arial"/>
          <w:sz w:val="22"/>
          <w:szCs w:val="22"/>
          <w:lang w:val="es-ES"/>
        </w:rPr>
        <w:t>de 18 de septiembre de 2003.</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Caso Loayza Tamayo V</w:t>
      </w:r>
      <w:r w:rsidRPr="00416FDD">
        <w:rPr>
          <w:rFonts w:ascii="Arial" w:hAnsi="Arial" w:cs="Arial"/>
          <w:sz w:val="22"/>
          <w:szCs w:val="22"/>
          <w:lang w:val="es-ES"/>
        </w:rPr>
        <w:t xml:space="preserve">s Perú, </w:t>
      </w:r>
      <w:r>
        <w:rPr>
          <w:rFonts w:ascii="Arial" w:hAnsi="Arial" w:cs="Arial"/>
          <w:sz w:val="22"/>
          <w:szCs w:val="22"/>
          <w:lang w:val="es-ES"/>
        </w:rPr>
        <w:t xml:space="preserve">sentencia de </w:t>
      </w:r>
      <w:r w:rsidRPr="00416FDD">
        <w:rPr>
          <w:rFonts w:ascii="Arial" w:hAnsi="Arial" w:cs="Arial"/>
          <w:sz w:val="22"/>
          <w:szCs w:val="22"/>
          <w:lang w:val="es-ES"/>
        </w:rPr>
        <w:t xml:space="preserve">27 de noviembre de 1998. </w:t>
      </w:r>
    </w:p>
    <w:p w:rsidR="00111583" w:rsidRPr="002F7789" w:rsidRDefault="00111583" w:rsidP="00111583">
      <w:pPr>
        <w:pStyle w:val="Body1"/>
        <w:numPr>
          <w:ilvl w:val="0"/>
          <w:numId w:val="19"/>
        </w:numPr>
        <w:spacing w:line="360" w:lineRule="auto"/>
        <w:jc w:val="both"/>
        <w:rPr>
          <w:rFonts w:ascii="Arial" w:eastAsia="Times New Roman" w:hAnsi="Arial" w:cs="Arial"/>
          <w:color w:val="auto"/>
          <w:sz w:val="22"/>
          <w:szCs w:val="22"/>
        </w:rPr>
      </w:pPr>
      <w:r w:rsidRPr="00416FDD">
        <w:rPr>
          <w:rFonts w:ascii="Arial" w:hAnsi="Arial" w:cs="Arial"/>
          <w:sz w:val="22"/>
          <w:szCs w:val="22"/>
        </w:rPr>
        <w:t>Caso</w:t>
      </w:r>
      <w:r>
        <w:rPr>
          <w:rFonts w:ascii="Arial" w:hAnsi="Arial" w:cs="Arial"/>
          <w:sz w:val="22"/>
          <w:szCs w:val="22"/>
        </w:rPr>
        <w:t xml:space="preserve"> Comunidad Indígena </w:t>
      </w:r>
      <w:proofErr w:type="spellStart"/>
      <w:r>
        <w:rPr>
          <w:rFonts w:ascii="Arial" w:hAnsi="Arial" w:cs="Arial"/>
          <w:sz w:val="22"/>
          <w:szCs w:val="22"/>
        </w:rPr>
        <w:t>Sawhoyamaxa</w:t>
      </w:r>
      <w:proofErr w:type="spellEnd"/>
      <w:r>
        <w:rPr>
          <w:rFonts w:ascii="Arial" w:hAnsi="Arial" w:cs="Arial"/>
          <w:sz w:val="22"/>
          <w:szCs w:val="22"/>
        </w:rPr>
        <w:t xml:space="preserve"> Vs. Paraguay, sentencia de 29 de marzo de 2006.</w:t>
      </w:r>
      <w:r w:rsidRPr="00416FDD">
        <w:rPr>
          <w:rFonts w:ascii="Arial" w:hAnsi="Arial" w:cs="Arial"/>
          <w:sz w:val="22"/>
          <w:szCs w:val="22"/>
        </w:rPr>
        <w:t xml:space="preserve"> </w:t>
      </w:r>
    </w:p>
    <w:p w:rsidR="00111583" w:rsidRPr="00891969" w:rsidRDefault="00111583" w:rsidP="00111583">
      <w:pPr>
        <w:pStyle w:val="Body1"/>
        <w:numPr>
          <w:ilvl w:val="0"/>
          <w:numId w:val="19"/>
        </w:numPr>
        <w:spacing w:line="360" w:lineRule="auto"/>
        <w:jc w:val="both"/>
        <w:rPr>
          <w:rFonts w:ascii="Arial" w:eastAsia="Times New Roman" w:hAnsi="Arial" w:cs="Arial"/>
          <w:color w:val="auto"/>
          <w:sz w:val="22"/>
          <w:szCs w:val="22"/>
        </w:rPr>
      </w:pPr>
      <w:r w:rsidRPr="00416FDD">
        <w:rPr>
          <w:rFonts w:ascii="Arial" w:hAnsi="Arial" w:cs="Arial"/>
          <w:sz w:val="22"/>
          <w:szCs w:val="22"/>
        </w:rPr>
        <w:lastRenderedPageBreak/>
        <w:t>Caso Acevedo Jaramillo y otros</w:t>
      </w:r>
      <w:r>
        <w:rPr>
          <w:rFonts w:ascii="Arial" w:hAnsi="Arial" w:cs="Arial"/>
          <w:sz w:val="22"/>
          <w:szCs w:val="22"/>
        </w:rPr>
        <w:t xml:space="preserve"> Vs. Perú, sentencia de 7 de febrero de 2006.</w:t>
      </w:r>
    </w:p>
    <w:p w:rsidR="00111583" w:rsidRPr="00416FDD"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Caso</w:t>
      </w:r>
      <w:r w:rsidRPr="00416FDD">
        <w:rPr>
          <w:rFonts w:ascii="Arial" w:hAnsi="Arial" w:cs="Arial"/>
          <w:sz w:val="22"/>
          <w:szCs w:val="22"/>
          <w:lang w:val="es-ES"/>
        </w:rPr>
        <w:t xml:space="preserve"> “La Última Tentación de C</w:t>
      </w:r>
      <w:r>
        <w:rPr>
          <w:rFonts w:ascii="Arial" w:hAnsi="Arial" w:cs="Arial"/>
          <w:sz w:val="22"/>
          <w:szCs w:val="22"/>
          <w:lang w:val="es-ES"/>
        </w:rPr>
        <w:t>risto” (Olmedo Bustos y otros) Vs. Chile, s</w:t>
      </w:r>
      <w:r w:rsidRPr="00416FDD">
        <w:rPr>
          <w:rFonts w:ascii="Arial" w:hAnsi="Arial" w:cs="Arial"/>
          <w:sz w:val="22"/>
          <w:szCs w:val="22"/>
          <w:lang w:val="es-ES"/>
        </w:rPr>
        <w:t>entencia de 5 de febrero de 2</w:t>
      </w:r>
      <w:r>
        <w:rPr>
          <w:rFonts w:ascii="Arial" w:hAnsi="Arial" w:cs="Arial"/>
          <w:sz w:val="22"/>
          <w:szCs w:val="22"/>
          <w:lang w:val="es-ES"/>
        </w:rPr>
        <w:t>001.</w:t>
      </w:r>
      <w:r w:rsidRPr="00416FDD">
        <w:rPr>
          <w:rFonts w:ascii="Arial" w:hAnsi="Arial" w:cs="Arial"/>
          <w:sz w:val="22"/>
          <w:szCs w:val="22"/>
          <w:lang w:val="es-ES"/>
        </w:rPr>
        <w:t xml:space="preserve">  </w:t>
      </w:r>
    </w:p>
    <w:p w:rsidR="00111583" w:rsidRDefault="00111583" w:rsidP="00111583">
      <w:pPr>
        <w:pStyle w:val="Textonotapie"/>
        <w:numPr>
          <w:ilvl w:val="0"/>
          <w:numId w:val="19"/>
        </w:numPr>
        <w:spacing w:line="360" w:lineRule="auto"/>
        <w:jc w:val="both"/>
        <w:rPr>
          <w:rFonts w:ascii="Arial" w:hAnsi="Arial" w:cs="Arial"/>
          <w:sz w:val="22"/>
          <w:szCs w:val="22"/>
          <w:lang w:val="es-ES"/>
        </w:rPr>
      </w:pPr>
      <w:r w:rsidRPr="005305BE">
        <w:rPr>
          <w:rFonts w:ascii="Arial" w:hAnsi="Arial" w:cs="Arial"/>
          <w:sz w:val="22"/>
          <w:szCs w:val="22"/>
          <w:lang w:val="es-ES"/>
        </w:rPr>
        <w:t xml:space="preserve">Caso </w:t>
      </w:r>
      <w:r>
        <w:rPr>
          <w:rFonts w:ascii="Arial" w:hAnsi="Arial" w:cs="Arial"/>
          <w:sz w:val="22"/>
          <w:szCs w:val="22"/>
          <w:lang w:val="es-ES"/>
        </w:rPr>
        <w:t>Heliodoro Portugal Vs. Panamá, s</w:t>
      </w:r>
      <w:r w:rsidRPr="005305BE">
        <w:rPr>
          <w:rFonts w:ascii="Arial" w:hAnsi="Arial" w:cs="Arial"/>
          <w:sz w:val="22"/>
          <w:szCs w:val="22"/>
          <w:lang w:val="es-ES"/>
        </w:rPr>
        <w:t>e</w:t>
      </w:r>
      <w:r>
        <w:rPr>
          <w:rFonts w:ascii="Arial" w:hAnsi="Arial" w:cs="Arial"/>
          <w:sz w:val="22"/>
          <w:szCs w:val="22"/>
          <w:lang w:val="es-ES"/>
        </w:rPr>
        <w:t>ntencia de 12 de Agosto de 2008.</w:t>
      </w:r>
    </w:p>
    <w:p w:rsidR="00111583"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Caso La Cantuta Vs. Perú, s</w:t>
      </w:r>
      <w:r w:rsidRPr="005305BE">
        <w:rPr>
          <w:rFonts w:ascii="Arial" w:hAnsi="Arial" w:cs="Arial"/>
          <w:sz w:val="22"/>
          <w:szCs w:val="22"/>
          <w:lang w:val="es-ES"/>
        </w:rPr>
        <w:t>entencia de 29 de noviembre de 2006</w:t>
      </w:r>
      <w:r>
        <w:rPr>
          <w:rFonts w:ascii="Arial" w:hAnsi="Arial" w:cs="Arial"/>
          <w:sz w:val="22"/>
          <w:szCs w:val="22"/>
          <w:lang w:val="es-ES"/>
        </w:rPr>
        <w:t>.</w:t>
      </w:r>
      <w:r w:rsidRPr="005305BE">
        <w:rPr>
          <w:rFonts w:ascii="Arial" w:hAnsi="Arial" w:cs="Arial"/>
          <w:sz w:val="22"/>
          <w:szCs w:val="22"/>
          <w:lang w:val="es-ES"/>
        </w:rPr>
        <w:t xml:space="preserve"> </w:t>
      </w:r>
    </w:p>
    <w:p w:rsidR="00111583" w:rsidRDefault="00111583" w:rsidP="00111583">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C</w:t>
      </w:r>
      <w:r w:rsidRPr="005305BE">
        <w:rPr>
          <w:rFonts w:ascii="Arial" w:hAnsi="Arial" w:cs="Arial"/>
          <w:sz w:val="22"/>
          <w:szCs w:val="22"/>
          <w:lang w:val="es-ES"/>
        </w:rPr>
        <w:t>aso</w:t>
      </w:r>
      <w:r>
        <w:rPr>
          <w:rFonts w:ascii="Arial" w:hAnsi="Arial" w:cs="Arial"/>
          <w:sz w:val="22"/>
          <w:szCs w:val="22"/>
          <w:lang w:val="es-ES"/>
        </w:rPr>
        <w:t xml:space="preserve"> </w:t>
      </w:r>
      <w:proofErr w:type="spellStart"/>
      <w:r>
        <w:rPr>
          <w:rFonts w:ascii="Arial" w:hAnsi="Arial" w:cs="Arial"/>
          <w:sz w:val="22"/>
          <w:szCs w:val="22"/>
          <w:lang w:val="es-ES"/>
        </w:rPr>
        <w:t>Goiburú</w:t>
      </w:r>
      <w:proofErr w:type="spellEnd"/>
      <w:r>
        <w:rPr>
          <w:rFonts w:ascii="Arial" w:hAnsi="Arial" w:cs="Arial"/>
          <w:sz w:val="22"/>
          <w:szCs w:val="22"/>
          <w:lang w:val="es-ES"/>
        </w:rPr>
        <w:t xml:space="preserve"> y otros Vs. Paraguay, s</w:t>
      </w:r>
      <w:r w:rsidRPr="005305BE">
        <w:rPr>
          <w:rFonts w:ascii="Arial" w:hAnsi="Arial" w:cs="Arial"/>
          <w:sz w:val="22"/>
          <w:szCs w:val="22"/>
          <w:lang w:val="es-ES"/>
        </w:rPr>
        <w:t>entencia de 22 de septiembre de 2006</w:t>
      </w:r>
    </w:p>
    <w:p w:rsidR="00111583" w:rsidRDefault="00111583" w:rsidP="00111583">
      <w:pPr>
        <w:pStyle w:val="Textonotapie"/>
        <w:numPr>
          <w:ilvl w:val="0"/>
          <w:numId w:val="19"/>
        </w:numPr>
        <w:spacing w:line="360" w:lineRule="auto"/>
        <w:jc w:val="both"/>
        <w:rPr>
          <w:rFonts w:ascii="Arial" w:hAnsi="Arial" w:cs="Arial"/>
          <w:sz w:val="22"/>
          <w:szCs w:val="22"/>
          <w:lang w:val="es-ES"/>
        </w:rPr>
      </w:pPr>
      <w:r w:rsidRPr="005305BE">
        <w:rPr>
          <w:rFonts w:ascii="Arial" w:hAnsi="Arial" w:cs="Arial"/>
          <w:sz w:val="22"/>
          <w:szCs w:val="22"/>
          <w:lang w:val="es-ES"/>
        </w:rPr>
        <w:t>Caso de la Masa</w:t>
      </w:r>
      <w:r>
        <w:rPr>
          <w:rFonts w:ascii="Arial" w:hAnsi="Arial" w:cs="Arial"/>
          <w:sz w:val="22"/>
          <w:szCs w:val="22"/>
          <w:lang w:val="es-ES"/>
        </w:rPr>
        <w:t>cre de la Rochela vs Colombia, sentencia de 11 de mayo de 2007</w:t>
      </w:r>
      <w:r w:rsidRPr="005305BE">
        <w:rPr>
          <w:rFonts w:ascii="Arial" w:hAnsi="Arial" w:cs="Arial"/>
          <w:sz w:val="22"/>
          <w:szCs w:val="22"/>
          <w:lang w:val="es-ES"/>
        </w:rPr>
        <w:t>.</w:t>
      </w:r>
    </w:p>
    <w:p w:rsidR="00684FD6" w:rsidRDefault="00684FD6" w:rsidP="00684FD6">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 xml:space="preserve">Caso Torres </w:t>
      </w:r>
      <w:proofErr w:type="spellStart"/>
      <w:r>
        <w:rPr>
          <w:rFonts w:ascii="Arial" w:hAnsi="Arial" w:cs="Arial"/>
          <w:sz w:val="22"/>
          <w:szCs w:val="22"/>
          <w:lang w:val="es-ES"/>
        </w:rPr>
        <w:t>Millacura</w:t>
      </w:r>
      <w:proofErr w:type="spellEnd"/>
      <w:r>
        <w:rPr>
          <w:rFonts w:ascii="Arial" w:hAnsi="Arial" w:cs="Arial"/>
          <w:sz w:val="22"/>
          <w:szCs w:val="22"/>
          <w:lang w:val="es-ES"/>
        </w:rPr>
        <w:t xml:space="preserve"> V</w:t>
      </w:r>
      <w:r w:rsidRPr="005305BE">
        <w:rPr>
          <w:rFonts w:ascii="Arial" w:hAnsi="Arial" w:cs="Arial"/>
          <w:sz w:val="22"/>
          <w:szCs w:val="22"/>
          <w:lang w:val="es-ES"/>
        </w:rPr>
        <w:t>s. Argentina, sentencia de 26 de agosto de 2011</w:t>
      </w:r>
      <w:r>
        <w:rPr>
          <w:rFonts w:ascii="Arial" w:hAnsi="Arial" w:cs="Arial"/>
          <w:sz w:val="22"/>
          <w:szCs w:val="22"/>
          <w:lang w:val="es-ES"/>
        </w:rPr>
        <w:t>.</w:t>
      </w:r>
    </w:p>
    <w:p w:rsidR="00684FD6" w:rsidRDefault="00684FD6" w:rsidP="00684FD6">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Caso</w:t>
      </w:r>
      <w:r w:rsidRPr="005305BE">
        <w:rPr>
          <w:rFonts w:ascii="Arial" w:hAnsi="Arial" w:cs="Arial"/>
          <w:sz w:val="22"/>
          <w:szCs w:val="22"/>
          <w:lang w:val="es-ES"/>
        </w:rPr>
        <w:t xml:space="preserve"> </w:t>
      </w:r>
      <w:proofErr w:type="spellStart"/>
      <w:r>
        <w:rPr>
          <w:rFonts w:ascii="Arial" w:hAnsi="Arial" w:cs="Arial"/>
          <w:sz w:val="22"/>
          <w:szCs w:val="22"/>
          <w:lang w:val="es-ES"/>
        </w:rPr>
        <w:t>Ximenes</w:t>
      </w:r>
      <w:proofErr w:type="spellEnd"/>
      <w:r>
        <w:rPr>
          <w:rFonts w:ascii="Arial" w:hAnsi="Arial" w:cs="Arial"/>
          <w:sz w:val="22"/>
          <w:szCs w:val="22"/>
          <w:lang w:val="es-ES"/>
        </w:rPr>
        <w:t xml:space="preserve"> </w:t>
      </w:r>
      <w:proofErr w:type="spellStart"/>
      <w:r>
        <w:rPr>
          <w:rFonts w:ascii="Arial" w:hAnsi="Arial" w:cs="Arial"/>
          <w:sz w:val="22"/>
          <w:szCs w:val="22"/>
          <w:lang w:val="es-ES"/>
        </w:rPr>
        <w:t>Lopes</w:t>
      </w:r>
      <w:proofErr w:type="spellEnd"/>
      <w:r>
        <w:rPr>
          <w:rFonts w:ascii="Arial" w:hAnsi="Arial" w:cs="Arial"/>
          <w:sz w:val="22"/>
          <w:szCs w:val="22"/>
          <w:lang w:val="es-ES"/>
        </w:rPr>
        <w:t xml:space="preserve"> Vs Brasil, sentencia de 4 de julio de 2006.</w:t>
      </w:r>
      <w:r w:rsidRPr="005305BE">
        <w:rPr>
          <w:rFonts w:ascii="Arial" w:hAnsi="Arial" w:cs="Arial"/>
          <w:sz w:val="22"/>
          <w:szCs w:val="22"/>
          <w:lang w:val="es-ES"/>
        </w:rPr>
        <w:t xml:space="preserve"> </w:t>
      </w:r>
    </w:p>
    <w:p w:rsidR="00684FD6" w:rsidRDefault="00684FD6" w:rsidP="00684FD6">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Caso Claude Reyes y otros Vs. Chile, sentencia de 19 de septiembre de 2006.</w:t>
      </w:r>
      <w:r w:rsidRPr="005305BE">
        <w:rPr>
          <w:rFonts w:ascii="Arial" w:hAnsi="Arial" w:cs="Arial"/>
          <w:sz w:val="22"/>
          <w:szCs w:val="22"/>
          <w:lang w:val="es-ES"/>
        </w:rPr>
        <w:t xml:space="preserve">  </w:t>
      </w:r>
    </w:p>
    <w:p w:rsidR="00684FD6" w:rsidRDefault="00684FD6" w:rsidP="00684FD6">
      <w:pPr>
        <w:pStyle w:val="Textonotapie"/>
        <w:numPr>
          <w:ilvl w:val="0"/>
          <w:numId w:val="19"/>
        </w:numPr>
        <w:spacing w:line="360" w:lineRule="auto"/>
        <w:jc w:val="both"/>
        <w:rPr>
          <w:rFonts w:ascii="Arial" w:hAnsi="Arial" w:cs="Arial"/>
          <w:sz w:val="22"/>
          <w:szCs w:val="22"/>
          <w:lang w:val="es-ES"/>
        </w:rPr>
      </w:pPr>
      <w:r w:rsidRPr="005305BE">
        <w:rPr>
          <w:rFonts w:ascii="Arial" w:hAnsi="Arial" w:cs="Arial"/>
          <w:sz w:val="22"/>
          <w:szCs w:val="22"/>
          <w:lang w:val="es-ES"/>
        </w:rPr>
        <w:t>Caso Durand y Ugarte</w:t>
      </w:r>
      <w:r>
        <w:rPr>
          <w:rFonts w:ascii="Arial" w:hAnsi="Arial" w:cs="Arial"/>
          <w:sz w:val="22"/>
          <w:szCs w:val="22"/>
          <w:lang w:val="es-ES"/>
        </w:rPr>
        <w:t xml:space="preserve"> Vs Perú, s</w:t>
      </w:r>
      <w:r w:rsidRPr="005305BE">
        <w:rPr>
          <w:rFonts w:ascii="Arial" w:hAnsi="Arial" w:cs="Arial"/>
          <w:sz w:val="22"/>
          <w:szCs w:val="22"/>
          <w:lang w:val="es-ES"/>
        </w:rPr>
        <w:t>entencia de 16 de agosto de 2000</w:t>
      </w:r>
      <w:r>
        <w:rPr>
          <w:rFonts w:ascii="Arial" w:hAnsi="Arial" w:cs="Arial"/>
          <w:sz w:val="22"/>
          <w:szCs w:val="22"/>
          <w:lang w:val="es-ES"/>
        </w:rPr>
        <w:t>.</w:t>
      </w:r>
      <w:r w:rsidRPr="005305BE">
        <w:rPr>
          <w:rFonts w:ascii="Arial" w:hAnsi="Arial" w:cs="Arial"/>
          <w:sz w:val="22"/>
          <w:szCs w:val="22"/>
          <w:lang w:val="es-ES"/>
        </w:rPr>
        <w:t xml:space="preserve"> </w:t>
      </w:r>
    </w:p>
    <w:p w:rsidR="00684FD6" w:rsidRDefault="00684FD6" w:rsidP="00684FD6">
      <w:pPr>
        <w:pStyle w:val="Textonotapie"/>
        <w:numPr>
          <w:ilvl w:val="0"/>
          <w:numId w:val="19"/>
        </w:numPr>
        <w:spacing w:line="360" w:lineRule="auto"/>
        <w:jc w:val="both"/>
        <w:rPr>
          <w:rFonts w:ascii="Arial" w:hAnsi="Arial" w:cs="Arial"/>
          <w:sz w:val="22"/>
          <w:szCs w:val="22"/>
          <w:lang w:val="es-ES"/>
        </w:rPr>
      </w:pPr>
      <w:r w:rsidRPr="005305BE">
        <w:rPr>
          <w:rFonts w:ascii="Arial" w:hAnsi="Arial" w:cs="Arial"/>
          <w:sz w:val="22"/>
          <w:szCs w:val="22"/>
          <w:lang w:val="es-ES"/>
        </w:rPr>
        <w:t xml:space="preserve">Caso Castillo </w:t>
      </w:r>
      <w:proofErr w:type="spellStart"/>
      <w:r w:rsidRPr="005305BE">
        <w:rPr>
          <w:rFonts w:ascii="Arial" w:hAnsi="Arial" w:cs="Arial"/>
          <w:sz w:val="22"/>
          <w:szCs w:val="22"/>
          <w:lang w:val="es-ES"/>
        </w:rPr>
        <w:t>Petruzzi</w:t>
      </w:r>
      <w:proofErr w:type="spellEnd"/>
      <w:r w:rsidRPr="005305BE">
        <w:rPr>
          <w:rFonts w:ascii="Arial" w:hAnsi="Arial" w:cs="Arial"/>
          <w:sz w:val="22"/>
          <w:szCs w:val="22"/>
          <w:lang w:val="es-ES"/>
        </w:rPr>
        <w:t xml:space="preserve"> y otros</w:t>
      </w:r>
      <w:r>
        <w:rPr>
          <w:rFonts w:ascii="Arial" w:hAnsi="Arial" w:cs="Arial"/>
          <w:sz w:val="22"/>
          <w:szCs w:val="22"/>
          <w:lang w:val="es-ES"/>
        </w:rPr>
        <w:t xml:space="preserve"> Vs. sentencia de 30 de mayo de 1999.</w:t>
      </w:r>
    </w:p>
    <w:p w:rsidR="00684FD6" w:rsidRDefault="00684FD6" w:rsidP="00684FD6">
      <w:pPr>
        <w:pStyle w:val="Textonotapie"/>
        <w:numPr>
          <w:ilvl w:val="0"/>
          <w:numId w:val="19"/>
        </w:numPr>
        <w:spacing w:line="360" w:lineRule="auto"/>
        <w:jc w:val="both"/>
        <w:rPr>
          <w:rFonts w:ascii="Arial" w:hAnsi="Arial" w:cs="Arial"/>
          <w:sz w:val="22"/>
          <w:szCs w:val="22"/>
          <w:lang w:val="es-ES"/>
        </w:rPr>
      </w:pPr>
      <w:r>
        <w:rPr>
          <w:rFonts w:ascii="Arial" w:hAnsi="Arial" w:cs="Arial"/>
          <w:sz w:val="22"/>
          <w:szCs w:val="22"/>
          <w:lang w:val="es-ES"/>
        </w:rPr>
        <w:t xml:space="preserve">Caso Molina </w:t>
      </w:r>
      <w:proofErr w:type="spellStart"/>
      <w:r>
        <w:rPr>
          <w:rFonts w:ascii="Arial" w:hAnsi="Arial" w:cs="Arial"/>
          <w:sz w:val="22"/>
          <w:szCs w:val="22"/>
          <w:lang w:val="es-ES"/>
        </w:rPr>
        <w:t>Theissen</w:t>
      </w:r>
      <w:proofErr w:type="spellEnd"/>
      <w:r>
        <w:rPr>
          <w:rFonts w:ascii="Arial" w:hAnsi="Arial" w:cs="Arial"/>
          <w:sz w:val="22"/>
          <w:szCs w:val="22"/>
          <w:lang w:val="es-ES"/>
        </w:rPr>
        <w:t xml:space="preserve"> V</w:t>
      </w:r>
      <w:r w:rsidRPr="005305BE">
        <w:rPr>
          <w:rFonts w:ascii="Arial" w:hAnsi="Arial" w:cs="Arial"/>
          <w:sz w:val="22"/>
          <w:szCs w:val="22"/>
          <w:lang w:val="es-ES"/>
        </w:rPr>
        <w:t xml:space="preserve">s. Guatemala, </w:t>
      </w:r>
      <w:r>
        <w:rPr>
          <w:rFonts w:ascii="Arial" w:hAnsi="Arial" w:cs="Arial"/>
          <w:sz w:val="22"/>
          <w:szCs w:val="22"/>
          <w:lang w:val="es-ES"/>
        </w:rPr>
        <w:t xml:space="preserve">sentencia de </w:t>
      </w:r>
      <w:r w:rsidRPr="005305BE">
        <w:rPr>
          <w:rFonts w:ascii="Arial" w:hAnsi="Arial" w:cs="Arial"/>
          <w:sz w:val="22"/>
          <w:szCs w:val="22"/>
          <w:lang w:val="es-ES"/>
        </w:rPr>
        <w:t>4 de mayo del 2004</w:t>
      </w:r>
      <w:r>
        <w:rPr>
          <w:rFonts w:ascii="Arial" w:hAnsi="Arial" w:cs="Arial"/>
          <w:sz w:val="22"/>
          <w:szCs w:val="22"/>
          <w:lang w:val="es-ES"/>
        </w:rPr>
        <w:t>.</w:t>
      </w:r>
    </w:p>
    <w:p w:rsidR="00684FD6" w:rsidRDefault="00684FD6" w:rsidP="00684FD6">
      <w:pPr>
        <w:pStyle w:val="Textonotapie"/>
        <w:numPr>
          <w:ilvl w:val="0"/>
          <w:numId w:val="19"/>
        </w:numPr>
        <w:spacing w:line="360" w:lineRule="auto"/>
        <w:jc w:val="both"/>
        <w:rPr>
          <w:rFonts w:ascii="Arial" w:hAnsi="Arial" w:cs="Arial"/>
          <w:sz w:val="22"/>
          <w:szCs w:val="22"/>
          <w:lang w:val="es-ES"/>
        </w:rPr>
      </w:pPr>
      <w:r w:rsidRPr="00A3443A">
        <w:rPr>
          <w:rFonts w:ascii="Arial" w:hAnsi="Arial" w:cs="Arial"/>
          <w:sz w:val="22"/>
          <w:szCs w:val="22"/>
          <w:lang w:val="es-ES"/>
        </w:rPr>
        <w:t xml:space="preserve">Caso Herrera Ulloa Vs. Costa Rica, sentencia de 2 de julio de 2004. </w:t>
      </w:r>
    </w:p>
    <w:p w:rsidR="00A3443A" w:rsidRDefault="00A3443A" w:rsidP="00684FD6">
      <w:pPr>
        <w:pStyle w:val="Body1"/>
        <w:jc w:val="both"/>
        <w:rPr>
          <w:rFonts w:ascii="Arial" w:hAnsi="Arial" w:cs="Arial"/>
          <w:b/>
          <w:sz w:val="22"/>
          <w:szCs w:val="22"/>
        </w:rPr>
      </w:pPr>
    </w:p>
    <w:p w:rsidR="005B014F" w:rsidRDefault="005B014F" w:rsidP="00A3443A">
      <w:pPr>
        <w:pStyle w:val="Body1"/>
        <w:ind w:left="1080"/>
        <w:jc w:val="both"/>
        <w:rPr>
          <w:rFonts w:ascii="Arial" w:hAnsi="Arial" w:cs="Arial"/>
          <w:b/>
          <w:sz w:val="22"/>
          <w:szCs w:val="22"/>
        </w:rPr>
      </w:pPr>
    </w:p>
    <w:p w:rsidR="005B014F" w:rsidRDefault="005B014F" w:rsidP="00A3443A">
      <w:pPr>
        <w:pStyle w:val="Body1"/>
        <w:ind w:left="1080"/>
        <w:jc w:val="both"/>
        <w:rPr>
          <w:rFonts w:ascii="Arial" w:hAnsi="Arial" w:cs="Arial"/>
          <w:b/>
          <w:sz w:val="22"/>
          <w:szCs w:val="22"/>
        </w:rPr>
      </w:pPr>
    </w:p>
    <w:p w:rsidR="005B014F" w:rsidRDefault="005B014F" w:rsidP="00A3443A">
      <w:pPr>
        <w:pStyle w:val="Body1"/>
        <w:ind w:left="1080"/>
        <w:jc w:val="both"/>
        <w:rPr>
          <w:rFonts w:ascii="Arial" w:hAnsi="Arial" w:cs="Arial"/>
          <w:b/>
          <w:sz w:val="22"/>
          <w:szCs w:val="22"/>
        </w:rPr>
      </w:pPr>
    </w:p>
    <w:p w:rsidR="00A3443A" w:rsidRDefault="007706F6" w:rsidP="00A3443A">
      <w:pPr>
        <w:pStyle w:val="Body1"/>
        <w:ind w:left="1080"/>
        <w:jc w:val="both"/>
        <w:rPr>
          <w:rFonts w:ascii="Arial" w:hAnsi="Arial" w:cs="Arial"/>
          <w:b/>
          <w:sz w:val="22"/>
          <w:szCs w:val="22"/>
        </w:rPr>
      </w:pPr>
      <w:r>
        <w:rPr>
          <w:rFonts w:ascii="Arial" w:hAnsi="Arial" w:cs="Arial"/>
          <w:b/>
          <w:sz w:val="22"/>
          <w:szCs w:val="22"/>
        </w:rPr>
        <w:t>Supervisión de c</w:t>
      </w:r>
      <w:r w:rsidR="00A3443A">
        <w:rPr>
          <w:rFonts w:ascii="Arial" w:hAnsi="Arial" w:cs="Arial"/>
          <w:b/>
          <w:sz w:val="22"/>
          <w:szCs w:val="22"/>
        </w:rPr>
        <w:t>umplimiento</w:t>
      </w:r>
      <w:r>
        <w:rPr>
          <w:rFonts w:ascii="Arial" w:hAnsi="Arial" w:cs="Arial"/>
          <w:b/>
          <w:sz w:val="22"/>
          <w:szCs w:val="22"/>
        </w:rPr>
        <w:t xml:space="preserve"> de s</w:t>
      </w:r>
      <w:r w:rsidR="0068521C">
        <w:rPr>
          <w:rFonts w:ascii="Arial" w:hAnsi="Arial" w:cs="Arial"/>
          <w:b/>
          <w:sz w:val="22"/>
          <w:szCs w:val="22"/>
        </w:rPr>
        <w:t>entencias</w:t>
      </w:r>
      <w:r>
        <w:rPr>
          <w:rFonts w:ascii="Arial" w:hAnsi="Arial" w:cs="Arial"/>
          <w:b/>
          <w:sz w:val="22"/>
          <w:szCs w:val="22"/>
        </w:rPr>
        <w:t xml:space="preserve"> de la Corte IDH</w:t>
      </w:r>
    </w:p>
    <w:p w:rsidR="00684FD6" w:rsidRDefault="00684FD6" w:rsidP="00A3443A">
      <w:pPr>
        <w:pStyle w:val="Body1"/>
        <w:ind w:left="1080"/>
        <w:jc w:val="both"/>
        <w:rPr>
          <w:rFonts w:ascii="Arial" w:hAnsi="Arial" w:cs="Arial"/>
          <w:b/>
          <w:sz w:val="22"/>
          <w:szCs w:val="22"/>
        </w:rPr>
      </w:pPr>
    </w:p>
    <w:p w:rsidR="00A3443A" w:rsidRDefault="00A3443A" w:rsidP="00A3443A">
      <w:pPr>
        <w:pStyle w:val="Body1"/>
        <w:ind w:left="1080"/>
        <w:jc w:val="both"/>
        <w:rPr>
          <w:rFonts w:ascii="Arial" w:hAnsi="Arial" w:cs="Arial"/>
          <w:b/>
          <w:sz w:val="22"/>
          <w:szCs w:val="22"/>
        </w:rPr>
      </w:pPr>
    </w:p>
    <w:p w:rsidR="00A3443A" w:rsidRDefault="00A3443A" w:rsidP="0068521C">
      <w:pPr>
        <w:pStyle w:val="Textonotapie"/>
        <w:numPr>
          <w:ilvl w:val="0"/>
          <w:numId w:val="23"/>
        </w:numPr>
        <w:spacing w:line="360" w:lineRule="auto"/>
        <w:jc w:val="both"/>
        <w:rPr>
          <w:rFonts w:ascii="Arial" w:hAnsi="Arial" w:cs="Arial"/>
          <w:sz w:val="22"/>
          <w:szCs w:val="22"/>
          <w:lang w:val="es-ES"/>
        </w:rPr>
      </w:pPr>
      <w:r>
        <w:rPr>
          <w:rFonts w:ascii="Arial" w:hAnsi="Arial" w:cs="Arial"/>
          <w:sz w:val="22"/>
          <w:szCs w:val="22"/>
          <w:lang w:val="es-ES"/>
        </w:rPr>
        <w:t xml:space="preserve">Caso </w:t>
      </w:r>
      <w:proofErr w:type="spellStart"/>
      <w:r>
        <w:rPr>
          <w:rFonts w:ascii="Arial" w:hAnsi="Arial" w:cs="Arial"/>
          <w:sz w:val="22"/>
          <w:szCs w:val="22"/>
          <w:lang w:val="es-ES"/>
        </w:rPr>
        <w:t>Kimel</w:t>
      </w:r>
      <w:proofErr w:type="spellEnd"/>
      <w:r>
        <w:rPr>
          <w:rFonts w:ascii="Arial" w:hAnsi="Arial" w:cs="Arial"/>
          <w:sz w:val="22"/>
          <w:szCs w:val="22"/>
          <w:lang w:val="es-ES"/>
        </w:rPr>
        <w:t xml:space="preserve"> V</w:t>
      </w:r>
      <w:r w:rsidRPr="00416FDD">
        <w:rPr>
          <w:rFonts w:ascii="Arial" w:hAnsi="Arial" w:cs="Arial"/>
          <w:sz w:val="22"/>
          <w:szCs w:val="22"/>
          <w:lang w:val="es-ES"/>
        </w:rPr>
        <w:t>s</w:t>
      </w:r>
      <w:r>
        <w:rPr>
          <w:rFonts w:ascii="Arial" w:hAnsi="Arial" w:cs="Arial"/>
          <w:sz w:val="22"/>
          <w:szCs w:val="22"/>
          <w:lang w:val="es-ES"/>
        </w:rPr>
        <w:t>.</w:t>
      </w:r>
      <w:r w:rsidRPr="00416FDD">
        <w:rPr>
          <w:rFonts w:ascii="Arial" w:hAnsi="Arial" w:cs="Arial"/>
          <w:sz w:val="22"/>
          <w:szCs w:val="22"/>
          <w:lang w:val="es-ES"/>
        </w:rPr>
        <w:t xml:space="preserve"> Argentina, Resolución de supervisión de cumplimiento, 5 de febrero del 2013.  </w:t>
      </w:r>
    </w:p>
    <w:p w:rsidR="00111583" w:rsidRDefault="00111583" w:rsidP="0068521C">
      <w:pPr>
        <w:pStyle w:val="Textonotapie"/>
        <w:numPr>
          <w:ilvl w:val="0"/>
          <w:numId w:val="23"/>
        </w:numPr>
        <w:spacing w:line="360" w:lineRule="auto"/>
        <w:jc w:val="both"/>
        <w:rPr>
          <w:rFonts w:ascii="Arial" w:hAnsi="Arial" w:cs="Arial"/>
          <w:sz w:val="22"/>
          <w:szCs w:val="22"/>
          <w:lang w:val="es-ES"/>
        </w:rPr>
      </w:pPr>
      <w:r>
        <w:rPr>
          <w:rFonts w:ascii="Arial" w:hAnsi="Arial" w:cs="Arial"/>
          <w:sz w:val="22"/>
          <w:szCs w:val="22"/>
          <w:lang w:val="es-ES"/>
        </w:rPr>
        <w:t>Caso Las Palmeras Vs Colombia,</w:t>
      </w:r>
      <w:r w:rsidRPr="00416FDD">
        <w:rPr>
          <w:rFonts w:ascii="Arial" w:hAnsi="Arial" w:cs="Arial"/>
          <w:sz w:val="22"/>
          <w:szCs w:val="22"/>
          <w:lang w:val="es-ES"/>
        </w:rPr>
        <w:t xml:space="preserve"> </w:t>
      </w:r>
      <w:r>
        <w:rPr>
          <w:rFonts w:ascii="Arial" w:hAnsi="Arial" w:cs="Arial"/>
          <w:sz w:val="22"/>
          <w:szCs w:val="22"/>
          <w:lang w:val="es-ES"/>
        </w:rPr>
        <w:t xml:space="preserve">Resolución de </w:t>
      </w:r>
      <w:r w:rsidRPr="00416FDD">
        <w:rPr>
          <w:rFonts w:ascii="Arial" w:hAnsi="Arial" w:cs="Arial"/>
          <w:sz w:val="22"/>
          <w:szCs w:val="22"/>
          <w:lang w:val="es-ES"/>
        </w:rPr>
        <w:t>supervisión de cumplimiento, 4</w:t>
      </w:r>
      <w:r>
        <w:rPr>
          <w:rFonts w:ascii="Arial" w:hAnsi="Arial" w:cs="Arial"/>
          <w:sz w:val="22"/>
          <w:szCs w:val="22"/>
          <w:lang w:val="es-ES"/>
        </w:rPr>
        <w:t xml:space="preserve"> de agosto de 2008.</w:t>
      </w:r>
      <w:r w:rsidRPr="00416FDD">
        <w:rPr>
          <w:rFonts w:ascii="Arial" w:hAnsi="Arial" w:cs="Arial"/>
          <w:sz w:val="22"/>
          <w:szCs w:val="22"/>
          <w:lang w:val="es-ES"/>
        </w:rPr>
        <w:t xml:space="preserve"> </w:t>
      </w:r>
    </w:p>
    <w:p w:rsidR="00111583" w:rsidRPr="00416FDD" w:rsidRDefault="00111583" w:rsidP="0068521C">
      <w:pPr>
        <w:pStyle w:val="Textonotapie"/>
        <w:numPr>
          <w:ilvl w:val="0"/>
          <w:numId w:val="23"/>
        </w:numPr>
        <w:spacing w:line="360" w:lineRule="auto"/>
        <w:jc w:val="both"/>
        <w:rPr>
          <w:rFonts w:ascii="Arial" w:hAnsi="Arial" w:cs="Arial"/>
          <w:sz w:val="22"/>
          <w:szCs w:val="22"/>
          <w:lang w:val="es-ES"/>
        </w:rPr>
      </w:pPr>
      <w:r>
        <w:rPr>
          <w:rFonts w:ascii="Arial" w:hAnsi="Arial" w:cs="Arial"/>
          <w:sz w:val="22"/>
          <w:szCs w:val="22"/>
          <w:lang w:val="es-ES"/>
        </w:rPr>
        <w:t xml:space="preserve">Caso </w:t>
      </w:r>
      <w:proofErr w:type="spellStart"/>
      <w:r>
        <w:rPr>
          <w:rFonts w:ascii="Arial" w:hAnsi="Arial" w:cs="Arial"/>
          <w:sz w:val="22"/>
          <w:szCs w:val="22"/>
          <w:lang w:val="es-ES"/>
        </w:rPr>
        <w:t>Bulacio</w:t>
      </w:r>
      <w:proofErr w:type="spellEnd"/>
      <w:r>
        <w:rPr>
          <w:rFonts w:ascii="Arial" w:hAnsi="Arial" w:cs="Arial"/>
          <w:sz w:val="22"/>
          <w:szCs w:val="22"/>
          <w:lang w:val="es-ES"/>
        </w:rPr>
        <w:t xml:space="preserve"> V</w:t>
      </w:r>
      <w:r w:rsidRPr="00416FDD">
        <w:rPr>
          <w:rFonts w:ascii="Arial" w:hAnsi="Arial" w:cs="Arial"/>
          <w:sz w:val="22"/>
          <w:szCs w:val="22"/>
          <w:lang w:val="es-ES"/>
        </w:rPr>
        <w:t xml:space="preserve">s Argentina, </w:t>
      </w:r>
      <w:r>
        <w:rPr>
          <w:rFonts w:ascii="Arial" w:hAnsi="Arial" w:cs="Arial"/>
          <w:sz w:val="22"/>
          <w:szCs w:val="22"/>
          <w:lang w:val="es-ES"/>
        </w:rPr>
        <w:t xml:space="preserve">Resolución de </w:t>
      </w:r>
      <w:r w:rsidRPr="00416FDD">
        <w:rPr>
          <w:rFonts w:ascii="Arial" w:hAnsi="Arial" w:cs="Arial"/>
          <w:sz w:val="22"/>
          <w:szCs w:val="22"/>
          <w:lang w:val="es-ES"/>
        </w:rPr>
        <w:t>supervisión de cumplimiento</w:t>
      </w:r>
      <w:r>
        <w:rPr>
          <w:rFonts w:ascii="Arial" w:hAnsi="Arial" w:cs="Arial"/>
          <w:sz w:val="22"/>
          <w:szCs w:val="22"/>
          <w:lang w:val="es-ES"/>
        </w:rPr>
        <w:t>,</w:t>
      </w:r>
      <w:r w:rsidRPr="00416FDD">
        <w:rPr>
          <w:rFonts w:ascii="Arial" w:hAnsi="Arial" w:cs="Arial"/>
          <w:sz w:val="22"/>
          <w:szCs w:val="22"/>
          <w:lang w:val="es-ES"/>
        </w:rPr>
        <w:t xml:space="preserve"> 17 de noviembre de 2004.</w:t>
      </w:r>
    </w:p>
    <w:p w:rsidR="00111583" w:rsidRPr="00416FDD" w:rsidRDefault="00111583" w:rsidP="0068521C">
      <w:pPr>
        <w:pStyle w:val="Textonotapie"/>
        <w:numPr>
          <w:ilvl w:val="0"/>
          <w:numId w:val="23"/>
        </w:numPr>
        <w:spacing w:line="360" w:lineRule="auto"/>
        <w:jc w:val="both"/>
        <w:rPr>
          <w:rFonts w:ascii="Arial" w:hAnsi="Arial" w:cs="Arial"/>
          <w:sz w:val="22"/>
          <w:szCs w:val="22"/>
          <w:lang w:val="es-ES"/>
        </w:rPr>
      </w:pPr>
      <w:r w:rsidRPr="00416FDD">
        <w:rPr>
          <w:rFonts w:ascii="Arial" w:hAnsi="Arial" w:cs="Arial"/>
          <w:sz w:val="22"/>
          <w:szCs w:val="22"/>
          <w:lang w:val="es-ES"/>
        </w:rPr>
        <w:t>Caso 19 comerciantes</w:t>
      </w:r>
      <w:r>
        <w:rPr>
          <w:rFonts w:ascii="Arial" w:hAnsi="Arial" w:cs="Arial"/>
          <w:sz w:val="22"/>
          <w:szCs w:val="22"/>
          <w:lang w:val="es-ES"/>
        </w:rPr>
        <w:t xml:space="preserve"> Vs. Colombia</w:t>
      </w:r>
      <w:r w:rsidRPr="00416FDD">
        <w:rPr>
          <w:rFonts w:ascii="Arial" w:hAnsi="Arial" w:cs="Arial"/>
          <w:sz w:val="22"/>
          <w:szCs w:val="22"/>
          <w:lang w:val="es-ES"/>
        </w:rPr>
        <w:t xml:space="preserve">, </w:t>
      </w:r>
      <w:r>
        <w:rPr>
          <w:rFonts w:ascii="Arial" w:hAnsi="Arial" w:cs="Arial"/>
          <w:sz w:val="22"/>
          <w:szCs w:val="22"/>
          <w:lang w:val="es-ES"/>
        </w:rPr>
        <w:t xml:space="preserve">Resolución de </w:t>
      </w:r>
      <w:r w:rsidRPr="00416FDD">
        <w:rPr>
          <w:rFonts w:ascii="Arial" w:hAnsi="Arial" w:cs="Arial"/>
          <w:sz w:val="22"/>
          <w:szCs w:val="22"/>
          <w:lang w:val="es-ES"/>
        </w:rPr>
        <w:t>supervis</w:t>
      </w:r>
      <w:r w:rsidR="0068521C">
        <w:rPr>
          <w:rFonts w:ascii="Arial" w:hAnsi="Arial" w:cs="Arial"/>
          <w:sz w:val="22"/>
          <w:szCs w:val="22"/>
          <w:lang w:val="es-ES"/>
        </w:rPr>
        <w:t>ión de cumplimiento</w:t>
      </w:r>
      <w:r w:rsidRPr="00416FDD">
        <w:rPr>
          <w:rFonts w:ascii="Arial" w:hAnsi="Arial" w:cs="Arial"/>
          <w:sz w:val="22"/>
          <w:szCs w:val="22"/>
          <w:lang w:val="es-ES"/>
        </w:rPr>
        <w:t>, 2 de febrero de 2006</w:t>
      </w:r>
      <w:r>
        <w:rPr>
          <w:rFonts w:ascii="Arial" w:hAnsi="Arial" w:cs="Arial"/>
          <w:sz w:val="22"/>
          <w:szCs w:val="22"/>
          <w:lang w:val="es-ES"/>
        </w:rPr>
        <w:t>.</w:t>
      </w:r>
      <w:r w:rsidRPr="00416FDD">
        <w:rPr>
          <w:rFonts w:ascii="Arial" w:hAnsi="Arial" w:cs="Arial"/>
          <w:sz w:val="22"/>
          <w:szCs w:val="22"/>
          <w:lang w:val="es-ES"/>
        </w:rPr>
        <w:t xml:space="preserve"> </w:t>
      </w:r>
    </w:p>
    <w:p w:rsidR="00111583" w:rsidRPr="00416FDD" w:rsidRDefault="00111583" w:rsidP="0068521C">
      <w:pPr>
        <w:pStyle w:val="Textonotapie"/>
        <w:numPr>
          <w:ilvl w:val="0"/>
          <w:numId w:val="23"/>
        </w:numPr>
        <w:spacing w:line="360" w:lineRule="auto"/>
        <w:jc w:val="both"/>
        <w:rPr>
          <w:rFonts w:ascii="Arial" w:hAnsi="Arial" w:cs="Arial"/>
          <w:sz w:val="22"/>
          <w:szCs w:val="22"/>
          <w:lang w:val="es-ES"/>
        </w:rPr>
      </w:pPr>
      <w:r w:rsidRPr="00416FDD">
        <w:rPr>
          <w:rFonts w:ascii="Arial" w:hAnsi="Arial" w:cs="Arial"/>
          <w:sz w:val="22"/>
          <w:szCs w:val="22"/>
          <w:lang w:val="es-ES"/>
        </w:rPr>
        <w:t>Caso de las Hermanas Serrano Cruz</w:t>
      </w:r>
      <w:r>
        <w:rPr>
          <w:rFonts w:ascii="Arial" w:hAnsi="Arial" w:cs="Arial"/>
          <w:sz w:val="22"/>
          <w:szCs w:val="22"/>
          <w:lang w:val="es-ES"/>
        </w:rPr>
        <w:t xml:space="preserve"> Vs El Salvador</w:t>
      </w:r>
      <w:r w:rsidRPr="00416FDD">
        <w:rPr>
          <w:rFonts w:ascii="Arial" w:hAnsi="Arial" w:cs="Arial"/>
          <w:sz w:val="22"/>
          <w:szCs w:val="22"/>
          <w:lang w:val="es-ES"/>
        </w:rPr>
        <w:t xml:space="preserve">, </w:t>
      </w:r>
      <w:r>
        <w:rPr>
          <w:rFonts w:ascii="Arial" w:hAnsi="Arial" w:cs="Arial"/>
          <w:sz w:val="22"/>
          <w:szCs w:val="22"/>
          <w:lang w:val="es-ES"/>
        </w:rPr>
        <w:t xml:space="preserve">Resolución de </w:t>
      </w:r>
      <w:r w:rsidRPr="00416FDD">
        <w:rPr>
          <w:rFonts w:ascii="Arial" w:hAnsi="Arial" w:cs="Arial"/>
          <w:sz w:val="22"/>
          <w:szCs w:val="22"/>
          <w:lang w:val="es-ES"/>
        </w:rPr>
        <w:t xml:space="preserve">supervisión de cumplimiento, 03 de febrero de 2010.  </w:t>
      </w:r>
    </w:p>
    <w:p w:rsidR="00111583" w:rsidRPr="0068521C" w:rsidRDefault="0068521C" w:rsidP="0068521C">
      <w:pPr>
        <w:pStyle w:val="Textonotapie"/>
        <w:numPr>
          <w:ilvl w:val="0"/>
          <w:numId w:val="23"/>
        </w:numPr>
        <w:spacing w:line="360" w:lineRule="auto"/>
        <w:jc w:val="both"/>
        <w:rPr>
          <w:rFonts w:ascii="Arial" w:hAnsi="Arial" w:cs="Arial"/>
          <w:sz w:val="22"/>
          <w:szCs w:val="22"/>
          <w:lang w:val="es-ES"/>
        </w:rPr>
      </w:pPr>
      <w:r w:rsidRPr="0068521C">
        <w:rPr>
          <w:rFonts w:ascii="Arial" w:hAnsi="Arial" w:cs="Arial"/>
          <w:sz w:val="22"/>
          <w:szCs w:val="22"/>
          <w:lang w:val="es-ES"/>
        </w:rPr>
        <w:t xml:space="preserve">Caso “La </w:t>
      </w:r>
      <w:proofErr w:type="spellStart"/>
      <w:r w:rsidRPr="0068521C">
        <w:rPr>
          <w:rFonts w:ascii="Arial" w:hAnsi="Arial" w:cs="Arial"/>
          <w:sz w:val="22"/>
          <w:szCs w:val="22"/>
          <w:lang w:val="es-ES"/>
        </w:rPr>
        <w:t>Ultima</w:t>
      </w:r>
      <w:proofErr w:type="spellEnd"/>
      <w:r w:rsidRPr="0068521C">
        <w:rPr>
          <w:rFonts w:ascii="Arial" w:hAnsi="Arial" w:cs="Arial"/>
          <w:sz w:val="22"/>
          <w:szCs w:val="22"/>
          <w:lang w:val="es-ES"/>
        </w:rPr>
        <w:t xml:space="preserve"> Tentación de Cristo” (Olmedo Bustos Y Otros, Resolución de supervisión de cumplimiento, </w:t>
      </w:r>
      <w:r w:rsidR="00111583" w:rsidRPr="0068521C">
        <w:rPr>
          <w:rFonts w:ascii="Arial" w:hAnsi="Arial" w:cs="Arial"/>
          <w:sz w:val="22"/>
          <w:szCs w:val="22"/>
          <w:lang w:val="es-ES"/>
        </w:rPr>
        <w:t>28 de noviembre de 2003</w:t>
      </w:r>
      <w:r w:rsidRPr="0068521C">
        <w:rPr>
          <w:rFonts w:ascii="Arial" w:hAnsi="Arial" w:cs="Arial"/>
          <w:sz w:val="22"/>
          <w:szCs w:val="22"/>
          <w:lang w:val="es-ES"/>
        </w:rPr>
        <w:t>.</w:t>
      </w:r>
    </w:p>
    <w:p w:rsidR="00111583" w:rsidRDefault="0068521C" w:rsidP="0068521C">
      <w:pPr>
        <w:pStyle w:val="Textonotapie"/>
        <w:numPr>
          <w:ilvl w:val="0"/>
          <w:numId w:val="23"/>
        </w:numPr>
        <w:spacing w:line="360" w:lineRule="auto"/>
        <w:jc w:val="both"/>
        <w:rPr>
          <w:rFonts w:ascii="Arial" w:hAnsi="Arial" w:cs="Arial"/>
          <w:sz w:val="22"/>
          <w:szCs w:val="22"/>
          <w:lang w:val="es-ES"/>
        </w:rPr>
      </w:pPr>
      <w:r w:rsidRPr="0068521C">
        <w:rPr>
          <w:rFonts w:ascii="Arial" w:hAnsi="Arial" w:cs="Arial"/>
          <w:sz w:val="22"/>
          <w:szCs w:val="22"/>
          <w:lang w:val="es-ES"/>
        </w:rPr>
        <w:t>Caso Heliodoro Portugal Vs. Panamá</w:t>
      </w:r>
      <w:r>
        <w:rPr>
          <w:rFonts w:ascii="Arial" w:hAnsi="Arial" w:cs="Arial"/>
          <w:sz w:val="22"/>
          <w:szCs w:val="22"/>
          <w:lang w:val="es-ES"/>
        </w:rPr>
        <w:t>,</w:t>
      </w:r>
      <w:r w:rsidRPr="0068521C">
        <w:rPr>
          <w:rFonts w:ascii="Arial" w:hAnsi="Arial" w:cs="Arial"/>
          <w:sz w:val="22"/>
          <w:szCs w:val="22"/>
          <w:lang w:val="es-ES"/>
        </w:rPr>
        <w:t xml:space="preserve"> </w:t>
      </w:r>
      <w:r>
        <w:rPr>
          <w:rFonts w:ascii="Arial" w:hAnsi="Arial" w:cs="Arial"/>
          <w:sz w:val="22"/>
          <w:szCs w:val="22"/>
          <w:lang w:val="es-ES"/>
        </w:rPr>
        <w:t xml:space="preserve">Resolución de </w:t>
      </w:r>
      <w:r w:rsidRPr="00416FDD">
        <w:rPr>
          <w:rFonts w:ascii="Arial" w:hAnsi="Arial" w:cs="Arial"/>
          <w:sz w:val="22"/>
          <w:szCs w:val="22"/>
          <w:lang w:val="es-ES"/>
        </w:rPr>
        <w:t>supervisión de cumplimiento</w:t>
      </w:r>
      <w:r w:rsidRPr="0068521C">
        <w:rPr>
          <w:rFonts w:ascii="Arial" w:hAnsi="Arial" w:cs="Arial"/>
          <w:sz w:val="22"/>
          <w:szCs w:val="22"/>
          <w:lang w:val="es-ES"/>
        </w:rPr>
        <w:t xml:space="preserve"> </w:t>
      </w:r>
      <w:r>
        <w:rPr>
          <w:rFonts w:ascii="Arial" w:hAnsi="Arial" w:cs="Arial"/>
          <w:sz w:val="22"/>
          <w:szCs w:val="22"/>
          <w:lang w:val="es-ES"/>
        </w:rPr>
        <w:t>de 19 de Junio de 2012.</w:t>
      </w:r>
      <w:r w:rsidR="00111583" w:rsidRPr="0068521C">
        <w:rPr>
          <w:rFonts w:ascii="Arial" w:hAnsi="Arial" w:cs="Arial"/>
          <w:sz w:val="22"/>
          <w:szCs w:val="22"/>
          <w:lang w:val="es-ES"/>
        </w:rPr>
        <w:t xml:space="preserve"> </w:t>
      </w:r>
    </w:p>
    <w:p w:rsidR="00111583" w:rsidRDefault="0068521C" w:rsidP="0068521C">
      <w:pPr>
        <w:pStyle w:val="Textonotapie"/>
        <w:numPr>
          <w:ilvl w:val="0"/>
          <w:numId w:val="23"/>
        </w:numPr>
        <w:spacing w:line="360" w:lineRule="auto"/>
        <w:jc w:val="both"/>
        <w:rPr>
          <w:rFonts w:ascii="Arial" w:hAnsi="Arial" w:cs="Arial"/>
          <w:sz w:val="22"/>
          <w:szCs w:val="22"/>
          <w:lang w:val="es-ES"/>
        </w:rPr>
      </w:pPr>
      <w:r w:rsidRPr="005305BE">
        <w:rPr>
          <w:rFonts w:ascii="Arial" w:hAnsi="Arial" w:cs="Arial"/>
          <w:sz w:val="22"/>
          <w:szCs w:val="22"/>
          <w:lang w:val="es-ES"/>
        </w:rPr>
        <w:t>Caso de la Masacre de la Rochela Vs. Colombia</w:t>
      </w:r>
      <w:r>
        <w:rPr>
          <w:rFonts w:ascii="Arial" w:hAnsi="Arial" w:cs="Arial"/>
          <w:sz w:val="22"/>
          <w:szCs w:val="22"/>
          <w:lang w:val="es-ES"/>
        </w:rPr>
        <w:t xml:space="preserve">, Resolución de </w:t>
      </w:r>
      <w:r w:rsidRPr="00416FDD">
        <w:rPr>
          <w:rFonts w:ascii="Arial" w:hAnsi="Arial" w:cs="Arial"/>
          <w:sz w:val="22"/>
          <w:szCs w:val="22"/>
          <w:lang w:val="es-ES"/>
        </w:rPr>
        <w:t>supervisión de cumplimiento</w:t>
      </w:r>
      <w:r>
        <w:rPr>
          <w:rFonts w:ascii="Arial" w:hAnsi="Arial" w:cs="Arial"/>
          <w:sz w:val="22"/>
          <w:szCs w:val="22"/>
          <w:lang w:val="es-ES"/>
        </w:rPr>
        <w:t>, 26 de Agosto de 2010.</w:t>
      </w:r>
    </w:p>
    <w:p w:rsidR="00684FD6" w:rsidRDefault="0068521C" w:rsidP="0068521C">
      <w:pPr>
        <w:pStyle w:val="Textonotapie"/>
        <w:numPr>
          <w:ilvl w:val="0"/>
          <w:numId w:val="23"/>
        </w:numPr>
        <w:spacing w:line="360" w:lineRule="auto"/>
        <w:jc w:val="both"/>
        <w:rPr>
          <w:rFonts w:ascii="Arial" w:hAnsi="Arial" w:cs="Arial"/>
          <w:sz w:val="22"/>
          <w:szCs w:val="22"/>
          <w:lang w:val="es-ES"/>
        </w:rPr>
      </w:pPr>
      <w:r w:rsidRPr="005305BE">
        <w:rPr>
          <w:rFonts w:ascii="Arial" w:hAnsi="Arial" w:cs="Arial"/>
          <w:sz w:val="22"/>
          <w:szCs w:val="22"/>
          <w:lang w:val="es-ES"/>
        </w:rPr>
        <w:lastRenderedPageBreak/>
        <w:t>Caso Acosta Calderón Vs. Ecuador</w:t>
      </w:r>
      <w:r>
        <w:rPr>
          <w:rFonts w:ascii="Arial" w:hAnsi="Arial" w:cs="Arial"/>
          <w:sz w:val="22"/>
          <w:szCs w:val="22"/>
          <w:lang w:val="es-ES"/>
        </w:rPr>
        <w:t xml:space="preserve">, Resolución de </w:t>
      </w:r>
      <w:r w:rsidRPr="00416FDD">
        <w:rPr>
          <w:rFonts w:ascii="Arial" w:hAnsi="Arial" w:cs="Arial"/>
          <w:sz w:val="22"/>
          <w:szCs w:val="22"/>
          <w:lang w:val="es-ES"/>
        </w:rPr>
        <w:t>supervisión de cumplimiento</w:t>
      </w:r>
      <w:r>
        <w:rPr>
          <w:rFonts w:ascii="Arial" w:hAnsi="Arial" w:cs="Arial"/>
          <w:sz w:val="22"/>
          <w:szCs w:val="22"/>
          <w:lang w:val="es-ES"/>
        </w:rPr>
        <w:t>, 7 de febrero de 2008.</w:t>
      </w:r>
      <w:r w:rsidR="00684FD6" w:rsidRPr="005305BE">
        <w:rPr>
          <w:rFonts w:ascii="Arial" w:hAnsi="Arial" w:cs="Arial"/>
          <w:sz w:val="22"/>
          <w:szCs w:val="22"/>
          <w:lang w:val="es-ES"/>
        </w:rPr>
        <w:t xml:space="preserve"> </w:t>
      </w:r>
    </w:p>
    <w:p w:rsidR="00684FD6" w:rsidRDefault="0068521C" w:rsidP="0068521C">
      <w:pPr>
        <w:pStyle w:val="Textonotapie"/>
        <w:numPr>
          <w:ilvl w:val="0"/>
          <w:numId w:val="23"/>
        </w:numPr>
        <w:spacing w:line="360" w:lineRule="auto"/>
        <w:jc w:val="both"/>
        <w:rPr>
          <w:rFonts w:ascii="Arial" w:hAnsi="Arial" w:cs="Arial"/>
          <w:sz w:val="22"/>
          <w:szCs w:val="22"/>
          <w:lang w:val="es-ES"/>
        </w:rPr>
      </w:pPr>
      <w:r w:rsidRPr="005305BE">
        <w:rPr>
          <w:rFonts w:ascii="Arial" w:hAnsi="Arial" w:cs="Arial"/>
          <w:sz w:val="22"/>
          <w:szCs w:val="22"/>
          <w:lang w:val="es-ES"/>
        </w:rPr>
        <w:t>Caso Barrios Altos vs. Perú</w:t>
      </w:r>
      <w:r>
        <w:rPr>
          <w:rFonts w:ascii="Arial" w:hAnsi="Arial" w:cs="Arial"/>
          <w:sz w:val="22"/>
          <w:szCs w:val="22"/>
          <w:lang w:val="es-ES"/>
        </w:rPr>
        <w:t xml:space="preserve">, Resolución de </w:t>
      </w:r>
      <w:r w:rsidRPr="00416FDD">
        <w:rPr>
          <w:rFonts w:ascii="Arial" w:hAnsi="Arial" w:cs="Arial"/>
          <w:sz w:val="22"/>
          <w:szCs w:val="22"/>
          <w:lang w:val="es-ES"/>
        </w:rPr>
        <w:t>supervisión de cumplimiento</w:t>
      </w:r>
      <w:r>
        <w:rPr>
          <w:rFonts w:ascii="Arial" w:hAnsi="Arial" w:cs="Arial"/>
          <w:sz w:val="22"/>
          <w:szCs w:val="22"/>
          <w:lang w:val="es-ES"/>
        </w:rPr>
        <w:t>,</w:t>
      </w:r>
      <w:r w:rsidR="00684FD6" w:rsidRPr="005305BE">
        <w:rPr>
          <w:rFonts w:ascii="Arial" w:hAnsi="Arial" w:cs="Arial"/>
          <w:sz w:val="22"/>
          <w:szCs w:val="22"/>
          <w:lang w:val="es-ES"/>
        </w:rPr>
        <w:t xml:space="preserve"> 7 de Septiembre de 2</w:t>
      </w:r>
      <w:r>
        <w:rPr>
          <w:rFonts w:ascii="Arial" w:hAnsi="Arial" w:cs="Arial"/>
          <w:sz w:val="22"/>
          <w:szCs w:val="22"/>
          <w:lang w:val="es-ES"/>
        </w:rPr>
        <w:t>012.</w:t>
      </w:r>
    </w:p>
    <w:p w:rsidR="0068521C" w:rsidRPr="0068521C" w:rsidRDefault="0068521C" w:rsidP="0068521C">
      <w:pPr>
        <w:pStyle w:val="Textonotapie"/>
        <w:numPr>
          <w:ilvl w:val="0"/>
          <w:numId w:val="23"/>
        </w:numPr>
        <w:spacing w:line="360" w:lineRule="auto"/>
        <w:jc w:val="both"/>
        <w:rPr>
          <w:rFonts w:ascii="Arial" w:hAnsi="Arial" w:cs="Arial"/>
          <w:sz w:val="22"/>
          <w:szCs w:val="22"/>
          <w:lang w:val="es-ES"/>
        </w:rPr>
      </w:pPr>
      <w:r w:rsidRPr="0068521C">
        <w:rPr>
          <w:rFonts w:ascii="Arial" w:hAnsi="Arial" w:cs="Arial"/>
          <w:sz w:val="22"/>
          <w:szCs w:val="22"/>
          <w:lang w:val="es-ES"/>
        </w:rPr>
        <w:t>Caso Zambrano Vélez y otros vs. Ecuador, Resolución de supervisión de cumplimiento, 23 de Noviembre de 2010.</w:t>
      </w:r>
    </w:p>
    <w:p w:rsidR="00A3443A" w:rsidRPr="0068521C" w:rsidRDefault="0068521C" w:rsidP="0068521C">
      <w:pPr>
        <w:pStyle w:val="Textonotapie"/>
        <w:spacing w:line="360" w:lineRule="auto"/>
        <w:ind w:left="1080"/>
        <w:jc w:val="both"/>
        <w:rPr>
          <w:rFonts w:ascii="Arial" w:hAnsi="Arial" w:cs="Arial"/>
          <w:sz w:val="22"/>
          <w:szCs w:val="22"/>
          <w:lang w:val="es-ES"/>
        </w:rPr>
      </w:pPr>
      <w:r w:rsidRPr="0068521C">
        <w:rPr>
          <w:rFonts w:ascii="Arial" w:hAnsi="Arial" w:cs="Arial"/>
          <w:sz w:val="22"/>
          <w:szCs w:val="22"/>
          <w:lang w:val="es-ES"/>
        </w:rPr>
        <w:t xml:space="preserve"> </w:t>
      </w:r>
    </w:p>
    <w:p w:rsidR="00A3443A" w:rsidRDefault="00A3443A" w:rsidP="00A3443A">
      <w:pPr>
        <w:pStyle w:val="Body1"/>
        <w:ind w:left="1080"/>
        <w:jc w:val="both"/>
        <w:rPr>
          <w:rFonts w:ascii="Arial" w:hAnsi="Arial" w:cs="Arial"/>
          <w:b/>
          <w:sz w:val="22"/>
          <w:szCs w:val="22"/>
        </w:rPr>
      </w:pPr>
      <w:r>
        <w:rPr>
          <w:rFonts w:ascii="Arial" w:hAnsi="Arial" w:cs="Arial"/>
          <w:b/>
          <w:sz w:val="22"/>
          <w:szCs w:val="22"/>
        </w:rPr>
        <w:t xml:space="preserve">Casos </w:t>
      </w:r>
      <w:r w:rsidR="0068521C">
        <w:rPr>
          <w:rFonts w:ascii="Arial" w:hAnsi="Arial" w:cs="Arial"/>
          <w:b/>
          <w:sz w:val="22"/>
          <w:szCs w:val="22"/>
        </w:rPr>
        <w:t xml:space="preserve">contenciosos </w:t>
      </w:r>
      <w:r w:rsidR="007706F6">
        <w:rPr>
          <w:rFonts w:ascii="Arial" w:hAnsi="Arial" w:cs="Arial"/>
          <w:b/>
          <w:sz w:val="22"/>
          <w:szCs w:val="22"/>
        </w:rPr>
        <w:t xml:space="preserve">de la Corte IDH </w:t>
      </w:r>
      <w:r>
        <w:rPr>
          <w:rFonts w:ascii="Arial" w:hAnsi="Arial" w:cs="Arial"/>
          <w:b/>
          <w:sz w:val="22"/>
          <w:szCs w:val="22"/>
        </w:rPr>
        <w:t>contra Ecuador</w:t>
      </w:r>
    </w:p>
    <w:p w:rsidR="0068521C" w:rsidRDefault="0068521C" w:rsidP="00A3443A">
      <w:pPr>
        <w:pStyle w:val="Body1"/>
        <w:ind w:left="1080"/>
        <w:jc w:val="both"/>
        <w:rPr>
          <w:rFonts w:ascii="Arial" w:hAnsi="Arial" w:cs="Arial"/>
          <w:b/>
          <w:sz w:val="22"/>
          <w:szCs w:val="22"/>
        </w:rPr>
      </w:pPr>
    </w:p>
    <w:p w:rsidR="00111583" w:rsidRDefault="00111583" w:rsidP="00A3443A">
      <w:pPr>
        <w:pStyle w:val="Body1"/>
        <w:ind w:left="1080"/>
        <w:jc w:val="both"/>
        <w:rPr>
          <w:rFonts w:ascii="Arial" w:hAnsi="Arial" w:cs="Arial"/>
          <w:b/>
          <w:sz w:val="22"/>
          <w:szCs w:val="22"/>
        </w:rPr>
      </w:pPr>
    </w:p>
    <w:p w:rsidR="00DE74BC" w:rsidRDefault="00DE74BC" w:rsidP="00DE74B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Caso Benavides Cevallos Vs. Ecuador, sentencia de 19 de junio de 1998.</w:t>
      </w:r>
    </w:p>
    <w:p w:rsidR="00DE74BC" w:rsidRDefault="00DE74BC" w:rsidP="0068521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Caso Suarez Rosero Vs. Ecuador, sentencia de 20 de enero de 1999.</w:t>
      </w:r>
    </w:p>
    <w:p w:rsidR="00DE74BC" w:rsidRDefault="00DE74BC" w:rsidP="0068521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Caso Tibi Vs. Ecuador, sentencia de 7 de septiembre de 2004.</w:t>
      </w:r>
    </w:p>
    <w:p w:rsidR="0068521C" w:rsidRDefault="0068521C" w:rsidP="0068521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Caso Acosta Calderón Vs. Ecuador, s</w:t>
      </w:r>
      <w:r w:rsidRPr="00416FDD">
        <w:rPr>
          <w:rFonts w:ascii="Arial" w:hAnsi="Arial" w:cs="Arial"/>
          <w:sz w:val="22"/>
          <w:szCs w:val="22"/>
          <w:lang w:val="es-ES"/>
        </w:rPr>
        <w:t>entencia de 24 de junio de 2005</w:t>
      </w:r>
      <w:r>
        <w:rPr>
          <w:rFonts w:ascii="Arial" w:hAnsi="Arial" w:cs="Arial"/>
          <w:sz w:val="22"/>
          <w:szCs w:val="22"/>
          <w:lang w:val="es-ES"/>
        </w:rPr>
        <w:t>.</w:t>
      </w:r>
      <w:r w:rsidRPr="00416FDD">
        <w:rPr>
          <w:rFonts w:ascii="Arial" w:hAnsi="Arial" w:cs="Arial"/>
          <w:sz w:val="22"/>
          <w:szCs w:val="22"/>
          <w:lang w:val="es-ES"/>
        </w:rPr>
        <w:t xml:space="preserve"> </w:t>
      </w:r>
    </w:p>
    <w:p w:rsidR="0068521C" w:rsidRDefault="0068521C" w:rsidP="0068521C">
      <w:pPr>
        <w:pStyle w:val="Textonotapie"/>
        <w:numPr>
          <w:ilvl w:val="0"/>
          <w:numId w:val="24"/>
        </w:numPr>
        <w:spacing w:line="360" w:lineRule="auto"/>
        <w:jc w:val="both"/>
        <w:rPr>
          <w:rFonts w:ascii="Arial" w:hAnsi="Arial" w:cs="Arial"/>
          <w:sz w:val="22"/>
          <w:szCs w:val="22"/>
          <w:lang w:val="es-ES"/>
        </w:rPr>
      </w:pPr>
      <w:r w:rsidRPr="00416FDD">
        <w:rPr>
          <w:rFonts w:ascii="Arial" w:hAnsi="Arial" w:cs="Arial"/>
          <w:sz w:val="22"/>
          <w:szCs w:val="22"/>
          <w:lang w:val="es-ES"/>
        </w:rPr>
        <w:t>Caso Zambrano Vélez</w:t>
      </w:r>
      <w:r>
        <w:rPr>
          <w:rFonts w:ascii="Arial" w:hAnsi="Arial" w:cs="Arial"/>
          <w:sz w:val="22"/>
          <w:szCs w:val="22"/>
          <w:lang w:val="es-ES"/>
        </w:rPr>
        <w:t xml:space="preserve"> Vs. Ecuador, sentencia de 4 de julio de 2007</w:t>
      </w:r>
      <w:r w:rsidR="00DE74BC">
        <w:rPr>
          <w:rFonts w:ascii="Arial" w:hAnsi="Arial" w:cs="Arial"/>
          <w:sz w:val="22"/>
          <w:szCs w:val="22"/>
          <w:lang w:val="es-ES"/>
        </w:rPr>
        <w:t>.</w:t>
      </w:r>
    </w:p>
    <w:p w:rsidR="0068521C" w:rsidRDefault="0068521C" w:rsidP="0068521C">
      <w:pPr>
        <w:pStyle w:val="Textonotapie"/>
        <w:numPr>
          <w:ilvl w:val="0"/>
          <w:numId w:val="24"/>
        </w:numPr>
        <w:spacing w:line="360" w:lineRule="auto"/>
        <w:jc w:val="both"/>
        <w:rPr>
          <w:rFonts w:ascii="Arial" w:hAnsi="Arial" w:cs="Arial"/>
          <w:sz w:val="22"/>
          <w:szCs w:val="22"/>
          <w:lang w:val="es-ES"/>
        </w:rPr>
      </w:pPr>
      <w:r w:rsidRPr="00416FDD">
        <w:rPr>
          <w:rFonts w:ascii="Arial" w:hAnsi="Arial" w:cs="Arial"/>
          <w:sz w:val="22"/>
          <w:szCs w:val="22"/>
          <w:lang w:val="es-ES"/>
        </w:rPr>
        <w:t>Caso C</w:t>
      </w:r>
      <w:r>
        <w:rPr>
          <w:rFonts w:ascii="Arial" w:hAnsi="Arial" w:cs="Arial"/>
          <w:sz w:val="22"/>
          <w:szCs w:val="22"/>
          <w:lang w:val="es-ES"/>
        </w:rPr>
        <w:t>haparro Álvarez y Lapo Iñiguez Vs. Ecuador, sentencia de 21 de noviembre de 2007</w:t>
      </w:r>
    </w:p>
    <w:p w:rsidR="00DE74BC" w:rsidRDefault="00DE74BC" w:rsidP="0068521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Caso Albán Cornejo Vs. Ecuador, sentencia de 22 de noviembre de 2007</w:t>
      </w:r>
    </w:p>
    <w:p w:rsidR="00DE74BC" w:rsidRDefault="00DE74BC" w:rsidP="0068521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Caso Salvador Chiriboga Vs. Ecuador, sentencia de 3 de marzo de 2011.</w:t>
      </w:r>
    </w:p>
    <w:p w:rsidR="00DE74BC" w:rsidRDefault="00DE74BC" w:rsidP="0068521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 xml:space="preserve">Caso Vera </w:t>
      </w:r>
      <w:proofErr w:type="spellStart"/>
      <w:r>
        <w:rPr>
          <w:rFonts w:ascii="Arial" w:hAnsi="Arial" w:cs="Arial"/>
          <w:sz w:val="22"/>
          <w:szCs w:val="22"/>
          <w:lang w:val="es-ES"/>
        </w:rPr>
        <w:t>Vera</w:t>
      </w:r>
      <w:proofErr w:type="spellEnd"/>
      <w:r>
        <w:rPr>
          <w:rFonts w:ascii="Arial" w:hAnsi="Arial" w:cs="Arial"/>
          <w:sz w:val="22"/>
          <w:szCs w:val="22"/>
          <w:lang w:val="es-ES"/>
        </w:rPr>
        <w:t xml:space="preserve"> y otra Vs. Ecuador, sentencia de 19 de mayo de 2011. </w:t>
      </w:r>
    </w:p>
    <w:p w:rsidR="00111583" w:rsidRDefault="00111583" w:rsidP="0068521C">
      <w:pPr>
        <w:pStyle w:val="Textonotapie"/>
        <w:numPr>
          <w:ilvl w:val="0"/>
          <w:numId w:val="24"/>
        </w:numPr>
        <w:spacing w:line="360" w:lineRule="auto"/>
        <w:jc w:val="both"/>
        <w:rPr>
          <w:rFonts w:ascii="Arial" w:hAnsi="Arial" w:cs="Arial"/>
          <w:sz w:val="22"/>
          <w:szCs w:val="22"/>
          <w:lang w:val="es-ES"/>
        </w:rPr>
      </w:pPr>
      <w:r w:rsidRPr="00416FDD">
        <w:rPr>
          <w:rFonts w:ascii="Arial" w:hAnsi="Arial" w:cs="Arial"/>
          <w:sz w:val="22"/>
          <w:szCs w:val="22"/>
          <w:lang w:val="es-ES"/>
        </w:rPr>
        <w:t xml:space="preserve">Caso Mejía </w:t>
      </w:r>
      <w:proofErr w:type="spellStart"/>
      <w:r w:rsidRPr="00416FDD">
        <w:rPr>
          <w:rFonts w:ascii="Arial" w:hAnsi="Arial" w:cs="Arial"/>
          <w:sz w:val="22"/>
          <w:szCs w:val="22"/>
          <w:lang w:val="es-ES"/>
        </w:rPr>
        <w:t>Idrovo</w:t>
      </w:r>
      <w:proofErr w:type="spellEnd"/>
      <w:r w:rsidRPr="00416FDD">
        <w:rPr>
          <w:rFonts w:ascii="Arial" w:hAnsi="Arial" w:cs="Arial"/>
          <w:sz w:val="22"/>
          <w:szCs w:val="22"/>
          <w:lang w:val="es-ES"/>
        </w:rPr>
        <w:t xml:space="preserve"> Vs. Ecuador</w:t>
      </w:r>
      <w:r>
        <w:rPr>
          <w:rFonts w:ascii="Arial" w:hAnsi="Arial" w:cs="Arial"/>
          <w:sz w:val="22"/>
          <w:szCs w:val="22"/>
          <w:lang w:val="es-ES"/>
        </w:rPr>
        <w:t>, sentencia de 5 de julio de 2011.</w:t>
      </w:r>
    </w:p>
    <w:p w:rsidR="00DE74BC" w:rsidRDefault="00DE74BC" w:rsidP="0068521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 xml:space="preserve">Caso del Pueblo </w:t>
      </w:r>
      <w:proofErr w:type="spellStart"/>
      <w:r>
        <w:rPr>
          <w:rFonts w:ascii="Arial" w:hAnsi="Arial" w:cs="Arial"/>
          <w:sz w:val="22"/>
          <w:szCs w:val="22"/>
          <w:lang w:val="es-ES"/>
        </w:rPr>
        <w:t>Kichwa</w:t>
      </w:r>
      <w:proofErr w:type="spellEnd"/>
      <w:r>
        <w:rPr>
          <w:rFonts w:ascii="Arial" w:hAnsi="Arial" w:cs="Arial"/>
          <w:sz w:val="22"/>
          <w:szCs w:val="22"/>
          <w:lang w:val="es-ES"/>
        </w:rPr>
        <w:t xml:space="preserve"> de </w:t>
      </w:r>
      <w:proofErr w:type="spellStart"/>
      <w:r>
        <w:rPr>
          <w:rFonts w:ascii="Arial" w:hAnsi="Arial" w:cs="Arial"/>
          <w:sz w:val="22"/>
          <w:szCs w:val="22"/>
          <w:lang w:val="es-ES"/>
        </w:rPr>
        <w:t>Sarayacu</w:t>
      </w:r>
      <w:proofErr w:type="spellEnd"/>
      <w:r>
        <w:rPr>
          <w:rFonts w:ascii="Arial" w:hAnsi="Arial" w:cs="Arial"/>
          <w:sz w:val="22"/>
          <w:szCs w:val="22"/>
          <w:lang w:val="es-ES"/>
        </w:rPr>
        <w:t xml:space="preserve"> Vs. Ecuador, sentencia de 27 de junio de 2011.</w:t>
      </w:r>
    </w:p>
    <w:p w:rsidR="00DE74BC" w:rsidRDefault="00DE74BC" w:rsidP="0068521C">
      <w:pPr>
        <w:pStyle w:val="Textonotapie"/>
        <w:numPr>
          <w:ilvl w:val="0"/>
          <w:numId w:val="24"/>
        </w:numPr>
        <w:spacing w:line="360" w:lineRule="auto"/>
        <w:jc w:val="both"/>
        <w:rPr>
          <w:rFonts w:ascii="Arial" w:hAnsi="Arial" w:cs="Arial"/>
          <w:sz w:val="22"/>
          <w:szCs w:val="22"/>
          <w:lang w:val="es-ES"/>
        </w:rPr>
      </w:pPr>
      <w:r>
        <w:rPr>
          <w:rFonts w:ascii="Arial" w:hAnsi="Arial" w:cs="Arial"/>
          <w:sz w:val="22"/>
          <w:szCs w:val="22"/>
          <w:lang w:val="es-ES"/>
        </w:rPr>
        <w:t>Caso Palma Mendoza y otros Vs. Ecuador, sentencia de 3 de septiembre de 2012.</w:t>
      </w:r>
    </w:p>
    <w:p w:rsidR="00783008" w:rsidRDefault="00783008" w:rsidP="00084C8E">
      <w:pPr>
        <w:pStyle w:val="Body1"/>
        <w:jc w:val="both"/>
        <w:rPr>
          <w:rFonts w:ascii="Arial" w:hAnsi="Arial" w:cs="Arial"/>
          <w:b/>
          <w:sz w:val="22"/>
          <w:szCs w:val="22"/>
        </w:rPr>
      </w:pPr>
    </w:p>
    <w:p w:rsidR="00A3443A" w:rsidRDefault="00A3443A" w:rsidP="00A3443A">
      <w:pPr>
        <w:pStyle w:val="Body1"/>
        <w:ind w:left="1080"/>
        <w:jc w:val="both"/>
        <w:rPr>
          <w:rFonts w:ascii="Arial" w:hAnsi="Arial" w:cs="Arial"/>
          <w:b/>
          <w:sz w:val="22"/>
          <w:szCs w:val="22"/>
        </w:rPr>
      </w:pPr>
      <w:r>
        <w:rPr>
          <w:rFonts w:ascii="Arial" w:hAnsi="Arial" w:cs="Arial"/>
          <w:b/>
          <w:sz w:val="22"/>
          <w:szCs w:val="22"/>
        </w:rPr>
        <w:t>Votos Razonados</w:t>
      </w:r>
      <w:r w:rsidR="007706F6">
        <w:rPr>
          <w:rFonts w:ascii="Arial" w:hAnsi="Arial" w:cs="Arial"/>
          <w:b/>
          <w:sz w:val="22"/>
          <w:szCs w:val="22"/>
        </w:rPr>
        <w:t xml:space="preserve"> de los Jueces de la Corte IDH</w:t>
      </w:r>
    </w:p>
    <w:p w:rsidR="0068521C" w:rsidRDefault="0068521C" w:rsidP="00A3443A">
      <w:pPr>
        <w:pStyle w:val="Body1"/>
        <w:ind w:left="1080"/>
        <w:jc w:val="both"/>
        <w:rPr>
          <w:rFonts w:ascii="Arial" w:hAnsi="Arial" w:cs="Arial"/>
          <w:b/>
          <w:sz w:val="22"/>
          <w:szCs w:val="22"/>
        </w:rPr>
      </w:pPr>
    </w:p>
    <w:p w:rsidR="00111583" w:rsidRDefault="00111583" w:rsidP="00A3443A">
      <w:pPr>
        <w:pStyle w:val="Body1"/>
        <w:ind w:left="1080"/>
        <w:jc w:val="both"/>
        <w:rPr>
          <w:rFonts w:ascii="Arial" w:hAnsi="Arial" w:cs="Arial"/>
          <w:b/>
          <w:sz w:val="22"/>
          <w:szCs w:val="22"/>
        </w:rPr>
      </w:pPr>
    </w:p>
    <w:p w:rsidR="00111583" w:rsidRPr="00416FDD" w:rsidRDefault="00111583" w:rsidP="0068521C">
      <w:pPr>
        <w:pStyle w:val="Body1"/>
        <w:numPr>
          <w:ilvl w:val="0"/>
          <w:numId w:val="25"/>
        </w:numPr>
        <w:spacing w:line="360" w:lineRule="auto"/>
        <w:jc w:val="both"/>
        <w:rPr>
          <w:rFonts w:ascii="Arial" w:hAnsi="Arial" w:cs="Arial"/>
          <w:sz w:val="22"/>
          <w:szCs w:val="22"/>
        </w:rPr>
      </w:pPr>
      <w:r w:rsidRPr="00416FDD">
        <w:rPr>
          <w:rFonts w:ascii="Arial" w:hAnsi="Arial" w:cs="Arial"/>
          <w:sz w:val="22"/>
          <w:szCs w:val="22"/>
        </w:rPr>
        <w:t>V</w:t>
      </w:r>
      <w:r>
        <w:rPr>
          <w:rFonts w:ascii="Arial" w:hAnsi="Arial" w:cs="Arial"/>
          <w:sz w:val="22"/>
          <w:szCs w:val="22"/>
        </w:rPr>
        <w:t>oto R</w:t>
      </w:r>
      <w:r w:rsidRPr="00416FDD">
        <w:rPr>
          <w:rFonts w:ascii="Arial" w:hAnsi="Arial" w:cs="Arial"/>
          <w:sz w:val="22"/>
          <w:szCs w:val="22"/>
        </w:rPr>
        <w:t xml:space="preserve">azonado del Juez Antonio Augusto </w:t>
      </w:r>
      <w:proofErr w:type="spellStart"/>
      <w:r w:rsidRPr="00416FDD">
        <w:rPr>
          <w:rFonts w:ascii="Arial" w:hAnsi="Arial" w:cs="Arial"/>
          <w:sz w:val="22"/>
          <w:szCs w:val="22"/>
        </w:rPr>
        <w:t>Cançado</w:t>
      </w:r>
      <w:proofErr w:type="spellEnd"/>
      <w:r w:rsidRPr="00416FDD">
        <w:rPr>
          <w:rFonts w:ascii="Arial" w:hAnsi="Arial" w:cs="Arial"/>
          <w:sz w:val="22"/>
          <w:szCs w:val="22"/>
        </w:rPr>
        <w:t xml:space="preserve"> </w:t>
      </w:r>
      <w:proofErr w:type="spellStart"/>
      <w:r w:rsidRPr="00416FDD">
        <w:rPr>
          <w:rFonts w:ascii="Arial" w:hAnsi="Arial" w:cs="Arial"/>
          <w:sz w:val="22"/>
          <w:szCs w:val="22"/>
        </w:rPr>
        <w:t>Trindade</w:t>
      </w:r>
      <w:proofErr w:type="spellEnd"/>
      <w:r w:rsidRPr="00416FDD">
        <w:rPr>
          <w:rFonts w:ascii="Arial" w:hAnsi="Arial" w:cs="Arial"/>
          <w:sz w:val="22"/>
          <w:szCs w:val="22"/>
        </w:rPr>
        <w:t>, en el caso Gutiérrez Soler vs. Colombia.</w:t>
      </w:r>
    </w:p>
    <w:p w:rsidR="00111583" w:rsidRDefault="00111583" w:rsidP="0068521C">
      <w:pPr>
        <w:pStyle w:val="Textonotapie"/>
        <w:numPr>
          <w:ilvl w:val="0"/>
          <w:numId w:val="25"/>
        </w:numPr>
        <w:spacing w:line="360" w:lineRule="auto"/>
        <w:rPr>
          <w:rFonts w:ascii="Arial" w:hAnsi="Arial" w:cs="Arial"/>
          <w:sz w:val="22"/>
          <w:szCs w:val="22"/>
          <w:lang w:val="es-ES"/>
        </w:rPr>
      </w:pPr>
      <w:r w:rsidRPr="00416FDD">
        <w:rPr>
          <w:rFonts w:ascii="Arial" w:hAnsi="Arial" w:cs="Arial"/>
          <w:sz w:val="22"/>
          <w:szCs w:val="22"/>
          <w:lang w:val="es-ES"/>
        </w:rPr>
        <w:t xml:space="preserve">Voto Razonado del Juez Manuel Ventura Robles en el caso </w:t>
      </w:r>
      <w:proofErr w:type="spellStart"/>
      <w:r w:rsidRPr="00416FDD">
        <w:rPr>
          <w:rFonts w:ascii="Arial" w:hAnsi="Arial" w:cs="Arial"/>
          <w:sz w:val="22"/>
          <w:szCs w:val="22"/>
          <w:lang w:val="es-ES"/>
        </w:rPr>
        <w:t>Caesar</w:t>
      </w:r>
      <w:proofErr w:type="spellEnd"/>
      <w:r w:rsidRPr="00416FDD">
        <w:rPr>
          <w:rFonts w:ascii="Arial" w:hAnsi="Arial" w:cs="Arial"/>
          <w:sz w:val="22"/>
          <w:szCs w:val="22"/>
          <w:lang w:val="es-ES"/>
        </w:rPr>
        <w:t xml:space="preserve"> vs Trinidad y Tobago </w:t>
      </w:r>
    </w:p>
    <w:p w:rsidR="00111583" w:rsidRDefault="00111583" w:rsidP="0068521C">
      <w:pPr>
        <w:pStyle w:val="Textonotapie"/>
        <w:numPr>
          <w:ilvl w:val="0"/>
          <w:numId w:val="25"/>
        </w:numPr>
        <w:spacing w:line="360" w:lineRule="auto"/>
        <w:rPr>
          <w:rFonts w:ascii="Arial" w:hAnsi="Arial" w:cs="Arial"/>
          <w:sz w:val="22"/>
          <w:szCs w:val="22"/>
          <w:lang w:val="es-ES"/>
        </w:rPr>
      </w:pPr>
      <w:r w:rsidRPr="00416FDD">
        <w:rPr>
          <w:rFonts w:ascii="Arial" w:hAnsi="Arial" w:cs="Arial"/>
          <w:sz w:val="22"/>
          <w:szCs w:val="22"/>
          <w:lang w:val="es-ES"/>
        </w:rPr>
        <w:t xml:space="preserve">Voto concurrente razonado del Juez Sergio García Ramírez, en la sentencia de reparaciones y costas del caso </w:t>
      </w:r>
      <w:proofErr w:type="spellStart"/>
      <w:r w:rsidRPr="00416FDD">
        <w:rPr>
          <w:rFonts w:ascii="Arial" w:hAnsi="Arial" w:cs="Arial"/>
          <w:sz w:val="22"/>
          <w:szCs w:val="22"/>
          <w:lang w:val="es-ES"/>
        </w:rPr>
        <w:t>Bámaca</w:t>
      </w:r>
      <w:proofErr w:type="spellEnd"/>
      <w:r w:rsidRPr="00416FDD">
        <w:rPr>
          <w:rFonts w:ascii="Arial" w:hAnsi="Arial" w:cs="Arial"/>
          <w:sz w:val="22"/>
          <w:szCs w:val="22"/>
          <w:lang w:val="es-ES"/>
        </w:rPr>
        <w:t xml:space="preserve"> Velásquez vs. Guatemala</w:t>
      </w:r>
    </w:p>
    <w:p w:rsidR="00111583" w:rsidRPr="00111583" w:rsidRDefault="00111583" w:rsidP="00A3443A">
      <w:pPr>
        <w:pStyle w:val="Body1"/>
        <w:ind w:left="1080"/>
        <w:jc w:val="both"/>
        <w:rPr>
          <w:rFonts w:ascii="Arial" w:hAnsi="Arial" w:cs="Arial"/>
          <w:sz w:val="22"/>
          <w:szCs w:val="22"/>
        </w:rPr>
      </w:pPr>
    </w:p>
    <w:p w:rsidR="00111583" w:rsidRDefault="00111583" w:rsidP="00111583">
      <w:pPr>
        <w:pStyle w:val="Body1"/>
        <w:ind w:left="1080"/>
        <w:jc w:val="both"/>
        <w:rPr>
          <w:rFonts w:ascii="Arial" w:hAnsi="Arial" w:cs="Arial"/>
          <w:b/>
          <w:sz w:val="22"/>
          <w:szCs w:val="22"/>
        </w:rPr>
      </w:pPr>
      <w:r>
        <w:rPr>
          <w:rFonts w:ascii="Arial" w:hAnsi="Arial" w:cs="Arial"/>
          <w:b/>
          <w:sz w:val="22"/>
          <w:szCs w:val="22"/>
        </w:rPr>
        <w:t>Otros</w:t>
      </w:r>
    </w:p>
    <w:p w:rsidR="00111583" w:rsidRPr="00111583" w:rsidRDefault="00111583" w:rsidP="00111583">
      <w:pPr>
        <w:pStyle w:val="Body1"/>
        <w:ind w:left="1080"/>
        <w:jc w:val="both"/>
        <w:rPr>
          <w:rFonts w:ascii="Arial" w:hAnsi="Arial" w:cs="Arial"/>
          <w:b/>
          <w:sz w:val="22"/>
          <w:szCs w:val="22"/>
        </w:rPr>
      </w:pPr>
    </w:p>
    <w:p w:rsidR="00111583" w:rsidRPr="00111583" w:rsidRDefault="00B52E89" w:rsidP="0068521C">
      <w:pPr>
        <w:pStyle w:val="Textonotapie"/>
        <w:numPr>
          <w:ilvl w:val="0"/>
          <w:numId w:val="26"/>
        </w:numPr>
        <w:spacing w:line="360" w:lineRule="auto"/>
        <w:jc w:val="both"/>
        <w:rPr>
          <w:rFonts w:ascii="Arial" w:hAnsi="Arial" w:cs="Arial"/>
          <w:sz w:val="22"/>
          <w:szCs w:val="22"/>
          <w:lang w:val="es-ES"/>
        </w:rPr>
      </w:pPr>
      <w:r w:rsidRPr="00416FDD">
        <w:rPr>
          <w:rFonts w:ascii="Arial" w:hAnsi="Arial" w:cs="Arial"/>
          <w:sz w:val="22"/>
          <w:szCs w:val="22"/>
          <w:lang w:val="es-ES"/>
        </w:rPr>
        <w:lastRenderedPageBreak/>
        <w:t>Caso</w:t>
      </w:r>
      <w:r w:rsidR="00A3443A">
        <w:rPr>
          <w:rFonts w:ascii="Arial" w:hAnsi="Arial" w:cs="Arial"/>
          <w:sz w:val="22"/>
          <w:szCs w:val="22"/>
          <w:lang w:val="es-ES"/>
        </w:rPr>
        <w:t xml:space="preserve"> de la Masacre de Pueblo Bello V</w:t>
      </w:r>
      <w:r w:rsidRPr="00416FDD">
        <w:rPr>
          <w:rFonts w:ascii="Arial" w:hAnsi="Arial" w:cs="Arial"/>
          <w:sz w:val="22"/>
          <w:szCs w:val="22"/>
          <w:lang w:val="es-ES"/>
        </w:rPr>
        <w:t>s Colombia, interpretación de la sentencia de</w:t>
      </w:r>
      <w:r>
        <w:rPr>
          <w:rFonts w:ascii="Arial" w:hAnsi="Arial" w:cs="Arial"/>
          <w:sz w:val="22"/>
          <w:szCs w:val="22"/>
          <w:lang w:val="es-ES"/>
        </w:rPr>
        <w:t xml:space="preserve"> fondo, 25 de noviembre de 2006.</w:t>
      </w:r>
      <w:r w:rsidRPr="00416FDD">
        <w:rPr>
          <w:rFonts w:ascii="Arial" w:hAnsi="Arial" w:cs="Arial"/>
          <w:sz w:val="22"/>
          <w:szCs w:val="22"/>
          <w:lang w:val="es-ES"/>
        </w:rPr>
        <w:t xml:space="preserve"> </w:t>
      </w:r>
    </w:p>
    <w:p w:rsidR="00B52E89" w:rsidRPr="00DE74BC" w:rsidRDefault="00B52E89" w:rsidP="00111583">
      <w:pPr>
        <w:pStyle w:val="Textonotapie"/>
        <w:numPr>
          <w:ilvl w:val="0"/>
          <w:numId w:val="26"/>
        </w:numPr>
        <w:spacing w:line="360" w:lineRule="auto"/>
        <w:jc w:val="both"/>
        <w:rPr>
          <w:rFonts w:ascii="Arial" w:hAnsi="Arial" w:cs="Arial"/>
          <w:sz w:val="22"/>
          <w:szCs w:val="22"/>
          <w:lang w:val="es-ES"/>
        </w:rPr>
      </w:pPr>
      <w:r w:rsidRPr="00416FDD">
        <w:rPr>
          <w:rFonts w:ascii="Arial" w:hAnsi="Arial" w:cs="Arial"/>
          <w:sz w:val="22"/>
          <w:szCs w:val="22"/>
          <w:lang w:val="es-ES"/>
        </w:rPr>
        <w:t>Caso de la Masacre de la Roche</w:t>
      </w:r>
      <w:r w:rsidR="00A3443A">
        <w:rPr>
          <w:rFonts w:ascii="Arial" w:hAnsi="Arial" w:cs="Arial"/>
          <w:sz w:val="22"/>
          <w:szCs w:val="22"/>
          <w:lang w:val="es-ES"/>
        </w:rPr>
        <w:t>la V</w:t>
      </w:r>
      <w:r w:rsidRPr="00416FDD">
        <w:rPr>
          <w:rFonts w:ascii="Arial" w:hAnsi="Arial" w:cs="Arial"/>
          <w:sz w:val="22"/>
          <w:szCs w:val="22"/>
          <w:lang w:val="es-ES"/>
        </w:rPr>
        <w:t>s Colombia, interpretación de la sentencia de fondo 28 de enero de 2008</w:t>
      </w:r>
    </w:p>
    <w:p w:rsidR="00B52E89" w:rsidRPr="005305BE" w:rsidRDefault="00B52E89" w:rsidP="0068521C">
      <w:pPr>
        <w:pStyle w:val="Textonotapie"/>
        <w:numPr>
          <w:ilvl w:val="0"/>
          <w:numId w:val="26"/>
        </w:numPr>
        <w:spacing w:line="360" w:lineRule="auto"/>
        <w:jc w:val="both"/>
        <w:rPr>
          <w:rFonts w:ascii="Arial" w:hAnsi="Arial" w:cs="Arial"/>
          <w:sz w:val="22"/>
          <w:szCs w:val="22"/>
          <w:lang w:val="es-ES"/>
        </w:rPr>
      </w:pPr>
      <w:r w:rsidRPr="005305BE">
        <w:rPr>
          <w:rFonts w:ascii="Arial" w:hAnsi="Arial" w:cs="Arial"/>
          <w:sz w:val="22"/>
          <w:szCs w:val="22"/>
          <w:lang w:val="es-ES"/>
        </w:rPr>
        <w:t xml:space="preserve">Resolución de la Corte Interamericana de Derechos Humanos de 23 de Noviembre de 2010, Caso Zambrano Vélez y otros vs. Ecuador, Supervisión de Cumplimiento de Sentencia. </w:t>
      </w:r>
    </w:p>
    <w:p w:rsidR="00B52E89" w:rsidRPr="00416FDD" w:rsidRDefault="00B52E89" w:rsidP="00B52E89">
      <w:pPr>
        <w:pStyle w:val="Body1"/>
        <w:jc w:val="both"/>
        <w:rPr>
          <w:rFonts w:ascii="Arial" w:hAnsi="Arial" w:cs="Arial"/>
          <w:sz w:val="22"/>
          <w:szCs w:val="22"/>
        </w:rPr>
      </w:pPr>
    </w:p>
    <w:p w:rsidR="00B52E89" w:rsidRDefault="00B52E89" w:rsidP="00B52E89">
      <w:pPr>
        <w:pStyle w:val="Body1"/>
        <w:jc w:val="both"/>
        <w:rPr>
          <w:rFonts w:ascii="Arial" w:hAnsi="Arial" w:cs="Arial"/>
          <w:b/>
          <w:sz w:val="22"/>
          <w:szCs w:val="22"/>
        </w:rPr>
      </w:pPr>
    </w:p>
    <w:p w:rsidR="00B52E89" w:rsidRPr="00416FDD" w:rsidRDefault="00B52E89" w:rsidP="005305BE">
      <w:pPr>
        <w:pStyle w:val="Body1"/>
        <w:numPr>
          <w:ilvl w:val="0"/>
          <w:numId w:val="16"/>
        </w:numPr>
        <w:jc w:val="both"/>
        <w:rPr>
          <w:rFonts w:ascii="Arial" w:hAnsi="Arial" w:cs="Arial"/>
          <w:b/>
          <w:sz w:val="22"/>
          <w:szCs w:val="22"/>
        </w:rPr>
      </w:pPr>
      <w:r w:rsidRPr="00416FDD">
        <w:rPr>
          <w:rFonts w:ascii="Arial" w:hAnsi="Arial" w:cs="Arial"/>
          <w:b/>
          <w:sz w:val="22"/>
          <w:szCs w:val="22"/>
        </w:rPr>
        <w:t>Otros Documentos.</w:t>
      </w:r>
    </w:p>
    <w:p w:rsidR="00B52E89" w:rsidRPr="00416FDD" w:rsidRDefault="00B52E89" w:rsidP="00B52E89">
      <w:pPr>
        <w:pStyle w:val="Textonotapie"/>
        <w:jc w:val="both"/>
        <w:rPr>
          <w:rFonts w:ascii="Arial" w:hAnsi="Arial" w:cs="Arial"/>
          <w:sz w:val="22"/>
          <w:szCs w:val="22"/>
          <w:lang w:val="es-ES"/>
        </w:rPr>
      </w:pPr>
    </w:p>
    <w:p w:rsidR="005305BE" w:rsidRDefault="00194F30" w:rsidP="00A215EF">
      <w:pPr>
        <w:pStyle w:val="Textonotapie"/>
        <w:numPr>
          <w:ilvl w:val="0"/>
          <w:numId w:val="20"/>
        </w:numPr>
        <w:spacing w:line="360" w:lineRule="auto"/>
        <w:jc w:val="both"/>
        <w:rPr>
          <w:rFonts w:ascii="Arial" w:hAnsi="Arial" w:cs="Arial"/>
          <w:sz w:val="22"/>
          <w:szCs w:val="22"/>
          <w:lang w:val="es-ES"/>
        </w:rPr>
      </w:pPr>
      <w:r>
        <w:rPr>
          <w:rFonts w:ascii="Arial" w:hAnsi="Arial" w:cs="Arial"/>
          <w:sz w:val="22"/>
          <w:szCs w:val="22"/>
          <w:lang w:val="es-ES"/>
        </w:rPr>
        <w:t>Naciones Unidas, I</w:t>
      </w:r>
      <w:r w:rsidRPr="00DE74BC">
        <w:rPr>
          <w:rFonts w:ascii="Arial" w:hAnsi="Arial" w:cs="Arial"/>
          <w:sz w:val="22"/>
          <w:szCs w:val="22"/>
          <w:lang w:val="es-ES"/>
        </w:rPr>
        <w:t xml:space="preserve">nforme final revisado acerca de la cuestión de la impunidad de los autores de </w:t>
      </w:r>
      <w:proofErr w:type="gramStart"/>
      <w:r w:rsidRPr="00DE74BC">
        <w:rPr>
          <w:rFonts w:ascii="Arial" w:hAnsi="Arial" w:cs="Arial"/>
          <w:sz w:val="22"/>
          <w:szCs w:val="22"/>
          <w:lang w:val="es-ES"/>
        </w:rPr>
        <w:t>viola</w:t>
      </w:r>
      <w:r>
        <w:rPr>
          <w:rFonts w:ascii="Arial" w:hAnsi="Arial" w:cs="Arial"/>
          <w:sz w:val="22"/>
          <w:szCs w:val="22"/>
          <w:lang w:val="es-ES"/>
        </w:rPr>
        <w:t>ciones de los derechos humanos, derechos civiles y políticos,</w:t>
      </w:r>
      <w:r w:rsidR="00DE74BC" w:rsidRPr="00DE74BC">
        <w:rPr>
          <w:rFonts w:ascii="Arial" w:hAnsi="Arial" w:cs="Arial"/>
          <w:sz w:val="22"/>
          <w:szCs w:val="22"/>
          <w:lang w:val="es-ES"/>
        </w:rPr>
        <w:t xml:space="preserve"> </w:t>
      </w:r>
      <w:r>
        <w:rPr>
          <w:rFonts w:ascii="Arial" w:hAnsi="Arial" w:cs="Arial"/>
          <w:sz w:val="22"/>
          <w:szCs w:val="22"/>
          <w:lang w:val="es-ES"/>
        </w:rPr>
        <w:t>(</w:t>
      </w:r>
      <w:r w:rsidR="00DE74BC" w:rsidRPr="00DE74BC">
        <w:rPr>
          <w:rFonts w:ascii="Arial" w:hAnsi="Arial" w:cs="Arial"/>
          <w:sz w:val="22"/>
          <w:szCs w:val="22"/>
          <w:lang w:val="es-ES"/>
        </w:rPr>
        <w:t>E/CN.4/Sub.2/1997/20/Rev.1</w:t>
      </w:r>
      <w:r>
        <w:rPr>
          <w:rFonts w:ascii="Arial" w:hAnsi="Arial" w:cs="Arial"/>
          <w:sz w:val="22"/>
          <w:szCs w:val="22"/>
          <w:lang w:val="es-ES"/>
        </w:rPr>
        <w:t>)</w:t>
      </w:r>
      <w:r w:rsidR="00DE74BC" w:rsidRPr="00DE74BC">
        <w:rPr>
          <w:rFonts w:ascii="Arial" w:hAnsi="Arial" w:cs="Arial"/>
          <w:sz w:val="22"/>
          <w:szCs w:val="22"/>
          <w:lang w:val="es-ES"/>
        </w:rPr>
        <w:t>, preparado</w:t>
      </w:r>
      <w:proofErr w:type="gramEnd"/>
      <w:r w:rsidR="00DE74BC" w:rsidRPr="00DE74BC">
        <w:rPr>
          <w:rFonts w:ascii="Arial" w:hAnsi="Arial" w:cs="Arial"/>
          <w:sz w:val="22"/>
          <w:szCs w:val="22"/>
          <w:lang w:val="es-ES"/>
        </w:rPr>
        <w:t xml:space="preserve"> por el Sr. L. </w:t>
      </w:r>
      <w:proofErr w:type="spellStart"/>
      <w:r w:rsidR="00DE74BC" w:rsidRPr="00DE74BC">
        <w:rPr>
          <w:rFonts w:ascii="Arial" w:hAnsi="Arial" w:cs="Arial"/>
          <w:sz w:val="22"/>
          <w:szCs w:val="22"/>
          <w:lang w:val="es-ES"/>
        </w:rPr>
        <w:t>Joinet</w:t>
      </w:r>
      <w:proofErr w:type="spellEnd"/>
      <w:r>
        <w:rPr>
          <w:rFonts w:ascii="Arial" w:hAnsi="Arial" w:cs="Arial"/>
          <w:sz w:val="22"/>
          <w:szCs w:val="22"/>
          <w:lang w:val="es-ES"/>
        </w:rPr>
        <w:t>.</w:t>
      </w:r>
    </w:p>
    <w:p w:rsidR="005305BE" w:rsidRPr="00DE74BC" w:rsidRDefault="00194F30" w:rsidP="00DE74BC">
      <w:pPr>
        <w:pStyle w:val="Textonotapie"/>
        <w:numPr>
          <w:ilvl w:val="0"/>
          <w:numId w:val="20"/>
        </w:numPr>
        <w:spacing w:line="360" w:lineRule="auto"/>
        <w:jc w:val="both"/>
        <w:rPr>
          <w:rFonts w:ascii="Arial" w:hAnsi="Arial" w:cs="Arial"/>
          <w:sz w:val="22"/>
          <w:szCs w:val="22"/>
          <w:lang w:val="es-ES"/>
        </w:rPr>
      </w:pPr>
      <w:r w:rsidRPr="00194F30">
        <w:rPr>
          <w:rFonts w:ascii="Arial" w:hAnsi="Arial" w:cs="Arial"/>
          <w:sz w:val="22"/>
          <w:szCs w:val="22"/>
          <w:lang w:val="es-ES"/>
        </w:rPr>
        <w:t>Naciones Unidas, Estudio relativo al derecho de restitución, indemnización y rehabilitación a las víctimas de violaciones flagrantes de los derechos humanos y las libertades fundamentales</w:t>
      </w:r>
      <w:r>
        <w:rPr>
          <w:rFonts w:ascii="Arial" w:hAnsi="Arial" w:cs="Arial"/>
          <w:sz w:val="22"/>
          <w:szCs w:val="22"/>
          <w:lang w:val="es-ES"/>
        </w:rPr>
        <w:t>,</w:t>
      </w:r>
      <w:r w:rsidRPr="00194F30">
        <w:rPr>
          <w:rFonts w:ascii="Arial" w:hAnsi="Arial" w:cs="Arial"/>
          <w:sz w:val="22"/>
          <w:szCs w:val="22"/>
          <w:lang w:val="es-ES"/>
        </w:rPr>
        <w:t xml:space="preserve"> </w:t>
      </w:r>
      <w:r>
        <w:rPr>
          <w:rFonts w:ascii="Arial" w:hAnsi="Arial" w:cs="Arial"/>
          <w:sz w:val="22"/>
          <w:szCs w:val="22"/>
          <w:lang w:val="es-ES"/>
        </w:rPr>
        <w:t>(</w:t>
      </w:r>
      <w:r w:rsidRPr="00194F30">
        <w:rPr>
          <w:rFonts w:ascii="Arial" w:hAnsi="Arial" w:cs="Arial"/>
          <w:sz w:val="22"/>
          <w:szCs w:val="22"/>
          <w:lang w:val="es-ES"/>
        </w:rPr>
        <w:t>E/CN.4/Sub .2/1993/8</w:t>
      </w:r>
      <w:r>
        <w:rPr>
          <w:rFonts w:ascii="Arial" w:hAnsi="Arial" w:cs="Arial"/>
          <w:sz w:val="22"/>
          <w:szCs w:val="22"/>
          <w:lang w:val="es-ES"/>
        </w:rPr>
        <w:t>)</w:t>
      </w:r>
      <w:r w:rsidRPr="00194F30">
        <w:rPr>
          <w:rFonts w:ascii="Arial" w:hAnsi="Arial" w:cs="Arial"/>
          <w:sz w:val="22"/>
          <w:szCs w:val="22"/>
          <w:lang w:val="es-ES"/>
        </w:rPr>
        <w:t>, Informe definitivo prese</w:t>
      </w:r>
      <w:r>
        <w:rPr>
          <w:rFonts w:ascii="Arial" w:hAnsi="Arial" w:cs="Arial"/>
          <w:sz w:val="22"/>
          <w:szCs w:val="22"/>
          <w:lang w:val="es-ES"/>
        </w:rPr>
        <w:t xml:space="preserve">ntado por el Sr. </w:t>
      </w:r>
      <w:proofErr w:type="spellStart"/>
      <w:r>
        <w:rPr>
          <w:rFonts w:ascii="Arial" w:hAnsi="Arial" w:cs="Arial"/>
          <w:sz w:val="22"/>
          <w:szCs w:val="22"/>
          <w:lang w:val="es-ES"/>
        </w:rPr>
        <w:t>Theo</w:t>
      </w:r>
      <w:proofErr w:type="spellEnd"/>
      <w:r>
        <w:rPr>
          <w:rFonts w:ascii="Arial" w:hAnsi="Arial" w:cs="Arial"/>
          <w:sz w:val="22"/>
          <w:szCs w:val="22"/>
          <w:lang w:val="es-ES"/>
        </w:rPr>
        <w:t xml:space="preserve"> van </w:t>
      </w:r>
      <w:proofErr w:type="spellStart"/>
      <w:r>
        <w:rPr>
          <w:rFonts w:ascii="Arial" w:hAnsi="Arial" w:cs="Arial"/>
          <w:sz w:val="22"/>
          <w:szCs w:val="22"/>
          <w:lang w:val="es-ES"/>
        </w:rPr>
        <w:t>Boven</w:t>
      </w:r>
      <w:proofErr w:type="spellEnd"/>
      <w:r>
        <w:rPr>
          <w:rFonts w:ascii="Arial" w:hAnsi="Arial" w:cs="Arial"/>
          <w:sz w:val="22"/>
          <w:szCs w:val="22"/>
          <w:lang w:val="es-ES"/>
        </w:rPr>
        <w:t>.</w:t>
      </w:r>
      <w:r w:rsidR="00B52E89" w:rsidRPr="00DE74BC">
        <w:rPr>
          <w:rFonts w:ascii="Arial" w:hAnsi="Arial" w:cs="Arial"/>
          <w:sz w:val="22"/>
          <w:szCs w:val="22"/>
          <w:lang w:val="es-ES"/>
        </w:rPr>
        <w:t xml:space="preserve">  </w:t>
      </w:r>
    </w:p>
    <w:p w:rsidR="005305BE" w:rsidRDefault="00B52E89" w:rsidP="00A215EF">
      <w:pPr>
        <w:pStyle w:val="Textonotapie"/>
        <w:numPr>
          <w:ilvl w:val="0"/>
          <w:numId w:val="20"/>
        </w:numPr>
        <w:spacing w:line="360" w:lineRule="auto"/>
        <w:jc w:val="both"/>
        <w:rPr>
          <w:rFonts w:ascii="Arial" w:hAnsi="Arial" w:cs="Arial"/>
          <w:sz w:val="22"/>
          <w:szCs w:val="22"/>
          <w:lang w:val="es-ES"/>
        </w:rPr>
      </w:pPr>
      <w:r w:rsidRPr="005305BE">
        <w:rPr>
          <w:rFonts w:ascii="Arial" w:hAnsi="Arial" w:cs="Arial"/>
          <w:sz w:val="22"/>
          <w:szCs w:val="22"/>
          <w:lang w:val="es-ES"/>
        </w:rPr>
        <w:t xml:space="preserve">Comisión de la Verdad y Reconciliación, </w:t>
      </w:r>
      <w:r w:rsidRPr="005305BE">
        <w:rPr>
          <w:rFonts w:ascii="Arial" w:hAnsi="Arial" w:cs="Arial"/>
          <w:i/>
          <w:sz w:val="22"/>
          <w:szCs w:val="22"/>
          <w:lang w:val="es-ES"/>
        </w:rPr>
        <w:t xml:space="preserve">Un Plan Integral de Reparaciones, </w:t>
      </w:r>
      <w:r w:rsidRPr="005305BE">
        <w:rPr>
          <w:rFonts w:ascii="Arial" w:hAnsi="Arial" w:cs="Arial"/>
          <w:sz w:val="22"/>
          <w:szCs w:val="22"/>
          <w:lang w:val="es-ES"/>
        </w:rPr>
        <w:t xml:space="preserve">Lima, Grupo del Plan Integral de Reparaciones.  </w:t>
      </w:r>
    </w:p>
    <w:p w:rsidR="00194F30" w:rsidRDefault="00194F30" w:rsidP="00A215EF">
      <w:pPr>
        <w:pStyle w:val="Textonotapie"/>
        <w:numPr>
          <w:ilvl w:val="0"/>
          <w:numId w:val="20"/>
        </w:numPr>
        <w:spacing w:line="360" w:lineRule="auto"/>
        <w:jc w:val="both"/>
        <w:rPr>
          <w:rFonts w:ascii="Arial" w:hAnsi="Arial" w:cs="Arial"/>
          <w:sz w:val="22"/>
          <w:szCs w:val="22"/>
          <w:lang w:val="es-ES"/>
        </w:rPr>
      </w:pPr>
      <w:r w:rsidRPr="00194F30">
        <w:rPr>
          <w:rFonts w:ascii="Arial" w:hAnsi="Arial" w:cs="Arial"/>
          <w:sz w:val="22"/>
          <w:szCs w:val="22"/>
          <w:lang w:val="es-ES"/>
        </w:rPr>
        <w:t xml:space="preserve">Naciones Unidas, Comisión de Derechos Humanos, </w:t>
      </w:r>
      <w:proofErr w:type="spellStart"/>
      <w:r w:rsidRPr="00194F30">
        <w:rPr>
          <w:rFonts w:ascii="Arial" w:hAnsi="Arial" w:cs="Arial"/>
          <w:sz w:val="22"/>
          <w:szCs w:val="22"/>
          <w:lang w:val="es-ES"/>
        </w:rPr>
        <w:t>Communication</w:t>
      </w:r>
      <w:proofErr w:type="spellEnd"/>
      <w:r w:rsidRPr="00194F30">
        <w:rPr>
          <w:rFonts w:ascii="Arial" w:hAnsi="Arial" w:cs="Arial"/>
          <w:sz w:val="22"/>
          <w:szCs w:val="22"/>
          <w:lang w:val="es-ES"/>
        </w:rPr>
        <w:t xml:space="preserve"> No. 107/1981, U.N. Doc. CCPR/C/OP/2, María del Carmen Almeida de Quinteros et al. v. Uruguay, decisión de 21 Julio 1983.</w:t>
      </w:r>
    </w:p>
    <w:p w:rsidR="005305BE" w:rsidRDefault="00194F30" w:rsidP="00A215EF">
      <w:pPr>
        <w:pStyle w:val="Textonotapie"/>
        <w:numPr>
          <w:ilvl w:val="0"/>
          <w:numId w:val="20"/>
        </w:numPr>
        <w:spacing w:line="360" w:lineRule="auto"/>
        <w:jc w:val="both"/>
        <w:rPr>
          <w:rFonts w:ascii="Arial" w:hAnsi="Arial" w:cs="Arial"/>
          <w:sz w:val="22"/>
          <w:szCs w:val="22"/>
          <w:lang w:val="es-ES"/>
        </w:rPr>
      </w:pPr>
      <w:r>
        <w:rPr>
          <w:rFonts w:ascii="Arial" w:hAnsi="Arial" w:cs="Arial"/>
          <w:sz w:val="22"/>
          <w:szCs w:val="22"/>
          <w:lang w:val="es-ES"/>
        </w:rPr>
        <w:t xml:space="preserve">Naciones Unidas, </w:t>
      </w:r>
      <w:r w:rsidR="00B52E89" w:rsidRPr="005305BE">
        <w:rPr>
          <w:rFonts w:ascii="Arial" w:hAnsi="Arial" w:cs="Arial"/>
          <w:sz w:val="22"/>
          <w:szCs w:val="22"/>
          <w:lang w:val="es-ES"/>
        </w:rPr>
        <w:t xml:space="preserve">Serie revisada de principios y directrices sobre el derecho de las víctimas de violaciones graves a los derechos humanos y al derecho humanitario a obtener reparación, </w:t>
      </w:r>
      <w:r w:rsidRPr="005305BE">
        <w:rPr>
          <w:rFonts w:ascii="Arial" w:hAnsi="Arial" w:cs="Arial"/>
          <w:sz w:val="22"/>
          <w:szCs w:val="22"/>
          <w:lang w:val="es-ES"/>
        </w:rPr>
        <w:t>(E/CN.4/Sub.2/1996/17)</w:t>
      </w:r>
      <w:r>
        <w:rPr>
          <w:rFonts w:ascii="Arial" w:hAnsi="Arial" w:cs="Arial"/>
          <w:sz w:val="22"/>
          <w:szCs w:val="22"/>
          <w:lang w:val="es-ES"/>
        </w:rPr>
        <w:t>,</w:t>
      </w:r>
      <w:r w:rsidRPr="005305BE">
        <w:rPr>
          <w:rFonts w:ascii="Arial" w:hAnsi="Arial" w:cs="Arial"/>
          <w:sz w:val="22"/>
          <w:szCs w:val="22"/>
          <w:lang w:val="es-ES"/>
        </w:rPr>
        <w:t xml:space="preserve"> </w:t>
      </w:r>
      <w:r w:rsidR="00B52E89" w:rsidRPr="005305BE">
        <w:rPr>
          <w:rFonts w:ascii="Arial" w:hAnsi="Arial" w:cs="Arial"/>
          <w:sz w:val="22"/>
          <w:szCs w:val="22"/>
          <w:lang w:val="es-ES"/>
        </w:rPr>
        <w:t xml:space="preserve">preparada por el Sr. </w:t>
      </w:r>
      <w:proofErr w:type="spellStart"/>
      <w:r w:rsidR="00B52E89" w:rsidRPr="005305BE">
        <w:rPr>
          <w:rFonts w:ascii="Arial" w:hAnsi="Arial" w:cs="Arial"/>
          <w:sz w:val="22"/>
          <w:szCs w:val="22"/>
          <w:lang w:val="es-ES"/>
        </w:rPr>
        <w:t>Theo</w:t>
      </w:r>
      <w:proofErr w:type="spellEnd"/>
      <w:r w:rsidR="00B52E89" w:rsidRPr="005305BE">
        <w:rPr>
          <w:rFonts w:ascii="Arial" w:hAnsi="Arial" w:cs="Arial"/>
          <w:sz w:val="22"/>
          <w:szCs w:val="22"/>
          <w:lang w:val="es-ES"/>
        </w:rPr>
        <w:t xml:space="preserve"> van </w:t>
      </w:r>
      <w:proofErr w:type="spellStart"/>
      <w:r w:rsidR="00B52E89" w:rsidRPr="005305BE">
        <w:rPr>
          <w:rFonts w:ascii="Arial" w:hAnsi="Arial" w:cs="Arial"/>
          <w:sz w:val="22"/>
          <w:szCs w:val="22"/>
          <w:lang w:val="es-ES"/>
        </w:rPr>
        <w:t>Boven</w:t>
      </w:r>
      <w:proofErr w:type="spellEnd"/>
      <w:r>
        <w:rPr>
          <w:rFonts w:ascii="Arial" w:hAnsi="Arial" w:cs="Arial"/>
          <w:sz w:val="22"/>
          <w:szCs w:val="22"/>
          <w:lang w:val="es-ES"/>
        </w:rPr>
        <w:t>.</w:t>
      </w:r>
    </w:p>
    <w:p w:rsidR="005305BE" w:rsidRDefault="00B52E89" w:rsidP="00A215EF">
      <w:pPr>
        <w:pStyle w:val="Textonotapie"/>
        <w:numPr>
          <w:ilvl w:val="0"/>
          <w:numId w:val="20"/>
        </w:numPr>
        <w:spacing w:line="360" w:lineRule="auto"/>
        <w:jc w:val="both"/>
        <w:rPr>
          <w:rFonts w:ascii="Arial" w:hAnsi="Arial" w:cs="Arial"/>
          <w:sz w:val="22"/>
          <w:szCs w:val="22"/>
          <w:lang w:val="es-ES"/>
        </w:rPr>
      </w:pPr>
      <w:r w:rsidRPr="005305BE">
        <w:rPr>
          <w:rFonts w:ascii="Arial" w:hAnsi="Arial" w:cs="Arial"/>
          <w:sz w:val="22"/>
          <w:szCs w:val="22"/>
          <w:lang w:val="es-ES"/>
        </w:rPr>
        <w:t xml:space="preserve">Equipo de Salud Mental del Centro de Estudios legales y Sociales (CELS) y aportes del equipo interdisciplinario del Proyecto Atención integral a víctimas de tortura del IIDH, </w:t>
      </w:r>
      <w:proofErr w:type="spellStart"/>
      <w:r w:rsidRPr="005305BE">
        <w:rPr>
          <w:rFonts w:ascii="Arial" w:hAnsi="Arial" w:cs="Arial"/>
          <w:sz w:val="22"/>
          <w:szCs w:val="22"/>
          <w:lang w:val="es-ES"/>
        </w:rPr>
        <w:t>op</w:t>
      </w:r>
      <w:proofErr w:type="spellEnd"/>
      <w:r w:rsidRPr="005305BE">
        <w:rPr>
          <w:rFonts w:ascii="Arial" w:hAnsi="Arial" w:cs="Arial"/>
          <w:sz w:val="22"/>
          <w:szCs w:val="22"/>
          <w:lang w:val="es-ES"/>
        </w:rPr>
        <w:t>. cit., 299.</w:t>
      </w:r>
    </w:p>
    <w:p w:rsidR="00B52E89" w:rsidRPr="005305BE" w:rsidRDefault="00B52E89" w:rsidP="00A215EF">
      <w:pPr>
        <w:pStyle w:val="Textonotapie"/>
        <w:numPr>
          <w:ilvl w:val="0"/>
          <w:numId w:val="20"/>
        </w:numPr>
        <w:spacing w:line="360" w:lineRule="auto"/>
        <w:jc w:val="both"/>
        <w:rPr>
          <w:rFonts w:ascii="Arial" w:hAnsi="Arial" w:cs="Arial"/>
          <w:sz w:val="22"/>
          <w:szCs w:val="22"/>
          <w:lang w:val="es-ES"/>
        </w:rPr>
      </w:pPr>
      <w:r w:rsidRPr="005305BE">
        <w:rPr>
          <w:rFonts w:ascii="Arial" w:hAnsi="Arial" w:cs="Arial"/>
          <w:sz w:val="22"/>
          <w:szCs w:val="22"/>
          <w:lang w:val="es-ES"/>
        </w:rPr>
        <w:t>Corte I.D.H.: El Sistema Interamericano de Protección de los Derechos Humanos en el Umbral del Siglo XXI. Informe: Bases para un Proyecto de Protocolo a la Convención Americana sobre Derechos Humanos para Fortalecer su Mecanismo de Protección (2001), Tomo II, 2ª Edición, Mayo de 2003</w:t>
      </w:r>
      <w:r w:rsidR="00DE74BC">
        <w:rPr>
          <w:rFonts w:ascii="Arial" w:hAnsi="Arial" w:cs="Arial"/>
          <w:sz w:val="22"/>
          <w:szCs w:val="22"/>
          <w:lang w:val="es-ES"/>
        </w:rPr>
        <w:t>.</w:t>
      </w:r>
    </w:p>
    <w:p w:rsidR="00B52E89" w:rsidRPr="00416FDD" w:rsidRDefault="00B52E89" w:rsidP="00B52E89">
      <w:pPr>
        <w:rPr>
          <w:rFonts w:ascii="Arial" w:hAnsi="Arial" w:cs="Arial"/>
          <w:sz w:val="22"/>
          <w:szCs w:val="22"/>
          <w:lang w:val="es-ES"/>
        </w:rPr>
      </w:pPr>
      <w:r w:rsidRPr="00416FDD">
        <w:rPr>
          <w:rFonts w:ascii="Arial" w:hAnsi="Arial" w:cs="Arial"/>
          <w:sz w:val="22"/>
          <w:szCs w:val="22"/>
          <w:lang w:val="es-ES"/>
        </w:rPr>
        <w:t xml:space="preserve">  </w:t>
      </w:r>
    </w:p>
    <w:p w:rsidR="00B52E89" w:rsidRPr="00416FDD" w:rsidRDefault="00B52E89" w:rsidP="00B52E89">
      <w:pPr>
        <w:pStyle w:val="Textonotapie"/>
        <w:jc w:val="both"/>
        <w:rPr>
          <w:rFonts w:ascii="Arial" w:hAnsi="Arial" w:cs="Arial"/>
          <w:b/>
          <w:sz w:val="22"/>
          <w:szCs w:val="22"/>
          <w:lang w:val="es-ES"/>
        </w:rPr>
      </w:pPr>
    </w:p>
    <w:p w:rsidR="00B52E89" w:rsidRPr="00416FDD" w:rsidRDefault="00B52E89" w:rsidP="00A215EF">
      <w:pPr>
        <w:pStyle w:val="Textonotapie"/>
        <w:numPr>
          <w:ilvl w:val="0"/>
          <w:numId w:val="16"/>
        </w:numPr>
        <w:jc w:val="both"/>
        <w:rPr>
          <w:rFonts w:ascii="Arial" w:hAnsi="Arial" w:cs="Arial"/>
          <w:b/>
          <w:sz w:val="22"/>
          <w:szCs w:val="22"/>
          <w:lang w:val="es-ES"/>
        </w:rPr>
      </w:pPr>
      <w:r w:rsidRPr="00416FDD">
        <w:rPr>
          <w:rFonts w:ascii="Arial" w:hAnsi="Arial" w:cs="Arial"/>
          <w:b/>
          <w:sz w:val="22"/>
          <w:szCs w:val="22"/>
          <w:lang w:val="es-ES"/>
        </w:rPr>
        <w:t xml:space="preserve">Internet </w:t>
      </w:r>
    </w:p>
    <w:p w:rsidR="00B52E89" w:rsidRPr="00416FDD" w:rsidRDefault="00B52E89" w:rsidP="00B52E89">
      <w:pPr>
        <w:pStyle w:val="Textonotapie"/>
        <w:jc w:val="both"/>
        <w:rPr>
          <w:rFonts w:ascii="Arial" w:hAnsi="Arial" w:cs="Arial"/>
          <w:b/>
          <w:sz w:val="22"/>
          <w:szCs w:val="22"/>
          <w:lang w:val="es-ES"/>
        </w:rPr>
      </w:pPr>
    </w:p>
    <w:p w:rsidR="00194F30" w:rsidRDefault="00194F30" w:rsidP="00A215EF">
      <w:pPr>
        <w:pStyle w:val="Textonotapie"/>
        <w:numPr>
          <w:ilvl w:val="0"/>
          <w:numId w:val="21"/>
        </w:numPr>
        <w:spacing w:line="360" w:lineRule="auto"/>
        <w:jc w:val="both"/>
        <w:rPr>
          <w:rFonts w:ascii="Arial" w:hAnsi="Arial" w:cs="Arial"/>
          <w:sz w:val="22"/>
          <w:szCs w:val="22"/>
          <w:lang w:val="es-ES"/>
        </w:rPr>
      </w:pPr>
      <w:r w:rsidRPr="00194F30">
        <w:rPr>
          <w:rFonts w:ascii="Arial" w:hAnsi="Arial" w:cs="Arial"/>
          <w:sz w:val="22"/>
          <w:szCs w:val="22"/>
          <w:lang w:val="es-ES"/>
        </w:rPr>
        <w:t>www.cels.org.ar/</w:t>
      </w:r>
      <w:proofErr w:type="spellStart"/>
      <w:r w:rsidRPr="00194F30">
        <w:rPr>
          <w:rFonts w:ascii="Arial" w:hAnsi="Arial" w:cs="Arial"/>
          <w:sz w:val="22"/>
          <w:szCs w:val="22"/>
          <w:lang w:val="es-ES"/>
        </w:rPr>
        <w:t>common</w:t>
      </w:r>
      <w:proofErr w:type="spellEnd"/>
      <w:r w:rsidRPr="00194F30">
        <w:rPr>
          <w:rFonts w:ascii="Arial" w:hAnsi="Arial" w:cs="Arial"/>
          <w:sz w:val="22"/>
          <w:szCs w:val="22"/>
          <w:lang w:val="es-ES"/>
        </w:rPr>
        <w:t>/.../concepto_reparacion_simbolica.doc.</w:t>
      </w:r>
    </w:p>
    <w:p w:rsidR="00A215EF" w:rsidRPr="00194F30" w:rsidRDefault="00B52E89" w:rsidP="00A215EF">
      <w:pPr>
        <w:pStyle w:val="Textonotapie"/>
        <w:numPr>
          <w:ilvl w:val="0"/>
          <w:numId w:val="21"/>
        </w:numPr>
        <w:spacing w:line="360" w:lineRule="auto"/>
        <w:jc w:val="both"/>
        <w:rPr>
          <w:rFonts w:ascii="Arial" w:hAnsi="Arial" w:cs="Arial"/>
          <w:sz w:val="22"/>
          <w:szCs w:val="22"/>
          <w:lang w:val="es-ES"/>
        </w:rPr>
      </w:pPr>
      <w:r w:rsidRPr="00194F30">
        <w:rPr>
          <w:rFonts w:ascii="Arial" w:hAnsi="Arial" w:cs="Arial"/>
          <w:sz w:val="22"/>
          <w:szCs w:val="22"/>
          <w:lang w:val="es-ES"/>
        </w:rPr>
        <w:lastRenderedPageBreak/>
        <w:t>http://pensardenuevo.org/algunos-elementos-para-establecer-una-discusion-sobre-la-reparacion-simbol</w:t>
      </w:r>
      <w:r w:rsidR="00F66FC4">
        <w:rPr>
          <w:rFonts w:ascii="Arial" w:hAnsi="Arial" w:cs="Arial"/>
          <w:sz w:val="22"/>
          <w:szCs w:val="22"/>
          <w:lang w:val="es-ES"/>
        </w:rPr>
        <w:t>ica/</w:t>
      </w:r>
    </w:p>
    <w:p w:rsidR="00B52E89" w:rsidRPr="00A215EF" w:rsidRDefault="00194F30" w:rsidP="00A215EF">
      <w:pPr>
        <w:pStyle w:val="Textonotapie"/>
        <w:numPr>
          <w:ilvl w:val="0"/>
          <w:numId w:val="21"/>
        </w:numPr>
        <w:spacing w:line="360" w:lineRule="auto"/>
        <w:jc w:val="both"/>
        <w:rPr>
          <w:rFonts w:ascii="Arial" w:hAnsi="Arial" w:cs="Arial"/>
          <w:sz w:val="22"/>
          <w:szCs w:val="22"/>
          <w:lang w:val="es-ES"/>
        </w:rPr>
      </w:pPr>
      <w:r w:rsidRPr="00194F30">
        <w:rPr>
          <w:rFonts w:ascii="Arial" w:hAnsi="Arial" w:cs="Arial"/>
          <w:sz w:val="22"/>
          <w:szCs w:val="22"/>
          <w:lang w:val="es-ES"/>
        </w:rPr>
        <w:t>http://www.corteidh.or.cr/index.php/jurisprudencia</w:t>
      </w:r>
    </w:p>
    <w:p w:rsidR="00B52E89" w:rsidRDefault="00B52E89" w:rsidP="00B52E89">
      <w:pPr>
        <w:pStyle w:val="Body1"/>
        <w:jc w:val="both"/>
        <w:rPr>
          <w:rFonts w:ascii="Arial" w:hAnsi="Arial" w:cs="Arial"/>
          <w:b/>
          <w:sz w:val="22"/>
          <w:szCs w:val="22"/>
        </w:rPr>
      </w:pPr>
    </w:p>
    <w:p w:rsidR="00A215EF" w:rsidRPr="00416FDD" w:rsidRDefault="00A215EF" w:rsidP="00B52E89">
      <w:pPr>
        <w:pStyle w:val="Body1"/>
        <w:jc w:val="both"/>
        <w:rPr>
          <w:rFonts w:ascii="Arial" w:hAnsi="Arial" w:cs="Arial"/>
          <w:b/>
          <w:sz w:val="22"/>
          <w:szCs w:val="22"/>
        </w:rPr>
      </w:pPr>
    </w:p>
    <w:p w:rsidR="00B52E89" w:rsidRPr="00416FDD" w:rsidRDefault="00B52E89" w:rsidP="00A215EF">
      <w:pPr>
        <w:pStyle w:val="Body1"/>
        <w:numPr>
          <w:ilvl w:val="0"/>
          <w:numId w:val="16"/>
        </w:numPr>
        <w:jc w:val="both"/>
        <w:rPr>
          <w:rFonts w:ascii="Arial" w:hAnsi="Arial" w:cs="Arial"/>
          <w:b/>
          <w:sz w:val="22"/>
          <w:szCs w:val="22"/>
        </w:rPr>
      </w:pPr>
      <w:r w:rsidRPr="00416FDD">
        <w:rPr>
          <w:rFonts w:ascii="Arial" w:hAnsi="Arial" w:cs="Arial"/>
          <w:b/>
          <w:sz w:val="22"/>
          <w:szCs w:val="22"/>
        </w:rPr>
        <w:t>Entrevista</w:t>
      </w:r>
      <w:r w:rsidR="00783008">
        <w:rPr>
          <w:rFonts w:ascii="Arial" w:hAnsi="Arial" w:cs="Arial"/>
          <w:b/>
          <w:sz w:val="22"/>
          <w:szCs w:val="22"/>
        </w:rPr>
        <w:t>s</w:t>
      </w:r>
    </w:p>
    <w:p w:rsidR="00B52E89" w:rsidRDefault="00B52E89" w:rsidP="00B52E89">
      <w:pPr>
        <w:pStyle w:val="Body1"/>
        <w:jc w:val="both"/>
        <w:rPr>
          <w:rFonts w:ascii="Arial" w:hAnsi="Arial" w:cs="Arial"/>
          <w:b/>
          <w:sz w:val="22"/>
          <w:szCs w:val="22"/>
        </w:rPr>
      </w:pPr>
    </w:p>
    <w:p w:rsidR="00A215EF" w:rsidRPr="00416FDD" w:rsidRDefault="00A215EF" w:rsidP="00B52E89">
      <w:pPr>
        <w:pStyle w:val="Body1"/>
        <w:jc w:val="both"/>
        <w:rPr>
          <w:rFonts w:ascii="Arial" w:hAnsi="Arial" w:cs="Arial"/>
          <w:b/>
          <w:sz w:val="22"/>
          <w:szCs w:val="22"/>
        </w:rPr>
      </w:pPr>
    </w:p>
    <w:p w:rsidR="00A215EF" w:rsidRDefault="00B52E89" w:rsidP="00DE74BC">
      <w:pPr>
        <w:pStyle w:val="Textonotapie"/>
        <w:numPr>
          <w:ilvl w:val="0"/>
          <w:numId w:val="22"/>
        </w:numPr>
        <w:spacing w:line="360" w:lineRule="auto"/>
        <w:jc w:val="both"/>
        <w:rPr>
          <w:rFonts w:ascii="Arial" w:hAnsi="Arial" w:cs="Arial"/>
          <w:sz w:val="22"/>
          <w:szCs w:val="22"/>
          <w:lang w:val="es-ES"/>
        </w:rPr>
      </w:pPr>
      <w:r w:rsidRPr="00416FDD">
        <w:rPr>
          <w:rFonts w:ascii="Arial" w:hAnsi="Arial" w:cs="Arial"/>
          <w:sz w:val="22"/>
          <w:szCs w:val="22"/>
          <w:lang w:val="es-ES"/>
        </w:rPr>
        <w:t>Cordero David, Director del Centro de Derecho Humanos de la Pontificia Universidad Católica del Ecuador, entrevista, Quito, 22-04-2013.</w:t>
      </w:r>
    </w:p>
    <w:p w:rsidR="00940844" w:rsidRDefault="00B52E89" w:rsidP="009C695E">
      <w:pPr>
        <w:pStyle w:val="Textonotapie"/>
        <w:numPr>
          <w:ilvl w:val="0"/>
          <w:numId w:val="22"/>
        </w:numPr>
        <w:spacing w:line="360" w:lineRule="auto"/>
        <w:jc w:val="both"/>
        <w:rPr>
          <w:rFonts w:ascii="Arial" w:hAnsi="Arial" w:cs="Arial"/>
          <w:sz w:val="22"/>
          <w:szCs w:val="22"/>
          <w:lang w:val="es-ES"/>
        </w:rPr>
      </w:pPr>
      <w:r w:rsidRPr="00A215EF">
        <w:rPr>
          <w:rFonts w:ascii="Arial" w:hAnsi="Arial" w:cs="Arial"/>
          <w:sz w:val="22"/>
          <w:szCs w:val="22"/>
          <w:lang w:val="es-ES"/>
        </w:rPr>
        <w:t>Duque César, Abogado de la Comisión Ecumé</w:t>
      </w:r>
      <w:r w:rsidR="00C44F5F">
        <w:rPr>
          <w:rFonts w:ascii="Arial" w:hAnsi="Arial" w:cs="Arial"/>
          <w:sz w:val="22"/>
          <w:szCs w:val="22"/>
          <w:lang w:val="es-ES"/>
        </w:rPr>
        <w:t>nica de Derechos Humanos, entre</w:t>
      </w:r>
      <w:r w:rsidRPr="00A215EF">
        <w:rPr>
          <w:rFonts w:ascii="Arial" w:hAnsi="Arial" w:cs="Arial"/>
          <w:sz w:val="22"/>
          <w:szCs w:val="22"/>
          <w:lang w:val="es-ES"/>
        </w:rPr>
        <w:t>vista, Quito, 22-04-2013</w:t>
      </w:r>
      <w:r w:rsidR="00DE74BC">
        <w:rPr>
          <w:rFonts w:ascii="Arial" w:hAnsi="Arial" w:cs="Arial"/>
          <w:sz w:val="22"/>
          <w:szCs w:val="22"/>
          <w:lang w:val="es-ES"/>
        </w:rPr>
        <w:t>.</w:t>
      </w: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r>
        <w:rPr>
          <w:rFonts w:ascii="Arial" w:hAnsi="Arial" w:cs="Arial"/>
          <w:noProof/>
          <w:sz w:val="22"/>
          <w:szCs w:val="22"/>
          <w:lang w:val="es-EC" w:eastAsia="es-EC"/>
        </w:rPr>
        <w:lastRenderedPageBreak/>
        <w:drawing>
          <wp:inline distT="0" distB="0" distL="0" distR="0">
            <wp:extent cx="5942617" cy="8324850"/>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eado 00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1635" cy="8323474"/>
                    </a:xfrm>
                    <a:prstGeom prst="rect">
                      <a:avLst/>
                    </a:prstGeom>
                    <a:noFill/>
                    <a:ln>
                      <a:noFill/>
                    </a:ln>
                  </pic:spPr>
                </pic:pic>
              </a:graphicData>
            </a:graphic>
          </wp:inline>
        </w:drawing>
      </w: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Default="0013022F" w:rsidP="0013022F">
      <w:pPr>
        <w:pStyle w:val="Textonotapie"/>
        <w:spacing w:line="360" w:lineRule="auto"/>
        <w:jc w:val="both"/>
        <w:rPr>
          <w:rFonts w:ascii="Arial" w:hAnsi="Arial" w:cs="Arial"/>
          <w:sz w:val="22"/>
          <w:szCs w:val="22"/>
          <w:lang w:val="es-ES"/>
        </w:rPr>
      </w:pPr>
    </w:p>
    <w:p w:rsidR="0013022F" w:rsidRPr="009C695E" w:rsidRDefault="0013022F" w:rsidP="0013022F">
      <w:pPr>
        <w:pStyle w:val="Textonotapie"/>
        <w:spacing w:line="360" w:lineRule="auto"/>
        <w:jc w:val="both"/>
        <w:rPr>
          <w:rFonts w:ascii="Arial" w:hAnsi="Arial" w:cs="Arial"/>
          <w:sz w:val="22"/>
          <w:szCs w:val="22"/>
          <w:lang w:val="es-ES"/>
        </w:rPr>
      </w:pPr>
      <w:r>
        <w:rPr>
          <w:rFonts w:ascii="Arial" w:hAnsi="Arial" w:cs="Arial"/>
          <w:noProof/>
          <w:sz w:val="22"/>
          <w:szCs w:val="22"/>
          <w:lang w:val="es-EC" w:eastAsia="es-EC"/>
        </w:rPr>
        <w:drawing>
          <wp:inline distT="0" distB="0" distL="0" distR="0">
            <wp:extent cx="5990242" cy="7953375"/>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ula 00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89252" cy="7952061"/>
                    </a:xfrm>
                    <a:prstGeom prst="rect">
                      <a:avLst/>
                    </a:prstGeom>
                  </pic:spPr>
                </pic:pic>
              </a:graphicData>
            </a:graphic>
          </wp:inline>
        </w:drawing>
      </w:r>
    </w:p>
    <w:sectPr w:rsidR="0013022F" w:rsidRPr="009C695E" w:rsidSect="00CD6464">
      <w:footerReference w:type="default" r:id="rId13"/>
      <w:pgSz w:w="11906" w:h="16838"/>
      <w:pgMar w:top="1701" w:right="1418" w:bottom="1418" w:left="1701" w:header="709" w:footer="851"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7A2D" w:rsidRDefault="00397A2D">
      <w:r>
        <w:separator/>
      </w:r>
    </w:p>
  </w:endnote>
  <w:endnote w:type="continuationSeparator" w:id="0">
    <w:p w:rsidR="00397A2D" w:rsidRDefault="00397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D3D" w:rsidRDefault="00205D3D" w:rsidP="00D75A90">
    <w:pPr>
      <w:pStyle w:val="Piedepgina"/>
      <w:jc w:val="center"/>
    </w:pPr>
  </w:p>
  <w:p w:rsidR="00205D3D" w:rsidRDefault="00205D3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27500"/>
      <w:docPartObj>
        <w:docPartGallery w:val="Page Numbers (Bottom of Page)"/>
        <w:docPartUnique/>
      </w:docPartObj>
    </w:sdtPr>
    <w:sdtEndPr/>
    <w:sdtContent>
      <w:p w:rsidR="00205D3D" w:rsidRDefault="00917162">
        <w:pPr>
          <w:pStyle w:val="Piedepgina"/>
          <w:jc w:val="center"/>
        </w:pPr>
        <w:r>
          <w:fldChar w:fldCharType="begin"/>
        </w:r>
        <w:r>
          <w:instrText xml:space="preserve"> PAGE   \* MERGEFORMAT </w:instrText>
        </w:r>
        <w:r>
          <w:fldChar w:fldCharType="separate"/>
        </w:r>
        <w:r w:rsidR="00033596">
          <w:rPr>
            <w:noProof/>
          </w:rPr>
          <w:t>VIII</w:t>
        </w:r>
        <w:r>
          <w:rPr>
            <w:noProof/>
          </w:rPr>
          <w:fldChar w:fldCharType="end"/>
        </w:r>
      </w:p>
    </w:sdtContent>
  </w:sdt>
  <w:p w:rsidR="00205D3D" w:rsidRDefault="00205D3D">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5D3D" w:rsidRDefault="00917162">
    <w:pPr>
      <w:pStyle w:val="Piedepgina"/>
      <w:jc w:val="right"/>
    </w:pPr>
    <w:r>
      <w:fldChar w:fldCharType="begin"/>
    </w:r>
    <w:r>
      <w:instrText xml:space="preserve"> PAGE   \* MERGEFORMAT </w:instrText>
    </w:r>
    <w:r>
      <w:fldChar w:fldCharType="separate"/>
    </w:r>
    <w:r w:rsidR="00033596">
      <w:rPr>
        <w:noProof/>
      </w:rPr>
      <w:t>144</w:t>
    </w:r>
    <w:r>
      <w:rPr>
        <w:noProof/>
      </w:rPr>
      <w:fldChar w:fldCharType="end"/>
    </w:r>
  </w:p>
  <w:p w:rsidR="00205D3D" w:rsidRDefault="00205D3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7A2D" w:rsidRDefault="00397A2D">
      <w:r>
        <w:separator/>
      </w:r>
    </w:p>
  </w:footnote>
  <w:footnote w:type="continuationSeparator" w:id="0">
    <w:p w:rsidR="00397A2D" w:rsidRDefault="00397A2D">
      <w:r>
        <w:continuationSeparator/>
      </w:r>
    </w:p>
  </w:footnote>
  <w:footnote w:id="1">
    <w:p w:rsidR="00205D3D" w:rsidRPr="00530F8A" w:rsidRDefault="00205D3D" w:rsidP="00530F8A">
      <w:pPr>
        <w:pStyle w:val="Textonotapie"/>
        <w:jc w:val="both"/>
        <w:rPr>
          <w:rFonts w:ascii="Arial" w:hAnsi="Arial" w:cs="Arial"/>
          <w:lang w:val="es-ES"/>
        </w:rPr>
      </w:pPr>
      <w:r>
        <w:rPr>
          <w:rStyle w:val="Refdenotaalpie"/>
        </w:rPr>
        <w:footnoteRef/>
      </w:r>
      <w:r w:rsidRPr="00530F8A">
        <w:rPr>
          <w:lang w:val="es-ES"/>
        </w:rPr>
        <w:t xml:space="preserve"> </w:t>
      </w:r>
      <w:r>
        <w:rPr>
          <w:rFonts w:ascii="Arial" w:hAnsi="Arial" w:cs="Arial"/>
          <w:lang w:val="es-ES"/>
        </w:rPr>
        <w:t>D</w:t>
      </w:r>
      <w:r w:rsidRPr="00530F8A">
        <w:rPr>
          <w:rFonts w:ascii="Arial" w:hAnsi="Arial" w:cs="Arial"/>
          <w:lang w:val="es-ES"/>
        </w:rPr>
        <w:t>e conformidad con la resolución 1996/119 de la Subcomisión</w:t>
      </w:r>
      <w:r>
        <w:rPr>
          <w:rFonts w:ascii="Arial" w:hAnsi="Arial" w:cs="Arial"/>
          <w:lang w:val="es-ES"/>
        </w:rPr>
        <w:t xml:space="preserve"> </w:t>
      </w:r>
      <w:r w:rsidRPr="00530F8A">
        <w:rPr>
          <w:rFonts w:ascii="Arial" w:hAnsi="Arial" w:cs="Arial"/>
          <w:lang w:val="es-ES"/>
        </w:rPr>
        <w:t>de Prevención de Discriminaciones</w:t>
      </w:r>
      <w:r>
        <w:rPr>
          <w:rFonts w:ascii="Arial" w:hAnsi="Arial" w:cs="Arial"/>
          <w:lang w:val="es-ES"/>
        </w:rPr>
        <w:t xml:space="preserve"> y Protección a las Minorías, de la Comisión de Derechos Humanos de las Naciones Unidas, 49º período de sesiones, </w:t>
      </w:r>
      <w:r w:rsidRPr="00530F8A">
        <w:rPr>
          <w:rFonts w:ascii="Arial" w:hAnsi="Arial" w:cs="Arial"/>
          <w:lang w:val="es-ES"/>
        </w:rPr>
        <w:t>Tema 9 del programa</w:t>
      </w:r>
      <w:r>
        <w:rPr>
          <w:rFonts w:ascii="Arial" w:hAnsi="Arial" w:cs="Arial"/>
          <w:lang w:val="es-ES"/>
        </w:rPr>
        <w:t>.</w:t>
      </w:r>
    </w:p>
  </w:footnote>
  <w:footnote w:id="2">
    <w:p w:rsidR="00205D3D" w:rsidRPr="00F359E8" w:rsidRDefault="00205D3D" w:rsidP="00B228E7">
      <w:pPr>
        <w:pStyle w:val="Textonotapie"/>
        <w:jc w:val="both"/>
        <w:rPr>
          <w:rFonts w:ascii="Arial" w:hAnsi="Arial" w:cs="Arial"/>
          <w:lang w:val="es-ES"/>
        </w:rPr>
      </w:pPr>
      <w:r w:rsidRPr="00F359E8">
        <w:rPr>
          <w:rStyle w:val="Refdenotaalpie"/>
          <w:rFonts w:ascii="Arial" w:hAnsi="Arial" w:cs="Arial"/>
        </w:rPr>
        <w:footnoteRef/>
      </w:r>
      <w:r>
        <w:rPr>
          <w:rFonts w:ascii="Arial" w:hAnsi="Arial" w:cs="Arial"/>
          <w:lang w:val="es-ES"/>
        </w:rPr>
        <w:t xml:space="preserve"> </w:t>
      </w:r>
      <w:r w:rsidRPr="00F359E8">
        <w:rPr>
          <w:rFonts w:ascii="Arial" w:hAnsi="Arial" w:cs="Arial"/>
          <w:lang w:val="es-ES"/>
        </w:rPr>
        <w:t>Corte Inte</w:t>
      </w:r>
      <w:r>
        <w:rPr>
          <w:rFonts w:ascii="Arial" w:hAnsi="Arial" w:cs="Arial"/>
          <w:lang w:val="es-ES"/>
        </w:rPr>
        <w:t xml:space="preserve">ramericana de Derechos Humanos, </w:t>
      </w:r>
      <w:r w:rsidRPr="00307629">
        <w:rPr>
          <w:rFonts w:ascii="Arial" w:hAnsi="Arial" w:cs="Arial"/>
          <w:u w:val="single"/>
          <w:lang w:val="es-ES"/>
        </w:rPr>
        <w:t>Caso Velásquez Rodríguez Vs. Honduras</w:t>
      </w:r>
      <w:r>
        <w:rPr>
          <w:rFonts w:ascii="Arial" w:hAnsi="Arial" w:cs="Arial"/>
          <w:lang w:val="es-ES"/>
        </w:rPr>
        <w:t xml:space="preserve">, </w:t>
      </w:r>
      <w:r w:rsidRPr="00F359E8">
        <w:rPr>
          <w:rFonts w:ascii="Arial" w:hAnsi="Arial" w:cs="Arial"/>
          <w:lang w:val="es-ES"/>
        </w:rPr>
        <w:t>Se</w:t>
      </w:r>
      <w:r>
        <w:rPr>
          <w:rFonts w:ascii="Arial" w:hAnsi="Arial" w:cs="Arial"/>
          <w:lang w:val="es-ES"/>
        </w:rPr>
        <w:t xml:space="preserve">ntencia de 29 de julio de 1988. </w:t>
      </w:r>
      <w:r w:rsidRPr="00F359E8">
        <w:rPr>
          <w:rFonts w:ascii="Arial" w:hAnsi="Arial" w:cs="Arial"/>
          <w:lang w:val="es-ES"/>
        </w:rPr>
        <w:t>(Fondo), párr. 181</w:t>
      </w:r>
      <w:r>
        <w:rPr>
          <w:rFonts w:ascii="Arial" w:hAnsi="Arial" w:cs="Arial"/>
          <w:lang w:val="es-ES"/>
        </w:rPr>
        <w:t>.</w:t>
      </w:r>
    </w:p>
  </w:footnote>
  <w:footnote w:id="3">
    <w:p w:rsidR="00205D3D" w:rsidRPr="00F359E8" w:rsidRDefault="00205D3D" w:rsidP="00B228E7">
      <w:pPr>
        <w:pStyle w:val="Textonotapie"/>
        <w:jc w:val="both"/>
        <w:rPr>
          <w:rFonts w:ascii="Arial" w:hAnsi="Arial" w:cs="Arial"/>
          <w:lang w:val="es-ES"/>
        </w:rPr>
      </w:pPr>
      <w:r w:rsidRPr="00F359E8">
        <w:rPr>
          <w:rStyle w:val="Refdenotaalpie"/>
          <w:rFonts w:ascii="Arial" w:hAnsi="Arial" w:cs="Arial"/>
        </w:rPr>
        <w:footnoteRef/>
      </w:r>
      <w:r w:rsidRPr="00F359E8">
        <w:rPr>
          <w:rFonts w:ascii="Arial" w:hAnsi="Arial" w:cs="Arial"/>
          <w:lang w:val="es-ES"/>
        </w:rPr>
        <w:t xml:space="preserve"> Corte Inte</w:t>
      </w:r>
      <w:r>
        <w:rPr>
          <w:rFonts w:ascii="Arial" w:hAnsi="Arial" w:cs="Arial"/>
          <w:lang w:val="es-ES"/>
        </w:rPr>
        <w:t xml:space="preserve">ramericana de Derechos Humanos, </w:t>
      </w:r>
      <w:r w:rsidRPr="00307629">
        <w:rPr>
          <w:rFonts w:ascii="Arial" w:hAnsi="Arial" w:cs="Arial"/>
          <w:u w:val="single"/>
          <w:lang w:val="es-ES"/>
        </w:rPr>
        <w:t>Caso Godínez Cruz Vs. Honduras</w:t>
      </w:r>
      <w:r>
        <w:rPr>
          <w:rFonts w:ascii="Arial" w:hAnsi="Arial" w:cs="Arial"/>
          <w:lang w:val="es-ES"/>
        </w:rPr>
        <w:t xml:space="preserve">, </w:t>
      </w:r>
      <w:r w:rsidRPr="00F359E8">
        <w:rPr>
          <w:rFonts w:ascii="Arial" w:hAnsi="Arial" w:cs="Arial"/>
          <w:lang w:val="es-ES"/>
        </w:rPr>
        <w:t>Se</w:t>
      </w:r>
      <w:r>
        <w:rPr>
          <w:rFonts w:ascii="Arial" w:hAnsi="Arial" w:cs="Arial"/>
          <w:lang w:val="es-ES"/>
        </w:rPr>
        <w:t xml:space="preserve">ntencia de 20 de enero de 1989. </w:t>
      </w:r>
      <w:r w:rsidRPr="00F359E8">
        <w:rPr>
          <w:rFonts w:ascii="Arial" w:hAnsi="Arial" w:cs="Arial"/>
          <w:lang w:val="es-ES"/>
        </w:rPr>
        <w:t>(Fondo), párr. 191</w:t>
      </w:r>
      <w:r>
        <w:rPr>
          <w:rFonts w:ascii="Arial" w:hAnsi="Arial" w:cs="Arial"/>
          <w:lang w:val="es-ES"/>
        </w:rPr>
        <w:t>.</w:t>
      </w:r>
    </w:p>
  </w:footnote>
  <w:footnote w:id="4">
    <w:p w:rsidR="00205D3D" w:rsidRPr="00F359E8" w:rsidRDefault="00205D3D" w:rsidP="00B228E7">
      <w:pPr>
        <w:pStyle w:val="Textonotapie"/>
        <w:jc w:val="both"/>
        <w:rPr>
          <w:rFonts w:ascii="Arial" w:hAnsi="Arial" w:cs="Arial"/>
          <w:lang w:val="es-ES"/>
        </w:rPr>
      </w:pPr>
      <w:r w:rsidRPr="00F359E8">
        <w:rPr>
          <w:rStyle w:val="Refdenotaalpie"/>
          <w:rFonts w:ascii="Arial" w:hAnsi="Arial" w:cs="Arial"/>
        </w:rPr>
        <w:footnoteRef/>
      </w:r>
      <w:r w:rsidRPr="00F359E8">
        <w:rPr>
          <w:rFonts w:ascii="Arial" w:hAnsi="Arial" w:cs="Arial"/>
          <w:lang w:val="es-ES"/>
        </w:rPr>
        <w:t xml:space="preserve"> </w:t>
      </w:r>
      <w:r w:rsidRPr="00307629">
        <w:rPr>
          <w:rFonts w:ascii="Arial" w:hAnsi="Arial" w:cs="Arial"/>
          <w:lang w:val="es-ES"/>
        </w:rPr>
        <w:t>Corte Inte</w:t>
      </w:r>
      <w:r>
        <w:rPr>
          <w:rFonts w:ascii="Arial" w:hAnsi="Arial" w:cs="Arial"/>
          <w:lang w:val="es-ES"/>
        </w:rPr>
        <w:t xml:space="preserve">ramericana de Derechos Humanos, </w:t>
      </w:r>
      <w:r w:rsidRPr="00307629">
        <w:rPr>
          <w:rFonts w:ascii="Arial" w:hAnsi="Arial" w:cs="Arial"/>
          <w:u w:val="single"/>
          <w:lang w:val="es-ES"/>
        </w:rPr>
        <w:t xml:space="preserve">Caso </w:t>
      </w:r>
      <w:proofErr w:type="spellStart"/>
      <w:r w:rsidRPr="00307629">
        <w:rPr>
          <w:rFonts w:ascii="Arial" w:hAnsi="Arial" w:cs="Arial"/>
          <w:u w:val="single"/>
          <w:lang w:val="es-ES"/>
        </w:rPr>
        <w:t>Aloeboetoe</w:t>
      </w:r>
      <w:proofErr w:type="spellEnd"/>
      <w:r w:rsidRPr="00307629">
        <w:rPr>
          <w:rFonts w:ascii="Arial" w:hAnsi="Arial" w:cs="Arial"/>
          <w:u w:val="single"/>
          <w:lang w:val="es-ES"/>
        </w:rPr>
        <w:t xml:space="preserve"> y otros Vs. Surinam</w:t>
      </w:r>
      <w:r>
        <w:rPr>
          <w:rFonts w:ascii="Arial" w:hAnsi="Arial" w:cs="Arial"/>
          <w:lang w:val="es-ES"/>
        </w:rPr>
        <w:t xml:space="preserve">, </w:t>
      </w:r>
      <w:r w:rsidRPr="00307629">
        <w:rPr>
          <w:rFonts w:ascii="Arial" w:hAnsi="Arial" w:cs="Arial"/>
          <w:lang w:val="es-ES"/>
        </w:rPr>
        <w:t>Sentenc</w:t>
      </w:r>
      <w:r>
        <w:rPr>
          <w:rFonts w:ascii="Arial" w:hAnsi="Arial" w:cs="Arial"/>
          <w:lang w:val="es-ES"/>
        </w:rPr>
        <w:t xml:space="preserve">ia de 10 de septiembre de 1993. </w:t>
      </w:r>
      <w:r w:rsidRPr="00307629">
        <w:rPr>
          <w:rFonts w:ascii="Arial" w:hAnsi="Arial" w:cs="Arial"/>
          <w:lang w:val="es-ES"/>
        </w:rPr>
        <w:t>(Reparaciones y Costas)</w:t>
      </w:r>
      <w:r>
        <w:rPr>
          <w:rFonts w:ascii="Arial" w:hAnsi="Arial" w:cs="Arial"/>
          <w:lang w:val="es-ES"/>
        </w:rPr>
        <w:t>,</w:t>
      </w:r>
      <w:r w:rsidRPr="00307629">
        <w:rPr>
          <w:rFonts w:ascii="Arial" w:hAnsi="Arial" w:cs="Arial"/>
          <w:lang w:val="es-ES"/>
        </w:rPr>
        <w:t xml:space="preserve"> </w:t>
      </w:r>
      <w:r>
        <w:rPr>
          <w:rFonts w:ascii="Arial" w:hAnsi="Arial" w:cs="Arial"/>
          <w:lang w:val="es-ES"/>
        </w:rPr>
        <w:t>párr. 109.</w:t>
      </w:r>
    </w:p>
  </w:footnote>
  <w:footnote w:id="5">
    <w:p w:rsidR="00205D3D" w:rsidRPr="00246C81" w:rsidRDefault="00205D3D" w:rsidP="003D043F">
      <w:pPr>
        <w:pStyle w:val="Body1"/>
        <w:jc w:val="both"/>
        <w:rPr>
          <w:rFonts w:ascii="Arial" w:eastAsia="Times New Roman" w:hAnsi="Arial" w:cs="Arial"/>
          <w:color w:val="auto"/>
          <w:sz w:val="20"/>
        </w:rPr>
      </w:pPr>
      <w:r w:rsidRPr="00246C81">
        <w:rPr>
          <w:rFonts w:ascii="Arial" w:hAnsi="Arial" w:cs="Arial"/>
          <w:sz w:val="20"/>
          <w:vertAlign w:val="superscript"/>
        </w:rPr>
        <w:footnoteRef/>
      </w:r>
      <w:r>
        <w:rPr>
          <w:rFonts w:ascii="Arial" w:hAnsi="Arial" w:cs="Arial"/>
          <w:sz w:val="20"/>
        </w:rPr>
        <w:t xml:space="preserve"> Javier Miranda. </w:t>
      </w:r>
      <w:r w:rsidRPr="00246C81">
        <w:rPr>
          <w:rFonts w:ascii="Arial" w:hAnsi="Arial" w:cs="Arial"/>
          <w:sz w:val="20"/>
          <w:u w:val="single"/>
        </w:rPr>
        <w:t>Verdad y justicia en procesos de paz o transición a la democracia</w:t>
      </w:r>
      <w:r>
        <w:rPr>
          <w:rFonts w:ascii="Arial" w:hAnsi="Arial" w:cs="Arial"/>
          <w:sz w:val="20"/>
        </w:rPr>
        <w:t>.</w:t>
      </w:r>
      <w:r w:rsidRPr="00246C81">
        <w:rPr>
          <w:rFonts w:ascii="Arial" w:hAnsi="Arial" w:cs="Arial"/>
          <w:sz w:val="20"/>
        </w:rPr>
        <w:t xml:space="preserve"> </w:t>
      </w:r>
      <w:r>
        <w:rPr>
          <w:rFonts w:ascii="Arial" w:hAnsi="Arial" w:cs="Arial"/>
          <w:sz w:val="20"/>
        </w:rPr>
        <w:t>Santa Fe de Bogotá, o</w:t>
      </w:r>
      <w:r w:rsidRPr="00246C81">
        <w:rPr>
          <w:rFonts w:ascii="Arial" w:hAnsi="Arial" w:cs="Arial"/>
          <w:sz w:val="20"/>
        </w:rPr>
        <w:t>ficina en Colombia del Alto Comisionado de las Naciones U</w:t>
      </w:r>
      <w:r>
        <w:rPr>
          <w:rFonts w:ascii="Arial" w:hAnsi="Arial" w:cs="Arial"/>
          <w:sz w:val="20"/>
        </w:rPr>
        <w:t>nidas para los Derechos H</w:t>
      </w:r>
      <w:r w:rsidRPr="00246C81">
        <w:rPr>
          <w:rFonts w:ascii="Arial" w:hAnsi="Arial" w:cs="Arial"/>
          <w:sz w:val="20"/>
        </w:rPr>
        <w:t xml:space="preserve">umanos, </w:t>
      </w:r>
      <w:r>
        <w:rPr>
          <w:rFonts w:ascii="Arial" w:hAnsi="Arial" w:cs="Arial"/>
          <w:sz w:val="20"/>
        </w:rPr>
        <w:t>2003.</w:t>
      </w:r>
      <w:r w:rsidRPr="00246C81">
        <w:rPr>
          <w:rFonts w:ascii="Arial" w:hAnsi="Arial" w:cs="Arial"/>
          <w:sz w:val="20"/>
        </w:rPr>
        <w:t xml:space="preserve"> p.</w:t>
      </w:r>
      <w:r>
        <w:rPr>
          <w:rFonts w:ascii="Arial" w:hAnsi="Arial" w:cs="Arial"/>
          <w:sz w:val="20"/>
        </w:rPr>
        <w:t xml:space="preserve"> 88.</w:t>
      </w:r>
    </w:p>
  </w:footnote>
  <w:footnote w:id="6">
    <w:p w:rsidR="00205D3D" w:rsidRPr="000C62B1" w:rsidRDefault="00205D3D" w:rsidP="00F359E8">
      <w:pPr>
        <w:pStyle w:val="Body1"/>
        <w:jc w:val="both"/>
        <w:rPr>
          <w:rFonts w:ascii="Arial" w:hAnsi="Arial" w:cs="Arial"/>
          <w:sz w:val="20"/>
        </w:rPr>
      </w:pPr>
      <w:r w:rsidRPr="000C62B1">
        <w:rPr>
          <w:rFonts w:ascii="Arial" w:hAnsi="Arial" w:cs="Arial"/>
          <w:sz w:val="20"/>
          <w:vertAlign w:val="superscript"/>
        </w:rPr>
        <w:footnoteRef/>
      </w:r>
      <w:r w:rsidRPr="000C62B1">
        <w:rPr>
          <w:rFonts w:ascii="Arial" w:hAnsi="Arial" w:cs="Arial"/>
          <w:sz w:val="20"/>
        </w:rPr>
        <w:t xml:space="preserve"> Informe definitivo presentado por </w:t>
      </w:r>
      <w:proofErr w:type="spellStart"/>
      <w:r w:rsidRPr="000C62B1">
        <w:rPr>
          <w:rFonts w:ascii="Arial" w:hAnsi="Arial" w:cs="Arial"/>
          <w:sz w:val="20"/>
        </w:rPr>
        <w:t>Theo</w:t>
      </w:r>
      <w:proofErr w:type="spellEnd"/>
      <w:r w:rsidRPr="000C62B1">
        <w:rPr>
          <w:rFonts w:ascii="Arial" w:hAnsi="Arial" w:cs="Arial"/>
          <w:sz w:val="20"/>
        </w:rPr>
        <w:t xml:space="preserve"> Van </w:t>
      </w:r>
      <w:proofErr w:type="spellStart"/>
      <w:r w:rsidRPr="000C62B1">
        <w:rPr>
          <w:rFonts w:ascii="Arial" w:hAnsi="Arial" w:cs="Arial"/>
          <w:sz w:val="20"/>
        </w:rPr>
        <w:t>Boven</w:t>
      </w:r>
      <w:proofErr w:type="spellEnd"/>
      <w:r w:rsidRPr="000C62B1">
        <w:rPr>
          <w:rFonts w:ascii="Arial" w:hAnsi="Arial" w:cs="Arial"/>
          <w:sz w:val="20"/>
        </w:rPr>
        <w:t>, Relator Especial, E/CN.4/Sub.2/1993/8, 2 de julio de 1993.</w:t>
      </w:r>
    </w:p>
  </w:footnote>
  <w:footnote w:id="7">
    <w:p w:rsidR="00205D3D" w:rsidRPr="00307629" w:rsidRDefault="00205D3D" w:rsidP="00F359E8">
      <w:pPr>
        <w:pStyle w:val="Body1"/>
        <w:jc w:val="both"/>
        <w:rPr>
          <w:rFonts w:ascii="Arial" w:hAnsi="Arial" w:cs="Arial"/>
          <w:sz w:val="20"/>
        </w:rPr>
      </w:pPr>
      <w:r w:rsidRPr="00307629">
        <w:rPr>
          <w:rFonts w:ascii="Arial" w:hAnsi="Arial" w:cs="Arial"/>
          <w:sz w:val="20"/>
          <w:vertAlign w:val="superscript"/>
        </w:rPr>
        <w:footnoteRef/>
      </w:r>
      <w:r w:rsidRPr="00307629">
        <w:rPr>
          <w:rFonts w:ascii="Arial" w:hAnsi="Arial" w:cs="Arial"/>
          <w:sz w:val="20"/>
        </w:rPr>
        <w:t xml:space="preserve"> Principios y Directrices básicos sobre el derecho de las víctimas de violaciones de las normas internacionales de derechos humanos y del derecho internacional humanitario a interponer </w:t>
      </w:r>
      <w:r>
        <w:rPr>
          <w:rFonts w:ascii="Arial" w:hAnsi="Arial" w:cs="Arial"/>
          <w:sz w:val="20"/>
        </w:rPr>
        <w:t>recursos y obtener reparaciones.</w:t>
      </w:r>
      <w:r w:rsidRPr="00307629">
        <w:rPr>
          <w:rFonts w:ascii="Arial" w:hAnsi="Arial" w:cs="Arial"/>
          <w:sz w:val="20"/>
        </w:rPr>
        <w:t xml:space="preserve"> Principio II</w:t>
      </w:r>
      <w:r>
        <w:rPr>
          <w:rFonts w:ascii="Arial" w:hAnsi="Arial" w:cs="Arial"/>
          <w:sz w:val="20"/>
        </w:rPr>
        <w:t>.</w:t>
      </w:r>
    </w:p>
  </w:footnote>
  <w:footnote w:id="8">
    <w:p w:rsidR="00205D3D" w:rsidRPr="009B34EA" w:rsidRDefault="00205D3D" w:rsidP="00D225AF">
      <w:pPr>
        <w:pStyle w:val="Body1"/>
        <w:jc w:val="both"/>
        <w:rPr>
          <w:rFonts w:ascii="Arial" w:eastAsia="Times New Roman" w:hAnsi="Arial" w:cs="Arial"/>
          <w:color w:val="auto"/>
          <w:sz w:val="18"/>
          <w:szCs w:val="18"/>
        </w:rPr>
      </w:pPr>
      <w:r w:rsidRPr="000C62B1">
        <w:rPr>
          <w:rFonts w:ascii="Arial" w:hAnsi="Arial" w:cs="Arial"/>
          <w:sz w:val="20"/>
          <w:vertAlign w:val="superscript"/>
        </w:rPr>
        <w:footnoteRef/>
      </w:r>
      <w:r w:rsidRPr="000C62B1">
        <w:rPr>
          <w:rFonts w:ascii="Arial" w:hAnsi="Arial" w:cs="Arial"/>
          <w:sz w:val="20"/>
        </w:rPr>
        <w:t xml:space="preserve"> Equipo de Salud Mental del Centro de Estudios legales y Sociales (CELS) y aportes del equipo interdisciplinario del Proyecto Atención integral a víctimas de tortura del IIDH, este artículo forma parte de la publicación “</w:t>
      </w:r>
      <w:r w:rsidRPr="000C62B1">
        <w:rPr>
          <w:rFonts w:ascii="Arial" w:hAnsi="Arial" w:cs="Arial"/>
          <w:i/>
          <w:sz w:val="20"/>
        </w:rPr>
        <w:t xml:space="preserve">Atención integral a víctimas de tortura en procesos de litigio”, aportes psicosociales, </w:t>
      </w:r>
      <w:r w:rsidRPr="000C62B1">
        <w:rPr>
          <w:rFonts w:ascii="Arial" w:hAnsi="Arial" w:cs="Arial"/>
          <w:sz w:val="20"/>
        </w:rPr>
        <w:t>Instituto Interamericano de Derechos Humanos, San José Costa Rica, p. 279.</w:t>
      </w:r>
      <w:r w:rsidRPr="009B34EA">
        <w:rPr>
          <w:rFonts w:ascii="Arial" w:hAnsi="Arial" w:cs="Arial"/>
          <w:sz w:val="18"/>
          <w:szCs w:val="18"/>
        </w:rPr>
        <w:t xml:space="preserve">  </w:t>
      </w:r>
    </w:p>
  </w:footnote>
  <w:footnote w:id="9">
    <w:p w:rsidR="00205D3D" w:rsidRPr="002F24FA" w:rsidRDefault="00205D3D" w:rsidP="00D225AF">
      <w:pPr>
        <w:pStyle w:val="Body1"/>
        <w:jc w:val="both"/>
        <w:rPr>
          <w:rFonts w:ascii="Arial" w:eastAsia="Times New Roman" w:hAnsi="Arial" w:cs="Arial"/>
          <w:color w:val="auto"/>
          <w:sz w:val="20"/>
        </w:rPr>
      </w:pPr>
      <w:r w:rsidRPr="002F24FA">
        <w:rPr>
          <w:rFonts w:ascii="Arial" w:hAnsi="Arial" w:cs="Arial"/>
          <w:sz w:val="20"/>
          <w:vertAlign w:val="superscript"/>
        </w:rPr>
        <w:footnoteRef/>
      </w:r>
      <w:r w:rsidRPr="002F24FA">
        <w:rPr>
          <w:rFonts w:ascii="Arial" w:hAnsi="Arial" w:cs="Arial"/>
          <w:sz w:val="20"/>
        </w:rPr>
        <w:t xml:space="preserve"> El estatus legal de la Comisión es el de inactivo, fue sustituido por el Consejo de Derechos Humanos creado por la Asamblea General de la ONU, el 15 de marzo del 2006.</w:t>
      </w:r>
    </w:p>
  </w:footnote>
  <w:footnote w:id="10">
    <w:p w:rsidR="00205D3D" w:rsidRPr="002F24FA" w:rsidRDefault="00205D3D" w:rsidP="00456374">
      <w:pPr>
        <w:pStyle w:val="Body1"/>
        <w:jc w:val="both"/>
        <w:rPr>
          <w:rFonts w:ascii="Arial" w:eastAsia="Times New Roman" w:hAnsi="Arial" w:cs="Arial"/>
          <w:color w:val="auto"/>
          <w:sz w:val="20"/>
        </w:rPr>
      </w:pPr>
      <w:r w:rsidRPr="002F24FA">
        <w:rPr>
          <w:rFonts w:ascii="Arial" w:hAnsi="Arial" w:cs="Arial"/>
          <w:sz w:val="20"/>
          <w:vertAlign w:val="superscript"/>
        </w:rPr>
        <w:footnoteRef/>
      </w:r>
      <w:r w:rsidRPr="002F24FA">
        <w:rPr>
          <w:rFonts w:ascii="Arial" w:hAnsi="Arial" w:cs="Arial"/>
          <w:sz w:val="20"/>
        </w:rPr>
        <w:t xml:space="preserve"> Documento completo: http://www.idhc.org/esp/documents/PpiosImpunidad.pdf (26-06-2010, 16:30)</w:t>
      </w:r>
    </w:p>
  </w:footnote>
  <w:footnote w:id="11">
    <w:p w:rsidR="00205D3D" w:rsidRPr="00604038" w:rsidRDefault="00205D3D" w:rsidP="00D225AF">
      <w:pPr>
        <w:pStyle w:val="Body1"/>
        <w:jc w:val="both"/>
        <w:rPr>
          <w:rFonts w:ascii="Arial" w:hAnsi="Arial" w:cs="Arial"/>
          <w:sz w:val="20"/>
          <w:lang w:val="en-US"/>
        </w:rPr>
      </w:pPr>
      <w:r w:rsidRPr="002F24FA">
        <w:rPr>
          <w:rFonts w:ascii="Arial" w:hAnsi="Arial" w:cs="Arial"/>
          <w:sz w:val="20"/>
          <w:vertAlign w:val="superscript"/>
        </w:rPr>
        <w:footnoteRef/>
      </w:r>
      <w:r w:rsidRPr="002F24FA">
        <w:rPr>
          <w:rFonts w:ascii="Arial" w:hAnsi="Arial" w:cs="Arial"/>
          <w:sz w:val="20"/>
          <w:lang w:val="en-US"/>
        </w:rPr>
        <w:t xml:space="preserve"> Diane </w:t>
      </w:r>
      <w:proofErr w:type="spellStart"/>
      <w:r w:rsidRPr="002F24FA">
        <w:rPr>
          <w:rFonts w:ascii="Arial" w:hAnsi="Arial" w:cs="Arial"/>
          <w:sz w:val="20"/>
          <w:lang w:val="en-US"/>
        </w:rPr>
        <w:t>Orentlicher</w:t>
      </w:r>
      <w:proofErr w:type="spellEnd"/>
      <w:r w:rsidRPr="002F24FA">
        <w:rPr>
          <w:rFonts w:ascii="Arial" w:hAnsi="Arial" w:cs="Arial"/>
          <w:sz w:val="20"/>
          <w:lang w:val="en-US"/>
        </w:rPr>
        <w:t xml:space="preserve">. </w:t>
      </w:r>
      <w:proofErr w:type="gramStart"/>
      <w:r w:rsidRPr="00BD1EBE">
        <w:rPr>
          <w:rFonts w:ascii="Arial" w:hAnsi="Arial" w:cs="Arial"/>
          <w:sz w:val="20"/>
          <w:lang w:val="en-US"/>
        </w:rPr>
        <w:t>Settling Accounts: the Duty to Prosecute Human Rights Violations of a Prior Regime,</w:t>
      </w:r>
      <w:r w:rsidRPr="002F24FA">
        <w:rPr>
          <w:rFonts w:ascii="Arial" w:hAnsi="Arial" w:cs="Arial"/>
          <w:sz w:val="20"/>
          <w:lang w:val="en-US"/>
        </w:rPr>
        <w:t xml:space="preserve"> </w:t>
      </w:r>
      <w:proofErr w:type="spellStart"/>
      <w:r w:rsidRPr="002F24FA">
        <w:rPr>
          <w:rFonts w:ascii="Arial" w:hAnsi="Arial" w:cs="Arial"/>
          <w:sz w:val="20"/>
          <w:lang w:val="en-US"/>
        </w:rPr>
        <w:t>en</w:t>
      </w:r>
      <w:proofErr w:type="spellEnd"/>
      <w:r w:rsidRPr="002F24FA">
        <w:rPr>
          <w:rFonts w:ascii="Arial" w:hAnsi="Arial" w:cs="Arial"/>
          <w:sz w:val="20"/>
          <w:lang w:val="en-US"/>
        </w:rPr>
        <w:t xml:space="preserve"> </w:t>
      </w:r>
      <w:r>
        <w:rPr>
          <w:rFonts w:ascii="Arial" w:hAnsi="Arial" w:cs="Arial"/>
          <w:sz w:val="20"/>
          <w:lang w:val="en-US"/>
        </w:rPr>
        <w:t xml:space="preserve">Neil J. </w:t>
      </w:r>
      <w:proofErr w:type="spellStart"/>
      <w:r>
        <w:rPr>
          <w:rFonts w:ascii="Arial" w:hAnsi="Arial" w:cs="Arial"/>
          <w:sz w:val="20"/>
          <w:lang w:val="en-US"/>
        </w:rPr>
        <w:t>Kritz</w:t>
      </w:r>
      <w:proofErr w:type="spellEnd"/>
      <w:r>
        <w:rPr>
          <w:rFonts w:ascii="Arial" w:hAnsi="Arial" w:cs="Arial"/>
          <w:sz w:val="20"/>
          <w:lang w:val="en-US"/>
        </w:rPr>
        <w:t xml:space="preserve"> (editor).</w:t>
      </w:r>
      <w:proofErr w:type="gramEnd"/>
      <w:r w:rsidRPr="002F24FA">
        <w:rPr>
          <w:rFonts w:ascii="Arial" w:hAnsi="Arial" w:cs="Arial"/>
          <w:sz w:val="20"/>
          <w:lang w:val="en-US"/>
        </w:rPr>
        <w:t xml:space="preserve"> </w:t>
      </w:r>
      <w:proofErr w:type="spellStart"/>
      <w:r w:rsidRPr="00BD1EBE">
        <w:rPr>
          <w:rFonts w:ascii="Arial" w:hAnsi="Arial" w:cs="Arial"/>
          <w:sz w:val="20"/>
          <w:u w:val="single"/>
          <w:lang w:val="en-US"/>
        </w:rPr>
        <w:t>Trasitional</w:t>
      </w:r>
      <w:proofErr w:type="spellEnd"/>
      <w:r w:rsidRPr="00BD1EBE">
        <w:rPr>
          <w:rFonts w:ascii="Arial" w:hAnsi="Arial" w:cs="Arial"/>
          <w:sz w:val="20"/>
          <w:u w:val="single"/>
          <w:lang w:val="en-US"/>
        </w:rPr>
        <w:t xml:space="preserve"> Justice: How emerging democracies reckon with former regimes</w:t>
      </w:r>
      <w:r>
        <w:rPr>
          <w:rFonts w:ascii="Arial" w:hAnsi="Arial" w:cs="Arial"/>
          <w:sz w:val="20"/>
          <w:lang w:val="en-US"/>
        </w:rPr>
        <w:t xml:space="preserve">. </w:t>
      </w:r>
      <w:proofErr w:type="gramStart"/>
      <w:r w:rsidRPr="00604038">
        <w:rPr>
          <w:rFonts w:ascii="Arial" w:hAnsi="Arial" w:cs="Arial"/>
          <w:sz w:val="20"/>
          <w:lang w:val="en-US"/>
        </w:rPr>
        <w:t>Washington DC, United States Institute of Peace, 2004.</w:t>
      </w:r>
      <w:proofErr w:type="gramEnd"/>
      <w:r w:rsidRPr="00604038">
        <w:rPr>
          <w:rFonts w:ascii="Arial" w:hAnsi="Arial" w:cs="Arial"/>
          <w:sz w:val="20"/>
          <w:lang w:val="en-US"/>
        </w:rPr>
        <w:t xml:space="preserve"> </w:t>
      </w:r>
      <w:proofErr w:type="gramStart"/>
      <w:r w:rsidRPr="00604038">
        <w:rPr>
          <w:rFonts w:ascii="Arial" w:hAnsi="Arial" w:cs="Arial"/>
          <w:sz w:val="20"/>
          <w:lang w:val="en-US"/>
        </w:rPr>
        <w:t>p. 414.</w:t>
      </w:r>
      <w:proofErr w:type="gramEnd"/>
    </w:p>
  </w:footnote>
  <w:footnote w:id="12">
    <w:p w:rsidR="00205D3D" w:rsidRPr="002F24FA" w:rsidRDefault="00205D3D" w:rsidP="000928AE">
      <w:pPr>
        <w:pStyle w:val="Textonotapie"/>
        <w:jc w:val="both"/>
        <w:rPr>
          <w:rFonts w:ascii="Arial" w:hAnsi="Arial" w:cs="Arial"/>
          <w:lang w:val="es-ES"/>
        </w:rPr>
      </w:pPr>
      <w:r w:rsidRPr="002F24FA">
        <w:rPr>
          <w:rStyle w:val="Refdenotaalpie"/>
          <w:rFonts w:ascii="Arial" w:hAnsi="Arial" w:cs="Arial"/>
        </w:rPr>
        <w:footnoteRef/>
      </w:r>
      <w:r>
        <w:rPr>
          <w:rFonts w:ascii="Arial" w:hAnsi="Arial" w:cs="Arial"/>
          <w:lang w:val="es-ES"/>
        </w:rPr>
        <w:t xml:space="preserve"> Corte Interamericana d</w:t>
      </w:r>
      <w:r w:rsidRPr="000928AE">
        <w:rPr>
          <w:rFonts w:ascii="Arial" w:hAnsi="Arial" w:cs="Arial"/>
          <w:lang w:val="es-ES"/>
        </w:rPr>
        <w:t>e Derechos Humanos</w:t>
      </w:r>
      <w:r>
        <w:rPr>
          <w:rFonts w:ascii="Arial" w:hAnsi="Arial" w:cs="Arial"/>
          <w:lang w:val="es-ES"/>
        </w:rPr>
        <w:t xml:space="preserve">, </w:t>
      </w:r>
      <w:r>
        <w:rPr>
          <w:rFonts w:ascii="Arial" w:hAnsi="Arial" w:cs="Arial"/>
          <w:u w:val="single"/>
          <w:lang w:val="es-ES"/>
        </w:rPr>
        <w:t>Caso de la “Masacre d</w:t>
      </w:r>
      <w:r w:rsidRPr="000928AE">
        <w:rPr>
          <w:rFonts w:ascii="Arial" w:hAnsi="Arial" w:cs="Arial"/>
          <w:u w:val="single"/>
          <w:lang w:val="es-ES"/>
        </w:rPr>
        <w:t xml:space="preserve">e </w:t>
      </w:r>
      <w:proofErr w:type="spellStart"/>
      <w:r w:rsidRPr="000928AE">
        <w:rPr>
          <w:rFonts w:ascii="Arial" w:hAnsi="Arial" w:cs="Arial"/>
          <w:u w:val="single"/>
          <w:lang w:val="es-ES"/>
        </w:rPr>
        <w:t>Mapiripán</w:t>
      </w:r>
      <w:proofErr w:type="spellEnd"/>
      <w:r w:rsidRPr="000928AE">
        <w:rPr>
          <w:rFonts w:ascii="Arial" w:hAnsi="Arial" w:cs="Arial"/>
          <w:u w:val="single"/>
          <w:lang w:val="es-ES"/>
        </w:rPr>
        <w:t>” Vs. Colombia</w:t>
      </w:r>
      <w:r>
        <w:rPr>
          <w:rFonts w:ascii="Arial" w:hAnsi="Arial" w:cs="Arial"/>
          <w:lang w:val="es-ES"/>
        </w:rPr>
        <w:t>, Sentencia de 15 Septiembre d</w:t>
      </w:r>
      <w:r w:rsidRPr="000928AE">
        <w:rPr>
          <w:rFonts w:ascii="Arial" w:hAnsi="Arial" w:cs="Arial"/>
          <w:lang w:val="es-ES"/>
        </w:rPr>
        <w:t>e 2005</w:t>
      </w:r>
      <w:r>
        <w:rPr>
          <w:rFonts w:ascii="Arial" w:hAnsi="Arial" w:cs="Arial"/>
          <w:lang w:val="es-ES"/>
        </w:rPr>
        <w:t>, párr. 237.</w:t>
      </w:r>
    </w:p>
  </w:footnote>
  <w:footnote w:id="13">
    <w:p w:rsidR="00205D3D" w:rsidRPr="002F24FA" w:rsidRDefault="00205D3D" w:rsidP="00530F8A">
      <w:pPr>
        <w:pStyle w:val="Body1"/>
        <w:jc w:val="both"/>
        <w:rPr>
          <w:rFonts w:ascii="Arial" w:hAnsi="Arial" w:cs="Arial"/>
          <w:sz w:val="20"/>
        </w:rPr>
      </w:pPr>
      <w:r>
        <w:rPr>
          <w:rStyle w:val="Refdenotaalpie"/>
        </w:rPr>
        <w:footnoteRef/>
      </w:r>
      <w:r w:rsidRPr="00530F8A">
        <w:t xml:space="preserve"> </w:t>
      </w:r>
      <w:r w:rsidRPr="002F24FA">
        <w:rPr>
          <w:rFonts w:ascii="Arial" w:hAnsi="Arial" w:cs="Arial"/>
          <w:sz w:val="20"/>
        </w:rPr>
        <w:t>Felipe Gómez Isa</w:t>
      </w:r>
      <w:r>
        <w:rPr>
          <w:rFonts w:ascii="Arial" w:hAnsi="Arial" w:cs="Arial"/>
          <w:sz w:val="20"/>
        </w:rPr>
        <w:t xml:space="preserve"> (director). </w:t>
      </w:r>
      <w:r w:rsidRPr="00546DE6">
        <w:rPr>
          <w:rFonts w:ascii="Arial" w:hAnsi="Arial" w:cs="Arial"/>
          <w:sz w:val="20"/>
          <w:u w:val="single"/>
        </w:rPr>
        <w:t>El derecho a la memoria</w:t>
      </w:r>
      <w:r>
        <w:rPr>
          <w:rFonts w:ascii="Arial" w:hAnsi="Arial" w:cs="Arial"/>
          <w:sz w:val="20"/>
        </w:rPr>
        <w:t xml:space="preserve">. Bilbao, Instituto de Derechos Humanos Pedro </w:t>
      </w:r>
      <w:proofErr w:type="spellStart"/>
      <w:r>
        <w:rPr>
          <w:rFonts w:ascii="Arial" w:hAnsi="Arial" w:cs="Arial"/>
          <w:sz w:val="20"/>
        </w:rPr>
        <w:t>Arrupe</w:t>
      </w:r>
      <w:proofErr w:type="spellEnd"/>
      <w:r>
        <w:rPr>
          <w:rFonts w:ascii="Arial" w:hAnsi="Arial" w:cs="Arial"/>
          <w:sz w:val="20"/>
        </w:rPr>
        <w:t xml:space="preserve"> Universidad de Deusto, 2006. p. 37.</w:t>
      </w:r>
    </w:p>
    <w:p w:rsidR="00205D3D" w:rsidRPr="00530F8A" w:rsidRDefault="00205D3D">
      <w:pPr>
        <w:pStyle w:val="Textonotapie"/>
        <w:rPr>
          <w:lang w:val="es-ES"/>
        </w:rPr>
      </w:pPr>
    </w:p>
  </w:footnote>
  <w:footnote w:id="14">
    <w:p w:rsidR="00205D3D" w:rsidRPr="004E529D" w:rsidRDefault="00205D3D" w:rsidP="00420AE7">
      <w:pPr>
        <w:pStyle w:val="Textonotapie"/>
        <w:jc w:val="both"/>
        <w:rPr>
          <w:lang w:val="es-ES"/>
        </w:rPr>
      </w:pPr>
      <w:r>
        <w:rPr>
          <w:rStyle w:val="Refdenotaalpie"/>
        </w:rPr>
        <w:footnoteRef/>
      </w:r>
      <w:r w:rsidRPr="004E529D">
        <w:rPr>
          <w:lang w:val="es-ES"/>
        </w:rPr>
        <w:t xml:space="preserve"> </w:t>
      </w:r>
      <w:r w:rsidRPr="004E529D">
        <w:rPr>
          <w:rFonts w:ascii="Arial" w:hAnsi="Arial" w:cs="Arial"/>
          <w:lang w:val="es-ES"/>
        </w:rPr>
        <w:t>Equipo de Salud Mental del Centro de Estudios legales y Sociales (CELS)</w:t>
      </w:r>
      <w:r>
        <w:rPr>
          <w:rFonts w:ascii="Arial" w:hAnsi="Arial" w:cs="Arial"/>
          <w:lang w:val="es-ES"/>
        </w:rPr>
        <w:t xml:space="preserve">, </w:t>
      </w:r>
      <w:proofErr w:type="spellStart"/>
      <w:r>
        <w:rPr>
          <w:rFonts w:ascii="Arial" w:hAnsi="Arial" w:cs="Arial"/>
          <w:lang w:val="es-ES"/>
        </w:rPr>
        <w:t>op</w:t>
      </w:r>
      <w:proofErr w:type="spellEnd"/>
      <w:r>
        <w:rPr>
          <w:rFonts w:ascii="Arial" w:hAnsi="Arial" w:cs="Arial"/>
          <w:lang w:val="es-ES"/>
        </w:rPr>
        <w:t>, cit. pp. 277,278.</w:t>
      </w:r>
    </w:p>
  </w:footnote>
  <w:footnote w:id="15">
    <w:p w:rsidR="00205D3D" w:rsidRPr="00192AB1" w:rsidRDefault="00205D3D" w:rsidP="00192AB1">
      <w:pPr>
        <w:pStyle w:val="Body1"/>
        <w:jc w:val="both"/>
        <w:rPr>
          <w:rFonts w:ascii="Arial" w:hAnsi="Arial" w:cs="Arial"/>
          <w:sz w:val="20"/>
        </w:rPr>
      </w:pPr>
      <w:r w:rsidRPr="002F24FA">
        <w:rPr>
          <w:rFonts w:ascii="Arial" w:hAnsi="Arial" w:cs="Arial"/>
          <w:sz w:val="20"/>
          <w:vertAlign w:val="superscript"/>
        </w:rPr>
        <w:footnoteRef/>
      </w:r>
      <w:r>
        <w:rPr>
          <w:rFonts w:ascii="Arial" w:hAnsi="Arial" w:cs="Arial"/>
          <w:sz w:val="20"/>
        </w:rPr>
        <w:t xml:space="preserve"> </w:t>
      </w:r>
      <w:r w:rsidRPr="00192AB1">
        <w:rPr>
          <w:rFonts w:ascii="Arial" w:hAnsi="Arial" w:cs="Arial"/>
          <w:sz w:val="20"/>
        </w:rPr>
        <w:t>Corte Inte</w:t>
      </w:r>
      <w:r>
        <w:rPr>
          <w:rFonts w:ascii="Arial" w:hAnsi="Arial" w:cs="Arial"/>
          <w:sz w:val="20"/>
        </w:rPr>
        <w:t xml:space="preserve">ramericana de Derechos Humanos, </w:t>
      </w:r>
      <w:r w:rsidRPr="00192AB1">
        <w:rPr>
          <w:rFonts w:ascii="Arial" w:hAnsi="Arial" w:cs="Arial"/>
          <w:sz w:val="20"/>
          <w:u w:val="single"/>
        </w:rPr>
        <w:t>Caso Barrios Altos Vs. Perú</w:t>
      </w:r>
      <w:r>
        <w:rPr>
          <w:rFonts w:ascii="Arial" w:hAnsi="Arial" w:cs="Arial"/>
          <w:sz w:val="20"/>
        </w:rPr>
        <w:t xml:space="preserve">, </w:t>
      </w:r>
      <w:r w:rsidRPr="00192AB1">
        <w:rPr>
          <w:rFonts w:ascii="Arial" w:hAnsi="Arial" w:cs="Arial"/>
          <w:sz w:val="20"/>
        </w:rPr>
        <w:t>Se</w:t>
      </w:r>
      <w:r>
        <w:rPr>
          <w:rFonts w:ascii="Arial" w:hAnsi="Arial" w:cs="Arial"/>
          <w:sz w:val="20"/>
        </w:rPr>
        <w:t xml:space="preserve">ntencia de 14 de marzo de 2001. </w:t>
      </w:r>
      <w:r w:rsidRPr="00192AB1">
        <w:rPr>
          <w:rFonts w:ascii="Arial" w:hAnsi="Arial" w:cs="Arial"/>
          <w:sz w:val="20"/>
        </w:rPr>
        <w:t>(Fondo)</w:t>
      </w:r>
      <w:r>
        <w:rPr>
          <w:rFonts w:ascii="Arial" w:hAnsi="Arial" w:cs="Arial"/>
          <w:sz w:val="20"/>
        </w:rPr>
        <w:t>, párr. 48.</w:t>
      </w:r>
    </w:p>
  </w:footnote>
  <w:footnote w:id="16">
    <w:p w:rsidR="00205D3D" w:rsidRPr="002F24FA" w:rsidRDefault="00205D3D" w:rsidP="002F24FA">
      <w:pPr>
        <w:pStyle w:val="Body1"/>
        <w:jc w:val="both"/>
        <w:rPr>
          <w:rFonts w:ascii="Arial" w:hAnsi="Arial" w:cs="Arial"/>
          <w:sz w:val="20"/>
        </w:rPr>
      </w:pPr>
      <w:r w:rsidRPr="002F24FA">
        <w:rPr>
          <w:rFonts w:ascii="Arial" w:hAnsi="Arial" w:cs="Arial"/>
          <w:sz w:val="20"/>
          <w:vertAlign w:val="superscript"/>
        </w:rPr>
        <w:footnoteRef/>
      </w:r>
      <w:r w:rsidRPr="002F24FA">
        <w:rPr>
          <w:rFonts w:ascii="Arial" w:hAnsi="Arial" w:cs="Arial"/>
          <w:sz w:val="20"/>
        </w:rPr>
        <w:t xml:space="preserve"> Felipe Gómez Isa</w:t>
      </w:r>
      <w:r>
        <w:rPr>
          <w:rFonts w:ascii="Arial" w:hAnsi="Arial" w:cs="Arial"/>
          <w:sz w:val="20"/>
        </w:rPr>
        <w:t xml:space="preserve">, </w:t>
      </w:r>
      <w:proofErr w:type="spellStart"/>
      <w:r>
        <w:rPr>
          <w:rFonts w:ascii="Arial" w:hAnsi="Arial" w:cs="Arial"/>
          <w:sz w:val="20"/>
        </w:rPr>
        <w:t>op</w:t>
      </w:r>
      <w:proofErr w:type="spellEnd"/>
      <w:r>
        <w:rPr>
          <w:rFonts w:ascii="Arial" w:hAnsi="Arial" w:cs="Arial"/>
          <w:sz w:val="20"/>
        </w:rPr>
        <w:t xml:space="preserve">. </w:t>
      </w:r>
      <w:proofErr w:type="spellStart"/>
      <w:r>
        <w:rPr>
          <w:rFonts w:ascii="Arial" w:hAnsi="Arial" w:cs="Arial"/>
          <w:sz w:val="20"/>
        </w:rPr>
        <w:t>cit</w:t>
      </w:r>
      <w:proofErr w:type="spellEnd"/>
      <w:r>
        <w:rPr>
          <w:rFonts w:ascii="Arial" w:hAnsi="Arial" w:cs="Arial"/>
          <w:sz w:val="20"/>
        </w:rPr>
        <w:t>, pp. 40, 41.</w:t>
      </w:r>
    </w:p>
  </w:footnote>
  <w:footnote w:id="17">
    <w:p w:rsidR="00205D3D" w:rsidRPr="002F24FA" w:rsidRDefault="00205D3D" w:rsidP="002F24FA">
      <w:pPr>
        <w:pStyle w:val="Textonotapie"/>
        <w:jc w:val="both"/>
        <w:rPr>
          <w:rFonts w:ascii="Arial" w:hAnsi="Arial" w:cs="Arial"/>
          <w:lang w:val="es-ES"/>
        </w:rPr>
      </w:pPr>
      <w:r w:rsidRPr="002F24FA">
        <w:rPr>
          <w:rStyle w:val="Refdenotaalpie"/>
          <w:rFonts w:ascii="Arial" w:hAnsi="Arial" w:cs="Arial"/>
        </w:rPr>
        <w:footnoteRef/>
      </w:r>
      <w:r w:rsidRPr="002F24FA">
        <w:rPr>
          <w:rFonts w:ascii="Arial" w:hAnsi="Arial" w:cs="Arial"/>
          <w:lang w:val="es-ES"/>
        </w:rPr>
        <w:t xml:space="preserve"> Constituci</w:t>
      </w:r>
      <w:r>
        <w:rPr>
          <w:rFonts w:ascii="Arial" w:hAnsi="Arial" w:cs="Arial"/>
          <w:lang w:val="es-ES"/>
        </w:rPr>
        <w:t>ón de la República del Ecuador</w:t>
      </w:r>
      <w:r w:rsidRPr="002F24FA">
        <w:rPr>
          <w:rFonts w:ascii="Arial" w:hAnsi="Arial" w:cs="Arial"/>
          <w:lang w:val="es-ES"/>
        </w:rPr>
        <w:t>, Registro Ofici</w:t>
      </w:r>
      <w:r>
        <w:rPr>
          <w:rFonts w:ascii="Arial" w:hAnsi="Arial" w:cs="Arial"/>
          <w:lang w:val="es-ES"/>
        </w:rPr>
        <w:t>al 449 de 20 de octubre de 2008,</w:t>
      </w:r>
      <w:r w:rsidRPr="002F24FA">
        <w:rPr>
          <w:rFonts w:ascii="Arial" w:hAnsi="Arial" w:cs="Arial"/>
          <w:lang w:val="es-ES"/>
        </w:rPr>
        <w:t xml:space="preserve"> art. 18</w:t>
      </w:r>
      <w:r>
        <w:rPr>
          <w:rFonts w:ascii="Arial" w:hAnsi="Arial" w:cs="Arial"/>
          <w:lang w:val="es-ES"/>
        </w:rPr>
        <w:t>,</w:t>
      </w:r>
      <w:r w:rsidRPr="002F24FA">
        <w:rPr>
          <w:rFonts w:ascii="Arial" w:hAnsi="Arial" w:cs="Arial"/>
          <w:lang w:val="es-ES"/>
        </w:rPr>
        <w:t xml:space="preserve"> numeral 2</w:t>
      </w:r>
      <w:r>
        <w:rPr>
          <w:rFonts w:ascii="Arial" w:hAnsi="Arial" w:cs="Arial"/>
          <w:lang w:val="es-ES"/>
        </w:rPr>
        <w:t>.</w:t>
      </w:r>
    </w:p>
  </w:footnote>
  <w:footnote w:id="18">
    <w:p w:rsidR="00205D3D" w:rsidRPr="002F24FA" w:rsidRDefault="00205D3D" w:rsidP="006F3E98">
      <w:pPr>
        <w:pStyle w:val="Body1"/>
        <w:jc w:val="both"/>
        <w:rPr>
          <w:rFonts w:ascii="Arial" w:eastAsia="Times New Roman" w:hAnsi="Arial" w:cs="Arial"/>
          <w:color w:val="auto"/>
          <w:sz w:val="20"/>
        </w:rPr>
      </w:pPr>
      <w:r w:rsidRPr="002F24FA">
        <w:rPr>
          <w:rFonts w:ascii="Arial" w:hAnsi="Arial" w:cs="Arial"/>
          <w:sz w:val="20"/>
          <w:vertAlign w:val="superscript"/>
        </w:rPr>
        <w:footnoteRef/>
      </w:r>
      <w:r w:rsidRPr="002F24FA">
        <w:rPr>
          <w:rFonts w:ascii="Arial" w:hAnsi="Arial" w:cs="Arial"/>
          <w:sz w:val="20"/>
        </w:rPr>
        <w:t xml:space="preserve"> </w:t>
      </w:r>
      <w:proofErr w:type="spellStart"/>
      <w:r w:rsidRPr="002F24FA">
        <w:rPr>
          <w:rFonts w:ascii="Arial" w:hAnsi="Arial" w:cs="Arial"/>
          <w:sz w:val="20"/>
        </w:rPr>
        <w:t>Tzvetan</w:t>
      </w:r>
      <w:proofErr w:type="spellEnd"/>
      <w:r w:rsidRPr="002F24FA">
        <w:rPr>
          <w:rFonts w:ascii="Arial" w:hAnsi="Arial" w:cs="Arial"/>
          <w:sz w:val="20"/>
        </w:rPr>
        <w:t xml:space="preserve"> </w:t>
      </w:r>
      <w:proofErr w:type="spellStart"/>
      <w:r w:rsidRPr="002F24FA">
        <w:rPr>
          <w:rFonts w:ascii="Arial" w:hAnsi="Arial" w:cs="Arial"/>
          <w:sz w:val="20"/>
        </w:rPr>
        <w:t>Todorov</w:t>
      </w:r>
      <w:proofErr w:type="spellEnd"/>
      <w:r w:rsidRPr="002F24FA">
        <w:rPr>
          <w:rFonts w:ascii="Arial" w:hAnsi="Arial" w:cs="Arial"/>
          <w:sz w:val="20"/>
        </w:rPr>
        <w:t>, conferencia "Arte y Política: la aspiración al absoluto", 2012, Santiago Chile.</w:t>
      </w:r>
    </w:p>
  </w:footnote>
  <w:footnote w:id="19">
    <w:p w:rsidR="00205D3D" w:rsidRPr="002F24FA" w:rsidRDefault="00205D3D" w:rsidP="002F24FA">
      <w:pPr>
        <w:pStyle w:val="Body1"/>
        <w:jc w:val="both"/>
        <w:rPr>
          <w:rFonts w:ascii="Arial" w:hAnsi="Arial" w:cs="Arial"/>
          <w:sz w:val="20"/>
        </w:rPr>
      </w:pPr>
      <w:r w:rsidRPr="002F24FA">
        <w:rPr>
          <w:rFonts w:ascii="Arial" w:hAnsi="Arial" w:cs="Arial"/>
          <w:sz w:val="20"/>
          <w:vertAlign w:val="superscript"/>
        </w:rPr>
        <w:footnoteRef/>
      </w:r>
      <w:r>
        <w:rPr>
          <w:rFonts w:ascii="Arial" w:hAnsi="Arial" w:cs="Arial"/>
          <w:sz w:val="20"/>
        </w:rPr>
        <w:t xml:space="preserve"> </w:t>
      </w:r>
      <w:r w:rsidRPr="002F24FA">
        <w:rPr>
          <w:rFonts w:ascii="Arial" w:hAnsi="Arial" w:cs="Arial"/>
          <w:sz w:val="20"/>
        </w:rPr>
        <w:t>J</w:t>
      </w:r>
      <w:r>
        <w:rPr>
          <w:rFonts w:ascii="Arial" w:hAnsi="Arial" w:cs="Arial"/>
          <w:sz w:val="20"/>
        </w:rPr>
        <w:t xml:space="preserve">uan Carlos Monedero. </w:t>
      </w:r>
      <w:r w:rsidRPr="002F24FA">
        <w:rPr>
          <w:rFonts w:ascii="Arial" w:hAnsi="Arial" w:cs="Arial"/>
          <w:sz w:val="20"/>
        </w:rPr>
        <w:t xml:space="preserve">"Nocturno de la transición", </w:t>
      </w:r>
      <w:r>
        <w:rPr>
          <w:rFonts w:ascii="Arial" w:hAnsi="Arial" w:cs="Arial"/>
          <w:sz w:val="20"/>
        </w:rPr>
        <w:t xml:space="preserve">en </w:t>
      </w:r>
      <w:r w:rsidRPr="0083151B">
        <w:rPr>
          <w:rFonts w:ascii="Arial" w:hAnsi="Arial" w:cs="Arial"/>
          <w:sz w:val="20"/>
        </w:rPr>
        <w:t xml:space="preserve">Emilio Silva (ed.), </w:t>
      </w:r>
      <w:r w:rsidRPr="0083151B">
        <w:rPr>
          <w:rFonts w:ascii="Arial" w:hAnsi="Arial" w:cs="Arial"/>
          <w:sz w:val="20"/>
          <w:u w:val="single"/>
        </w:rPr>
        <w:t>La memoria de los olvidados</w:t>
      </w:r>
      <w:r>
        <w:rPr>
          <w:rFonts w:ascii="Arial" w:hAnsi="Arial" w:cs="Arial"/>
          <w:sz w:val="20"/>
        </w:rPr>
        <w:t>.</w:t>
      </w:r>
      <w:r w:rsidRPr="0083151B">
        <w:rPr>
          <w:rFonts w:ascii="Arial" w:hAnsi="Arial" w:cs="Arial"/>
          <w:sz w:val="20"/>
        </w:rPr>
        <w:t xml:space="preserve"> Valladolid, Acento, 2004</w:t>
      </w:r>
      <w:r>
        <w:rPr>
          <w:rFonts w:ascii="Arial" w:hAnsi="Arial" w:cs="Arial"/>
          <w:sz w:val="20"/>
        </w:rPr>
        <w:t xml:space="preserve">. </w:t>
      </w:r>
      <w:r w:rsidRPr="002F24FA">
        <w:rPr>
          <w:rFonts w:ascii="Arial" w:hAnsi="Arial" w:cs="Arial"/>
          <w:sz w:val="20"/>
        </w:rPr>
        <w:t>p. 115.</w:t>
      </w:r>
    </w:p>
  </w:footnote>
  <w:footnote w:id="20">
    <w:p w:rsidR="00205D3D" w:rsidRPr="002F24FA" w:rsidRDefault="00205D3D" w:rsidP="0083151B">
      <w:pPr>
        <w:pStyle w:val="Textonotapie"/>
        <w:jc w:val="both"/>
        <w:rPr>
          <w:rFonts w:ascii="Arial" w:hAnsi="Arial" w:cs="Arial"/>
          <w:lang w:val="es-ES"/>
        </w:rPr>
      </w:pPr>
      <w:r w:rsidRPr="002F24FA">
        <w:rPr>
          <w:rStyle w:val="Refdenotaalpie"/>
          <w:rFonts w:ascii="Arial" w:hAnsi="Arial" w:cs="Arial"/>
        </w:rPr>
        <w:footnoteRef/>
      </w:r>
      <w:r>
        <w:rPr>
          <w:rFonts w:ascii="Arial" w:hAnsi="Arial" w:cs="Arial"/>
          <w:lang w:val="es-ES"/>
        </w:rPr>
        <w:t xml:space="preserve"> Naciones Unidas, Consejo Económico y Social,</w:t>
      </w:r>
      <w:r w:rsidRPr="002F24FA">
        <w:rPr>
          <w:rFonts w:ascii="Arial" w:hAnsi="Arial" w:cs="Arial"/>
          <w:lang w:val="es-ES"/>
        </w:rPr>
        <w:t xml:space="preserve"> </w:t>
      </w:r>
      <w:r>
        <w:rPr>
          <w:rFonts w:ascii="Arial" w:hAnsi="Arial" w:cs="Arial"/>
          <w:lang w:val="es-ES"/>
        </w:rPr>
        <w:t xml:space="preserve">Comisión de Derechos Humanos, </w:t>
      </w:r>
      <w:r w:rsidRPr="002F24FA">
        <w:rPr>
          <w:rFonts w:ascii="Arial" w:hAnsi="Arial" w:cs="Arial"/>
          <w:lang w:val="es-ES"/>
        </w:rPr>
        <w:t>E/CN.4/Sub.2/1997/20/Rev.1</w:t>
      </w:r>
      <w:r>
        <w:rPr>
          <w:rFonts w:ascii="Arial" w:hAnsi="Arial" w:cs="Arial"/>
          <w:lang w:val="es-ES"/>
        </w:rPr>
        <w:t xml:space="preserve">, </w:t>
      </w:r>
      <w:r w:rsidRPr="0083151B">
        <w:rPr>
          <w:rFonts w:ascii="Arial" w:hAnsi="Arial" w:cs="Arial"/>
          <w:u w:val="single"/>
          <w:lang w:val="es-ES"/>
        </w:rPr>
        <w:t>Informe final revisado acerca de la cuestió</w:t>
      </w:r>
      <w:r>
        <w:rPr>
          <w:rFonts w:ascii="Arial" w:hAnsi="Arial" w:cs="Arial"/>
          <w:u w:val="single"/>
          <w:lang w:val="es-ES"/>
        </w:rPr>
        <w:t xml:space="preserve">n de la impunidad de los </w:t>
      </w:r>
      <w:r w:rsidRPr="0083151B">
        <w:rPr>
          <w:rFonts w:ascii="Arial" w:hAnsi="Arial" w:cs="Arial"/>
          <w:u w:val="single"/>
          <w:lang w:val="es-ES"/>
        </w:rPr>
        <w:t>autores de violaciones de los derec</w:t>
      </w:r>
      <w:r>
        <w:rPr>
          <w:rFonts w:ascii="Arial" w:hAnsi="Arial" w:cs="Arial"/>
          <w:u w:val="single"/>
          <w:lang w:val="es-ES"/>
        </w:rPr>
        <w:t xml:space="preserve">hos humanos (derechos civiles y </w:t>
      </w:r>
      <w:r w:rsidRPr="0083151B">
        <w:rPr>
          <w:rFonts w:ascii="Arial" w:hAnsi="Arial" w:cs="Arial"/>
          <w:u w:val="single"/>
          <w:lang w:val="es-ES"/>
        </w:rPr>
        <w:t>políticos)</w:t>
      </w:r>
      <w:r>
        <w:rPr>
          <w:rFonts w:ascii="Arial" w:hAnsi="Arial" w:cs="Arial"/>
          <w:lang w:val="es-ES"/>
        </w:rPr>
        <w:t>,</w:t>
      </w:r>
      <w:r w:rsidRPr="0083151B">
        <w:rPr>
          <w:rFonts w:ascii="Arial" w:hAnsi="Arial" w:cs="Arial"/>
          <w:lang w:val="es-ES"/>
        </w:rPr>
        <w:t xml:space="preserve"> preparado por el S</w:t>
      </w:r>
      <w:r>
        <w:rPr>
          <w:rFonts w:ascii="Arial" w:hAnsi="Arial" w:cs="Arial"/>
          <w:lang w:val="es-ES"/>
        </w:rPr>
        <w:t xml:space="preserve">r. L. </w:t>
      </w:r>
      <w:proofErr w:type="spellStart"/>
      <w:r>
        <w:rPr>
          <w:rFonts w:ascii="Arial" w:hAnsi="Arial" w:cs="Arial"/>
          <w:lang w:val="es-ES"/>
        </w:rPr>
        <w:t>Joinet</w:t>
      </w:r>
      <w:proofErr w:type="spellEnd"/>
      <w:r>
        <w:rPr>
          <w:rFonts w:ascii="Arial" w:hAnsi="Arial" w:cs="Arial"/>
          <w:lang w:val="es-ES"/>
        </w:rPr>
        <w:t xml:space="preserve"> de conformidad con </w:t>
      </w:r>
      <w:r w:rsidRPr="0083151B">
        <w:rPr>
          <w:rFonts w:ascii="Arial" w:hAnsi="Arial" w:cs="Arial"/>
          <w:lang w:val="es-ES"/>
        </w:rPr>
        <w:t xml:space="preserve">la resolución 1996/119 de la Subcomisión, </w:t>
      </w:r>
      <w:r>
        <w:rPr>
          <w:rFonts w:ascii="Arial" w:hAnsi="Arial" w:cs="Arial"/>
          <w:lang w:val="es-ES"/>
        </w:rPr>
        <w:t>2 de octubre de 1997.</w:t>
      </w:r>
    </w:p>
  </w:footnote>
  <w:footnote w:id="21">
    <w:p w:rsidR="00205D3D" w:rsidRPr="00311969" w:rsidRDefault="00205D3D" w:rsidP="00311969">
      <w:pPr>
        <w:pStyle w:val="Textonotapie"/>
        <w:jc w:val="both"/>
        <w:rPr>
          <w:rFonts w:ascii="Arial" w:hAnsi="Arial" w:cs="Arial"/>
          <w:u w:val="single"/>
          <w:lang w:val="es-ES"/>
        </w:rPr>
      </w:pPr>
      <w:r w:rsidRPr="002F24FA">
        <w:rPr>
          <w:rStyle w:val="Refdenotaalpie"/>
          <w:rFonts w:ascii="Arial" w:hAnsi="Arial" w:cs="Arial"/>
        </w:rPr>
        <w:footnoteRef/>
      </w:r>
      <w:r w:rsidRPr="002F24FA">
        <w:rPr>
          <w:rFonts w:ascii="Arial" w:hAnsi="Arial" w:cs="Arial"/>
          <w:lang w:val="es-ES"/>
        </w:rPr>
        <w:t xml:space="preserve"> </w:t>
      </w:r>
      <w:r>
        <w:rPr>
          <w:rFonts w:ascii="Arial" w:hAnsi="Arial" w:cs="Arial"/>
          <w:lang w:val="es-ES"/>
        </w:rPr>
        <w:t xml:space="preserve">Naciones Unidas, Consejo Económico y Social, Comisión de Derechos Humanos, </w:t>
      </w:r>
      <w:r w:rsidRPr="002F24FA">
        <w:rPr>
          <w:rFonts w:ascii="Arial" w:hAnsi="Arial" w:cs="Arial"/>
          <w:lang w:val="es-ES"/>
        </w:rPr>
        <w:t>E/CN.4/Sub .2/1993/8</w:t>
      </w:r>
      <w:r>
        <w:rPr>
          <w:rFonts w:ascii="Arial" w:hAnsi="Arial" w:cs="Arial"/>
          <w:lang w:val="es-ES"/>
        </w:rPr>
        <w:t xml:space="preserve">, </w:t>
      </w:r>
      <w:r w:rsidRPr="00311969">
        <w:rPr>
          <w:rFonts w:ascii="Arial" w:hAnsi="Arial" w:cs="Arial"/>
          <w:u w:val="single"/>
          <w:lang w:val="es-ES"/>
        </w:rPr>
        <w:t>Estudio relativo al derecho de restitución, indemnización</w:t>
      </w:r>
      <w:r>
        <w:rPr>
          <w:rFonts w:ascii="Arial" w:hAnsi="Arial" w:cs="Arial"/>
          <w:u w:val="single"/>
          <w:lang w:val="es-ES"/>
        </w:rPr>
        <w:t xml:space="preserve"> </w:t>
      </w:r>
      <w:r w:rsidRPr="00311969">
        <w:rPr>
          <w:rFonts w:ascii="Arial" w:hAnsi="Arial" w:cs="Arial"/>
          <w:u w:val="single"/>
          <w:lang w:val="es-ES"/>
        </w:rPr>
        <w:t>y rehabilitación a las víc</w:t>
      </w:r>
      <w:r>
        <w:rPr>
          <w:rFonts w:ascii="Arial" w:hAnsi="Arial" w:cs="Arial"/>
          <w:u w:val="single"/>
          <w:lang w:val="es-ES"/>
        </w:rPr>
        <w:t xml:space="preserve">timas de violaciones flagrantes </w:t>
      </w:r>
      <w:r w:rsidRPr="00311969">
        <w:rPr>
          <w:rFonts w:ascii="Arial" w:hAnsi="Arial" w:cs="Arial"/>
          <w:u w:val="single"/>
          <w:lang w:val="es-ES"/>
        </w:rPr>
        <w:t>de los derechos humanos y las libertades fundamentales</w:t>
      </w:r>
      <w:r>
        <w:rPr>
          <w:rFonts w:ascii="Arial" w:hAnsi="Arial" w:cs="Arial"/>
          <w:lang w:val="es-ES"/>
        </w:rPr>
        <w:t xml:space="preserve">, </w:t>
      </w:r>
      <w:r w:rsidRPr="00311969">
        <w:rPr>
          <w:rFonts w:ascii="Arial" w:hAnsi="Arial" w:cs="Arial"/>
          <w:lang w:val="es-ES"/>
        </w:rPr>
        <w:t xml:space="preserve">Informe definitivo presentado por el Sr. </w:t>
      </w:r>
      <w:proofErr w:type="spellStart"/>
      <w:r w:rsidRPr="00311969">
        <w:rPr>
          <w:rFonts w:ascii="Arial" w:hAnsi="Arial" w:cs="Arial"/>
          <w:lang w:val="es-ES"/>
        </w:rPr>
        <w:t>Theo</w:t>
      </w:r>
      <w:proofErr w:type="spellEnd"/>
      <w:r w:rsidRPr="00311969">
        <w:rPr>
          <w:rFonts w:ascii="Arial" w:hAnsi="Arial" w:cs="Arial"/>
          <w:lang w:val="es-ES"/>
        </w:rPr>
        <w:t xml:space="preserve"> van </w:t>
      </w:r>
      <w:proofErr w:type="spellStart"/>
      <w:r w:rsidRPr="00311969">
        <w:rPr>
          <w:rFonts w:ascii="Arial" w:hAnsi="Arial" w:cs="Arial"/>
          <w:lang w:val="es-ES"/>
        </w:rPr>
        <w:t>Boven</w:t>
      </w:r>
      <w:proofErr w:type="spellEnd"/>
      <w:r w:rsidRPr="00311969">
        <w:rPr>
          <w:rFonts w:ascii="Arial" w:hAnsi="Arial" w:cs="Arial"/>
          <w:lang w:val="es-ES"/>
        </w:rPr>
        <w:t>, Relator Especial</w:t>
      </w:r>
      <w:r>
        <w:rPr>
          <w:rFonts w:ascii="Arial" w:hAnsi="Arial" w:cs="Arial"/>
          <w:lang w:val="es-ES"/>
        </w:rPr>
        <w:t>, 2 de julio de 1993.</w:t>
      </w:r>
    </w:p>
  </w:footnote>
  <w:footnote w:id="22">
    <w:p w:rsidR="00205D3D" w:rsidRPr="00714CB3" w:rsidRDefault="00205D3D" w:rsidP="00714CB3">
      <w:pPr>
        <w:pStyle w:val="Textonotapie"/>
        <w:jc w:val="both"/>
        <w:rPr>
          <w:rFonts w:ascii="Arial" w:hAnsi="Arial" w:cs="Arial"/>
          <w:lang w:val="es-ES"/>
        </w:rPr>
      </w:pPr>
      <w:r w:rsidRPr="002F24FA">
        <w:rPr>
          <w:rStyle w:val="Refdenotaalpie"/>
          <w:rFonts w:ascii="Arial" w:hAnsi="Arial" w:cs="Arial"/>
        </w:rPr>
        <w:footnoteRef/>
      </w:r>
      <w:r w:rsidRPr="00714CB3">
        <w:rPr>
          <w:rFonts w:ascii="Arial" w:hAnsi="Arial" w:cs="Arial"/>
          <w:lang w:val="es-ES"/>
        </w:rPr>
        <w:t xml:space="preserve"> Naciones Unidas, Comisión de D</w:t>
      </w:r>
      <w:r>
        <w:rPr>
          <w:rFonts w:ascii="Arial" w:hAnsi="Arial" w:cs="Arial"/>
          <w:lang w:val="es-ES"/>
        </w:rPr>
        <w:t>e</w:t>
      </w:r>
      <w:r w:rsidRPr="00714CB3">
        <w:rPr>
          <w:rFonts w:ascii="Arial" w:hAnsi="Arial" w:cs="Arial"/>
          <w:lang w:val="es-ES"/>
        </w:rPr>
        <w:t>rechos Humanos</w:t>
      </w:r>
      <w:r>
        <w:rPr>
          <w:rFonts w:ascii="Arial" w:hAnsi="Arial" w:cs="Arial"/>
          <w:lang w:val="es-ES"/>
        </w:rPr>
        <w:t>,</w:t>
      </w:r>
      <w:r w:rsidRPr="00714CB3">
        <w:rPr>
          <w:rFonts w:ascii="Arial" w:hAnsi="Arial" w:cs="Arial"/>
          <w:lang w:val="es-ES"/>
        </w:rPr>
        <w:t xml:space="preserve"> </w:t>
      </w:r>
      <w:proofErr w:type="spellStart"/>
      <w:r w:rsidRPr="00714CB3">
        <w:rPr>
          <w:rFonts w:ascii="Arial" w:hAnsi="Arial" w:cs="Arial"/>
          <w:lang w:val="es-ES"/>
        </w:rPr>
        <w:t>Communication</w:t>
      </w:r>
      <w:proofErr w:type="spellEnd"/>
      <w:r w:rsidRPr="00714CB3">
        <w:rPr>
          <w:rFonts w:ascii="Arial" w:hAnsi="Arial" w:cs="Arial"/>
          <w:lang w:val="es-ES"/>
        </w:rPr>
        <w:t xml:space="preserve"> No.</w:t>
      </w:r>
      <w:r>
        <w:rPr>
          <w:rFonts w:ascii="Arial" w:hAnsi="Arial" w:cs="Arial"/>
          <w:lang w:val="es-ES"/>
        </w:rPr>
        <w:t xml:space="preserve"> 107/1981, </w:t>
      </w:r>
      <w:r w:rsidRPr="00714CB3">
        <w:rPr>
          <w:rFonts w:ascii="Arial" w:hAnsi="Arial" w:cs="Arial"/>
          <w:lang w:val="es-ES"/>
        </w:rPr>
        <w:t>U.N. Doc. CCPR/C/OP/2</w:t>
      </w:r>
      <w:r>
        <w:rPr>
          <w:rFonts w:ascii="Arial" w:hAnsi="Arial" w:cs="Arial"/>
          <w:lang w:val="es-ES"/>
        </w:rPr>
        <w:t>,</w:t>
      </w:r>
      <w:r w:rsidRPr="00714CB3">
        <w:rPr>
          <w:rFonts w:ascii="Arial" w:hAnsi="Arial" w:cs="Arial"/>
          <w:lang w:val="es-ES"/>
        </w:rPr>
        <w:t xml:space="preserve"> María del Carmen Almeida de Quinteros et al. v. Uruguay, </w:t>
      </w:r>
      <w:r>
        <w:rPr>
          <w:rFonts w:ascii="Arial" w:hAnsi="Arial" w:cs="Arial"/>
          <w:lang w:val="es-ES"/>
        </w:rPr>
        <w:t>decisión de 21 Julio</w:t>
      </w:r>
      <w:r w:rsidRPr="00714CB3">
        <w:rPr>
          <w:rFonts w:ascii="Arial" w:hAnsi="Arial" w:cs="Arial"/>
          <w:lang w:val="es-ES"/>
        </w:rPr>
        <w:t xml:space="preserve"> 1983.</w:t>
      </w:r>
    </w:p>
  </w:footnote>
  <w:footnote w:id="23">
    <w:p w:rsidR="00205D3D" w:rsidRPr="002F24FA" w:rsidRDefault="00205D3D" w:rsidP="00734EC0">
      <w:pPr>
        <w:pStyle w:val="Body1"/>
        <w:jc w:val="both"/>
        <w:rPr>
          <w:rFonts w:ascii="Arial" w:eastAsia="Times New Roman" w:hAnsi="Arial" w:cs="Arial"/>
          <w:color w:val="auto"/>
          <w:sz w:val="20"/>
        </w:rPr>
      </w:pPr>
      <w:r w:rsidRPr="002F24FA">
        <w:rPr>
          <w:rFonts w:ascii="Arial" w:hAnsi="Arial" w:cs="Arial"/>
          <w:sz w:val="20"/>
          <w:vertAlign w:val="superscript"/>
        </w:rPr>
        <w:footnoteRef/>
      </w:r>
      <w:r>
        <w:rPr>
          <w:rFonts w:ascii="Arial" w:hAnsi="Arial" w:cs="Arial"/>
          <w:sz w:val="20"/>
        </w:rPr>
        <w:t xml:space="preserve"> Paula Ayala Rodríguez</w:t>
      </w:r>
      <w:r w:rsidRPr="00714CB3">
        <w:rPr>
          <w:rFonts w:ascii="Arial" w:hAnsi="Arial" w:cs="Arial"/>
          <w:sz w:val="20"/>
          <w:u w:val="single"/>
        </w:rPr>
        <w:t>. La reparación integral como forma de cumplir con la obligación moral de recordar</w:t>
      </w:r>
      <w:r>
        <w:rPr>
          <w:rFonts w:ascii="Arial" w:hAnsi="Arial" w:cs="Arial"/>
          <w:sz w:val="20"/>
        </w:rPr>
        <w:t xml:space="preserve">. Bogotá, Ediciones </w:t>
      </w:r>
      <w:proofErr w:type="spellStart"/>
      <w:r>
        <w:rPr>
          <w:rFonts w:ascii="Arial" w:hAnsi="Arial" w:cs="Arial"/>
          <w:sz w:val="20"/>
        </w:rPr>
        <w:t>Uniandes</w:t>
      </w:r>
      <w:proofErr w:type="spellEnd"/>
      <w:r>
        <w:rPr>
          <w:rFonts w:ascii="Arial" w:hAnsi="Arial" w:cs="Arial"/>
          <w:sz w:val="20"/>
        </w:rPr>
        <w:t xml:space="preserve">, 2005. </w:t>
      </w:r>
      <w:r w:rsidRPr="002F24FA">
        <w:rPr>
          <w:rFonts w:ascii="Arial" w:hAnsi="Arial" w:cs="Arial"/>
          <w:sz w:val="20"/>
        </w:rPr>
        <w:t>p. 27</w:t>
      </w:r>
      <w:r>
        <w:rPr>
          <w:rFonts w:ascii="Arial" w:hAnsi="Arial" w:cs="Arial"/>
          <w:sz w:val="20"/>
        </w:rPr>
        <w:t>.</w:t>
      </w:r>
    </w:p>
  </w:footnote>
  <w:footnote w:id="24">
    <w:p w:rsidR="00205D3D" w:rsidRPr="002F24FA" w:rsidRDefault="00205D3D" w:rsidP="00D225AF">
      <w:pPr>
        <w:pStyle w:val="Body1"/>
        <w:jc w:val="both"/>
        <w:rPr>
          <w:rFonts w:ascii="Arial" w:eastAsia="Times New Roman" w:hAnsi="Arial" w:cs="Arial"/>
          <w:color w:val="auto"/>
          <w:sz w:val="20"/>
        </w:rPr>
      </w:pPr>
      <w:r w:rsidRPr="002F24FA">
        <w:rPr>
          <w:rFonts w:ascii="Arial" w:hAnsi="Arial" w:cs="Arial"/>
          <w:sz w:val="20"/>
          <w:vertAlign w:val="superscript"/>
        </w:rPr>
        <w:footnoteRef/>
      </w:r>
      <w:r w:rsidRPr="002F24FA">
        <w:rPr>
          <w:rFonts w:ascii="Arial" w:hAnsi="Arial" w:cs="Arial"/>
          <w:sz w:val="20"/>
        </w:rPr>
        <w:t xml:space="preserve"> Michael </w:t>
      </w:r>
      <w:proofErr w:type="spellStart"/>
      <w:r w:rsidRPr="002F24FA">
        <w:rPr>
          <w:rFonts w:ascii="Arial" w:hAnsi="Arial" w:cs="Arial"/>
          <w:sz w:val="20"/>
        </w:rPr>
        <w:t>Fruhling</w:t>
      </w:r>
      <w:proofErr w:type="spellEnd"/>
      <w:r w:rsidRPr="002F24FA">
        <w:rPr>
          <w:rFonts w:ascii="Arial" w:hAnsi="Arial" w:cs="Arial"/>
          <w:sz w:val="20"/>
        </w:rPr>
        <w:t>, Director de la Oficina en Colombia del Alto Comisionado de las Naciones U</w:t>
      </w:r>
      <w:r>
        <w:rPr>
          <w:rFonts w:ascii="Arial" w:hAnsi="Arial" w:cs="Arial"/>
          <w:sz w:val="20"/>
        </w:rPr>
        <w:t>nidas para los Derechos Humanos. Seminario Internacional “E</w:t>
      </w:r>
      <w:r w:rsidRPr="002F24FA">
        <w:rPr>
          <w:rFonts w:ascii="Arial" w:hAnsi="Arial" w:cs="Arial"/>
          <w:sz w:val="20"/>
        </w:rPr>
        <w:t xml:space="preserve">xperiencias de </w:t>
      </w:r>
      <w:proofErr w:type="spellStart"/>
      <w:r w:rsidRPr="002F24FA">
        <w:rPr>
          <w:rFonts w:ascii="Arial" w:hAnsi="Arial" w:cs="Arial"/>
          <w:sz w:val="20"/>
        </w:rPr>
        <w:t>alternatividad</w:t>
      </w:r>
      <w:proofErr w:type="spellEnd"/>
      <w:r w:rsidRPr="002F24FA">
        <w:rPr>
          <w:rFonts w:ascii="Arial" w:hAnsi="Arial" w:cs="Arial"/>
          <w:sz w:val="20"/>
        </w:rPr>
        <w:t xml:space="preserve"> penal en procesos de paz</w:t>
      </w:r>
      <w:r>
        <w:rPr>
          <w:rFonts w:ascii="Arial" w:hAnsi="Arial" w:cs="Arial"/>
          <w:sz w:val="20"/>
        </w:rPr>
        <w:t>” Barcelona, 2004.</w:t>
      </w:r>
      <w:r w:rsidRPr="002F24FA">
        <w:rPr>
          <w:rFonts w:ascii="Arial" w:hAnsi="Arial" w:cs="Arial"/>
          <w:sz w:val="20"/>
        </w:rPr>
        <w:t xml:space="preserve"> p. 6</w:t>
      </w:r>
      <w:r>
        <w:rPr>
          <w:rFonts w:ascii="Arial" w:hAnsi="Arial" w:cs="Arial"/>
          <w:sz w:val="20"/>
        </w:rPr>
        <w:t>.</w:t>
      </w:r>
      <w:r w:rsidRPr="002F24FA">
        <w:rPr>
          <w:rFonts w:ascii="Arial" w:hAnsi="Arial" w:cs="Arial"/>
          <w:sz w:val="20"/>
        </w:rPr>
        <w:t xml:space="preserve"> </w:t>
      </w:r>
    </w:p>
  </w:footnote>
  <w:footnote w:id="25">
    <w:p w:rsidR="00205D3D" w:rsidRPr="002F24FA" w:rsidRDefault="00205D3D" w:rsidP="00230C47">
      <w:pPr>
        <w:pStyle w:val="Textonotapie"/>
        <w:jc w:val="both"/>
        <w:rPr>
          <w:rFonts w:ascii="Arial" w:hAnsi="Arial" w:cs="Arial"/>
          <w:lang w:val="es-ES"/>
        </w:rPr>
      </w:pPr>
      <w:r w:rsidRPr="002F24FA">
        <w:rPr>
          <w:rStyle w:val="Refdenotaalpie"/>
          <w:rFonts w:ascii="Arial" w:hAnsi="Arial" w:cs="Arial"/>
        </w:rPr>
        <w:footnoteRef/>
      </w:r>
      <w:r w:rsidRPr="002F24FA">
        <w:rPr>
          <w:rFonts w:ascii="Arial" w:hAnsi="Arial" w:cs="Arial"/>
          <w:lang w:val="es-ES"/>
        </w:rPr>
        <w:t xml:space="preserve"> Principios y directrices básicos sobre el derecho de las víctimas de violaciones manifiestas de las normas internacionales de derechos humanos y de violaciones graves del derecho internacional humanitario a interponer recursos y obtener reparaciones, (Preámbulo), 60/147 Resolución aprobada por la Asamblea General el 16 de diciembre de 2005. </w:t>
      </w:r>
    </w:p>
  </w:footnote>
  <w:footnote w:id="26">
    <w:p w:rsidR="00205D3D" w:rsidRPr="002F24FA" w:rsidRDefault="00205D3D" w:rsidP="00D225AF">
      <w:pPr>
        <w:pStyle w:val="Body1"/>
        <w:jc w:val="both"/>
        <w:rPr>
          <w:rFonts w:ascii="Arial" w:eastAsia="Times New Roman" w:hAnsi="Arial" w:cs="Arial"/>
          <w:color w:val="auto"/>
          <w:sz w:val="20"/>
        </w:rPr>
      </w:pPr>
      <w:r w:rsidRPr="002F24FA">
        <w:rPr>
          <w:rFonts w:ascii="Arial" w:hAnsi="Arial" w:cs="Arial"/>
          <w:sz w:val="20"/>
          <w:vertAlign w:val="superscript"/>
        </w:rPr>
        <w:footnoteRef/>
      </w:r>
      <w:r w:rsidRPr="002F24FA">
        <w:rPr>
          <w:rFonts w:ascii="Arial" w:hAnsi="Arial" w:cs="Arial"/>
          <w:sz w:val="20"/>
        </w:rPr>
        <w:t xml:space="preserve"> Paula Ayala Rodríguez,</w:t>
      </w:r>
      <w:r>
        <w:rPr>
          <w:rFonts w:ascii="Arial" w:hAnsi="Arial" w:cs="Arial"/>
          <w:sz w:val="20"/>
        </w:rPr>
        <w:t xml:space="preserve"> </w:t>
      </w:r>
      <w:proofErr w:type="spellStart"/>
      <w:r>
        <w:rPr>
          <w:rFonts w:ascii="Arial" w:hAnsi="Arial" w:cs="Arial"/>
          <w:sz w:val="20"/>
        </w:rPr>
        <w:t>op</w:t>
      </w:r>
      <w:proofErr w:type="spellEnd"/>
      <w:r>
        <w:rPr>
          <w:rFonts w:ascii="Arial" w:hAnsi="Arial" w:cs="Arial"/>
          <w:sz w:val="20"/>
        </w:rPr>
        <w:t xml:space="preserve">. cit. </w:t>
      </w:r>
      <w:r w:rsidRPr="002F24FA">
        <w:rPr>
          <w:rFonts w:ascii="Arial" w:hAnsi="Arial" w:cs="Arial"/>
          <w:sz w:val="20"/>
        </w:rPr>
        <w:t>p. 23</w:t>
      </w:r>
      <w:r>
        <w:rPr>
          <w:rFonts w:ascii="Arial" w:hAnsi="Arial" w:cs="Arial"/>
          <w:sz w:val="20"/>
        </w:rPr>
        <w:t>.</w:t>
      </w:r>
    </w:p>
  </w:footnote>
  <w:footnote w:id="27">
    <w:p w:rsidR="00205D3D" w:rsidRPr="00003462" w:rsidRDefault="00205D3D" w:rsidP="009411E8">
      <w:pPr>
        <w:pStyle w:val="Textonotapie"/>
        <w:jc w:val="both"/>
        <w:rPr>
          <w:rFonts w:ascii="Arial" w:hAnsi="Arial" w:cs="Arial"/>
          <w:lang w:val="es-ES"/>
        </w:rPr>
      </w:pPr>
      <w:r w:rsidRPr="00003462">
        <w:rPr>
          <w:rStyle w:val="Refdenotaalpie"/>
          <w:rFonts w:ascii="Arial" w:hAnsi="Arial" w:cs="Arial"/>
        </w:rPr>
        <w:footnoteRef/>
      </w:r>
      <w:r w:rsidRPr="00003462">
        <w:rPr>
          <w:rFonts w:ascii="Arial" w:hAnsi="Arial" w:cs="Arial"/>
          <w:lang w:val="es-ES"/>
        </w:rPr>
        <w:t xml:space="preserve"> Declaración Universal de los Derechos Humanos, adoptada por la Asamblea General de las Naciones Unidas en su Resolución 217 A (III), el 10 de diciembre de 1948 en París.</w:t>
      </w:r>
    </w:p>
  </w:footnote>
  <w:footnote w:id="28">
    <w:p w:rsidR="00205D3D" w:rsidRPr="00003462" w:rsidRDefault="00205D3D" w:rsidP="00003462">
      <w:pPr>
        <w:pStyle w:val="Textonotapie"/>
        <w:jc w:val="both"/>
        <w:rPr>
          <w:rFonts w:ascii="Arial" w:hAnsi="Arial" w:cs="Arial"/>
          <w:lang w:val="es-ES"/>
        </w:rPr>
      </w:pPr>
      <w:r w:rsidRPr="00003462">
        <w:rPr>
          <w:rStyle w:val="Refdenotaalpie"/>
          <w:rFonts w:ascii="Arial" w:hAnsi="Arial" w:cs="Arial"/>
        </w:rPr>
        <w:footnoteRef/>
      </w:r>
      <w:r w:rsidRPr="00003462">
        <w:rPr>
          <w:rFonts w:ascii="Arial" w:hAnsi="Arial" w:cs="Arial"/>
          <w:lang w:val="es-ES"/>
        </w:rPr>
        <w:t xml:space="preserve"> </w:t>
      </w:r>
      <w:r w:rsidRPr="00921AE1">
        <w:rPr>
          <w:rFonts w:ascii="Arial" w:hAnsi="Arial" w:cs="Arial"/>
          <w:lang w:val="es-ES"/>
        </w:rPr>
        <w:t>Convención de Viena sobre el Derecho de los Tratados, suscrita en Viena (Austria) el</w:t>
      </w:r>
      <w:r>
        <w:rPr>
          <w:rFonts w:ascii="Arial" w:hAnsi="Arial" w:cs="Arial"/>
          <w:lang w:val="es-ES"/>
        </w:rPr>
        <w:t xml:space="preserve"> 23 de mayo de 1969, principio </w:t>
      </w:r>
      <w:r w:rsidRPr="00003462">
        <w:rPr>
          <w:rFonts w:ascii="Arial" w:hAnsi="Arial" w:cs="Arial"/>
          <w:i/>
          <w:lang w:val="es-ES"/>
        </w:rPr>
        <w:t xml:space="preserve">Pacta </w:t>
      </w:r>
      <w:proofErr w:type="spellStart"/>
      <w:r w:rsidRPr="00003462">
        <w:rPr>
          <w:rFonts w:ascii="Arial" w:hAnsi="Arial" w:cs="Arial"/>
          <w:i/>
          <w:lang w:val="es-ES"/>
        </w:rPr>
        <w:t>sunt</w:t>
      </w:r>
      <w:proofErr w:type="spellEnd"/>
      <w:r w:rsidRPr="00003462">
        <w:rPr>
          <w:rFonts w:ascii="Arial" w:hAnsi="Arial" w:cs="Arial"/>
          <w:i/>
          <w:lang w:val="es-ES"/>
        </w:rPr>
        <w:t xml:space="preserve"> </w:t>
      </w:r>
      <w:proofErr w:type="spellStart"/>
      <w:r w:rsidRPr="00003462">
        <w:rPr>
          <w:rFonts w:ascii="Arial" w:hAnsi="Arial" w:cs="Arial"/>
          <w:i/>
          <w:lang w:val="es-ES"/>
        </w:rPr>
        <w:t>servanda</w:t>
      </w:r>
      <w:proofErr w:type="spellEnd"/>
      <w:r>
        <w:rPr>
          <w:rFonts w:ascii="Arial" w:hAnsi="Arial" w:cs="Arial"/>
          <w:i/>
          <w:lang w:val="es-ES"/>
        </w:rPr>
        <w:t xml:space="preserve"> </w:t>
      </w:r>
      <w:r>
        <w:rPr>
          <w:rFonts w:ascii="Arial" w:hAnsi="Arial" w:cs="Arial"/>
          <w:lang w:val="es-ES"/>
        </w:rPr>
        <w:t>establecido en el</w:t>
      </w:r>
      <w:r>
        <w:rPr>
          <w:rFonts w:ascii="Arial" w:hAnsi="Arial" w:cs="Arial"/>
          <w:i/>
          <w:lang w:val="es-ES"/>
        </w:rPr>
        <w:t xml:space="preserve"> </w:t>
      </w:r>
      <w:r>
        <w:rPr>
          <w:rFonts w:ascii="Arial" w:hAnsi="Arial" w:cs="Arial"/>
          <w:lang w:val="es-ES"/>
        </w:rPr>
        <w:t>artículo 26.</w:t>
      </w:r>
    </w:p>
  </w:footnote>
  <w:footnote w:id="29">
    <w:p w:rsidR="00205D3D" w:rsidRPr="002F24FA" w:rsidRDefault="00205D3D" w:rsidP="000261D1">
      <w:pPr>
        <w:pStyle w:val="Textonotapie"/>
        <w:jc w:val="both"/>
        <w:rPr>
          <w:rFonts w:ascii="Arial" w:hAnsi="Arial" w:cs="Arial"/>
          <w:lang w:val="es-ES"/>
        </w:rPr>
      </w:pPr>
      <w:r w:rsidRPr="002F24FA">
        <w:rPr>
          <w:rStyle w:val="Refdenotaalpie"/>
          <w:rFonts w:ascii="Arial" w:hAnsi="Arial" w:cs="Arial"/>
        </w:rPr>
        <w:footnoteRef/>
      </w:r>
      <w:r w:rsidRPr="002F24FA">
        <w:rPr>
          <w:rFonts w:ascii="Arial" w:hAnsi="Arial" w:cs="Arial"/>
          <w:lang w:val="es-ES"/>
        </w:rPr>
        <w:t xml:space="preserve"> </w:t>
      </w:r>
      <w:r>
        <w:rPr>
          <w:rFonts w:ascii="Arial" w:hAnsi="Arial" w:cs="Arial"/>
          <w:lang w:val="es-ES"/>
        </w:rPr>
        <w:t xml:space="preserve">Ver por ejemplo los casos de la Corte Interamericana de Derechos Humanos: </w:t>
      </w:r>
      <w:proofErr w:type="spellStart"/>
      <w:r w:rsidRPr="002F24FA">
        <w:rPr>
          <w:rFonts w:ascii="Arial" w:hAnsi="Arial" w:cs="Arial"/>
          <w:lang w:val="es-ES"/>
        </w:rPr>
        <w:t>Lori</w:t>
      </w:r>
      <w:proofErr w:type="spellEnd"/>
      <w:r w:rsidRPr="002F24FA">
        <w:rPr>
          <w:rFonts w:ascii="Arial" w:hAnsi="Arial" w:cs="Arial"/>
          <w:lang w:val="es-ES"/>
        </w:rPr>
        <w:t xml:space="preserve"> </w:t>
      </w:r>
      <w:proofErr w:type="spellStart"/>
      <w:r w:rsidRPr="002F24FA">
        <w:rPr>
          <w:rFonts w:ascii="Arial" w:hAnsi="Arial" w:cs="Arial"/>
          <w:lang w:val="es-ES"/>
        </w:rPr>
        <w:t>Berenson</w:t>
      </w:r>
      <w:proofErr w:type="spellEnd"/>
      <w:r w:rsidRPr="002F24FA">
        <w:rPr>
          <w:rFonts w:ascii="Arial" w:hAnsi="Arial" w:cs="Arial"/>
          <w:lang w:val="es-ES"/>
        </w:rPr>
        <w:t xml:space="preserve"> Mejía</w:t>
      </w:r>
      <w:r>
        <w:rPr>
          <w:rFonts w:ascii="Arial" w:hAnsi="Arial" w:cs="Arial"/>
          <w:lang w:val="es-ES"/>
        </w:rPr>
        <w:t xml:space="preserve"> Vs. Perú, párr. 230;</w:t>
      </w:r>
      <w:r w:rsidRPr="002F24FA">
        <w:rPr>
          <w:rFonts w:ascii="Arial" w:hAnsi="Arial" w:cs="Arial"/>
          <w:lang w:val="es-ES"/>
        </w:rPr>
        <w:t xml:space="preserve"> Carpio </w:t>
      </w:r>
      <w:proofErr w:type="spellStart"/>
      <w:r w:rsidRPr="002F24FA">
        <w:rPr>
          <w:rFonts w:ascii="Arial" w:hAnsi="Arial" w:cs="Arial"/>
          <w:lang w:val="es-ES"/>
        </w:rPr>
        <w:t>Nicolle</w:t>
      </w:r>
      <w:proofErr w:type="spellEnd"/>
      <w:r w:rsidRPr="002F24FA">
        <w:rPr>
          <w:rFonts w:ascii="Arial" w:hAnsi="Arial" w:cs="Arial"/>
          <w:lang w:val="es-ES"/>
        </w:rPr>
        <w:t xml:space="preserve"> y otros</w:t>
      </w:r>
      <w:r>
        <w:rPr>
          <w:rFonts w:ascii="Arial" w:hAnsi="Arial" w:cs="Arial"/>
          <w:lang w:val="es-ES"/>
        </w:rPr>
        <w:t xml:space="preserve"> Vs. Guatemala</w:t>
      </w:r>
      <w:r w:rsidRPr="002F24FA">
        <w:rPr>
          <w:rFonts w:ascii="Arial" w:hAnsi="Arial" w:cs="Arial"/>
          <w:lang w:val="es-ES"/>
        </w:rPr>
        <w:t>, párr. 85; De la Cruz Flores</w:t>
      </w:r>
      <w:r>
        <w:rPr>
          <w:rFonts w:ascii="Arial" w:hAnsi="Arial" w:cs="Arial"/>
          <w:lang w:val="es-ES"/>
        </w:rPr>
        <w:t xml:space="preserve"> Vs Perú</w:t>
      </w:r>
      <w:r w:rsidRPr="002F24FA">
        <w:rPr>
          <w:rFonts w:ascii="Arial" w:hAnsi="Arial" w:cs="Arial"/>
          <w:lang w:val="es-ES"/>
        </w:rPr>
        <w:t>, párr. 138</w:t>
      </w:r>
      <w:r>
        <w:rPr>
          <w:rFonts w:ascii="Arial" w:hAnsi="Arial" w:cs="Arial"/>
          <w:lang w:val="es-ES"/>
        </w:rPr>
        <w:t>.</w:t>
      </w:r>
    </w:p>
  </w:footnote>
  <w:footnote w:id="30">
    <w:p w:rsidR="00205D3D" w:rsidRPr="002F24FA" w:rsidRDefault="00205D3D" w:rsidP="007C5B44">
      <w:pPr>
        <w:pStyle w:val="Textonotapie"/>
        <w:jc w:val="both"/>
        <w:rPr>
          <w:lang w:val="es-ES"/>
        </w:rPr>
      </w:pPr>
      <w:r w:rsidRPr="002F24FA">
        <w:rPr>
          <w:rStyle w:val="Refdenotaalpie"/>
          <w:rFonts w:ascii="Arial" w:hAnsi="Arial" w:cs="Arial"/>
        </w:rPr>
        <w:footnoteRef/>
      </w:r>
      <w:r w:rsidRPr="002F24FA">
        <w:rPr>
          <w:rFonts w:ascii="Arial" w:hAnsi="Arial" w:cs="Arial"/>
          <w:lang w:val="es-ES"/>
        </w:rPr>
        <w:t xml:space="preserve"> </w:t>
      </w:r>
      <w:r>
        <w:rPr>
          <w:rFonts w:ascii="Arial" w:hAnsi="Arial" w:cs="Arial"/>
          <w:lang w:val="es-ES"/>
        </w:rPr>
        <w:t xml:space="preserve">Corte Interamericana de Derechos Humanos, </w:t>
      </w:r>
      <w:r w:rsidRPr="007C5B44">
        <w:rPr>
          <w:rFonts w:ascii="Arial" w:hAnsi="Arial" w:cs="Arial"/>
          <w:u w:val="single"/>
          <w:lang w:val="es-ES"/>
        </w:rPr>
        <w:t>Caso Masacre Plan de Sánchez Vs Guatemala</w:t>
      </w:r>
      <w:r w:rsidRPr="002F24FA">
        <w:rPr>
          <w:rFonts w:ascii="Arial" w:hAnsi="Arial" w:cs="Arial"/>
          <w:lang w:val="es-ES"/>
        </w:rPr>
        <w:t xml:space="preserve">, </w:t>
      </w:r>
      <w:r w:rsidRPr="007C5B44">
        <w:rPr>
          <w:rFonts w:ascii="Arial" w:hAnsi="Arial" w:cs="Arial"/>
          <w:lang w:val="es-ES"/>
        </w:rPr>
        <w:t>Sentencia de 19 de noviembre de 2004</w:t>
      </w:r>
      <w:r>
        <w:rPr>
          <w:rFonts w:ascii="Arial" w:hAnsi="Arial" w:cs="Arial"/>
          <w:lang w:val="es-ES"/>
        </w:rPr>
        <w:t>.</w:t>
      </w:r>
      <w:r w:rsidRPr="007C5B44">
        <w:rPr>
          <w:rFonts w:ascii="Arial" w:hAnsi="Arial" w:cs="Arial"/>
          <w:lang w:val="es-ES"/>
        </w:rPr>
        <w:t xml:space="preserve"> </w:t>
      </w:r>
      <w:r>
        <w:rPr>
          <w:rFonts w:ascii="Arial" w:hAnsi="Arial" w:cs="Arial"/>
          <w:lang w:val="es-ES"/>
        </w:rPr>
        <w:t>(</w:t>
      </w:r>
      <w:r w:rsidRPr="002F24FA">
        <w:rPr>
          <w:rFonts w:ascii="Arial" w:hAnsi="Arial" w:cs="Arial"/>
          <w:lang w:val="es-ES"/>
        </w:rPr>
        <w:t>Reparaciones</w:t>
      </w:r>
      <w:r>
        <w:rPr>
          <w:rFonts w:ascii="Arial" w:hAnsi="Arial" w:cs="Arial"/>
          <w:lang w:val="es-ES"/>
        </w:rPr>
        <w:t>)</w:t>
      </w:r>
      <w:r w:rsidRPr="002F24FA">
        <w:rPr>
          <w:rFonts w:ascii="Arial" w:hAnsi="Arial" w:cs="Arial"/>
          <w:lang w:val="es-ES"/>
        </w:rPr>
        <w:t>, párr. 52.</w:t>
      </w:r>
    </w:p>
  </w:footnote>
  <w:footnote w:id="31">
    <w:p w:rsidR="00205D3D" w:rsidRPr="002F24FA" w:rsidRDefault="00205D3D" w:rsidP="00D225AF">
      <w:pPr>
        <w:pStyle w:val="Body1"/>
        <w:jc w:val="both"/>
        <w:rPr>
          <w:rFonts w:ascii="Arial" w:eastAsia="Times New Roman" w:hAnsi="Arial" w:cs="Arial"/>
          <w:color w:val="auto"/>
          <w:sz w:val="20"/>
        </w:rPr>
      </w:pPr>
      <w:r w:rsidRPr="002F24FA">
        <w:rPr>
          <w:rFonts w:ascii="Arial" w:hAnsi="Arial" w:cs="Arial"/>
          <w:sz w:val="20"/>
          <w:vertAlign w:val="superscript"/>
        </w:rPr>
        <w:footnoteRef/>
      </w:r>
      <w:r w:rsidRPr="002F24FA">
        <w:rPr>
          <w:rFonts w:ascii="Arial" w:hAnsi="Arial" w:cs="Arial"/>
          <w:sz w:val="20"/>
        </w:rPr>
        <w:t xml:space="preserve"> Comisión de la Verdad y Reconciliación, </w:t>
      </w:r>
      <w:r w:rsidRPr="002F24FA">
        <w:rPr>
          <w:rFonts w:ascii="Arial" w:hAnsi="Arial" w:cs="Arial"/>
          <w:i/>
          <w:sz w:val="20"/>
        </w:rPr>
        <w:t xml:space="preserve">Un Plan Integral de Reparaciones, </w:t>
      </w:r>
      <w:r w:rsidRPr="002F24FA">
        <w:rPr>
          <w:rFonts w:ascii="Arial" w:hAnsi="Arial" w:cs="Arial"/>
          <w:sz w:val="20"/>
        </w:rPr>
        <w:t xml:space="preserve">Lima, Grupo del Plan Integral de Reparaciones.  </w:t>
      </w:r>
    </w:p>
  </w:footnote>
  <w:footnote w:id="32">
    <w:p w:rsidR="00205D3D" w:rsidRPr="004E529D" w:rsidRDefault="00205D3D">
      <w:pPr>
        <w:pStyle w:val="Textonotapie"/>
        <w:rPr>
          <w:lang w:val="es-ES"/>
        </w:rPr>
      </w:pPr>
      <w:r>
        <w:rPr>
          <w:rStyle w:val="Refdenotaalpie"/>
        </w:rPr>
        <w:footnoteRef/>
      </w:r>
      <w:r w:rsidRPr="004E529D">
        <w:rPr>
          <w:lang w:val="es-ES"/>
        </w:rPr>
        <w:t xml:space="preserve"> </w:t>
      </w:r>
      <w:r w:rsidRPr="004E529D">
        <w:rPr>
          <w:rFonts w:ascii="Arial" w:hAnsi="Arial" w:cs="Arial"/>
          <w:lang w:val="es-ES"/>
        </w:rPr>
        <w:t>Equipo de Salud Mental del Centro de Estudios legales y Sociales (CELS)</w:t>
      </w:r>
      <w:r>
        <w:rPr>
          <w:rFonts w:ascii="Arial" w:hAnsi="Arial" w:cs="Arial"/>
          <w:lang w:val="es-ES"/>
        </w:rPr>
        <w:t xml:space="preserve">, </w:t>
      </w:r>
      <w:proofErr w:type="spellStart"/>
      <w:r>
        <w:rPr>
          <w:rFonts w:ascii="Arial" w:hAnsi="Arial" w:cs="Arial"/>
          <w:lang w:val="es-ES"/>
        </w:rPr>
        <w:t>op</w:t>
      </w:r>
      <w:proofErr w:type="spellEnd"/>
      <w:r>
        <w:rPr>
          <w:rFonts w:ascii="Arial" w:hAnsi="Arial" w:cs="Arial"/>
          <w:lang w:val="es-ES"/>
        </w:rPr>
        <w:t>, cit. pp. 282, 283.</w:t>
      </w:r>
    </w:p>
  </w:footnote>
  <w:footnote w:id="33">
    <w:p w:rsidR="00205D3D" w:rsidRPr="002F24FA" w:rsidRDefault="00205D3D" w:rsidP="00194F30">
      <w:pPr>
        <w:pStyle w:val="Textonotapie"/>
        <w:jc w:val="both"/>
        <w:rPr>
          <w:rFonts w:ascii="Arial" w:hAnsi="Arial" w:cs="Arial"/>
          <w:lang w:val="es-ES"/>
        </w:rPr>
      </w:pPr>
      <w:r w:rsidRPr="002F24FA">
        <w:rPr>
          <w:rStyle w:val="Refdenotaalpie"/>
          <w:rFonts w:ascii="Arial" w:hAnsi="Arial" w:cs="Arial"/>
        </w:rPr>
        <w:footnoteRef/>
      </w:r>
      <w:r w:rsidRPr="002F24FA">
        <w:rPr>
          <w:rFonts w:ascii="Arial" w:hAnsi="Arial" w:cs="Arial"/>
          <w:lang w:val="es-ES"/>
        </w:rPr>
        <w:t xml:space="preserve"> Ver concepto de proyecto de vida del Juez Antonio Augusto </w:t>
      </w:r>
      <w:proofErr w:type="spellStart"/>
      <w:r w:rsidRPr="002F24FA">
        <w:rPr>
          <w:rFonts w:ascii="Arial" w:hAnsi="Arial" w:cs="Arial"/>
          <w:lang w:val="es-ES"/>
        </w:rPr>
        <w:t>Cançado</w:t>
      </w:r>
      <w:proofErr w:type="spellEnd"/>
      <w:r w:rsidRPr="002F24FA">
        <w:rPr>
          <w:rFonts w:ascii="Arial" w:hAnsi="Arial" w:cs="Arial"/>
          <w:lang w:val="es-ES"/>
        </w:rPr>
        <w:t xml:space="preserve"> </w:t>
      </w:r>
      <w:proofErr w:type="spellStart"/>
      <w:r w:rsidRPr="002F24FA">
        <w:rPr>
          <w:rFonts w:ascii="Arial" w:hAnsi="Arial" w:cs="Arial"/>
          <w:lang w:val="es-ES"/>
        </w:rPr>
        <w:t>Trindade</w:t>
      </w:r>
      <w:proofErr w:type="spellEnd"/>
      <w:r w:rsidRPr="002F24FA">
        <w:rPr>
          <w:rFonts w:ascii="Arial" w:hAnsi="Arial" w:cs="Arial"/>
          <w:lang w:val="es-ES"/>
        </w:rPr>
        <w:t>, en el voto razonado del caso Gutiérrez Soler vs. Colombia, párr. 3</w:t>
      </w:r>
      <w:r>
        <w:rPr>
          <w:rFonts w:ascii="Arial" w:hAnsi="Arial" w:cs="Arial"/>
          <w:lang w:val="es-ES"/>
        </w:rPr>
        <w:t>.</w:t>
      </w:r>
      <w:r w:rsidRPr="002F24FA">
        <w:rPr>
          <w:rFonts w:ascii="Arial" w:hAnsi="Arial" w:cs="Arial"/>
          <w:lang w:val="es-ES"/>
        </w:rPr>
        <w:t xml:space="preserve"> </w:t>
      </w:r>
    </w:p>
  </w:footnote>
  <w:footnote w:id="34">
    <w:p w:rsidR="00205D3D" w:rsidRPr="00833BED" w:rsidRDefault="00205D3D" w:rsidP="00DE10DC">
      <w:pPr>
        <w:pStyle w:val="Textonotapie"/>
        <w:jc w:val="both"/>
        <w:rPr>
          <w:rFonts w:ascii="Arial" w:hAnsi="Arial" w:cs="Arial"/>
          <w:lang w:val="es-ES"/>
        </w:rPr>
      </w:pPr>
      <w:r w:rsidRPr="00833BED">
        <w:rPr>
          <w:rStyle w:val="Refdenotaalpie"/>
          <w:rFonts w:ascii="Arial" w:hAnsi="Arial" w:cs="Arial"/>
        </w:rPr>
        <w:footnoteRef/>
      </w:r>
      <w:r w:rsidRPr="00833BED">
        <w:rPr>
          <w:rFonts w:ascii="Arial" w:hAnsi="Arial" w:cs="Arial"/>
          <w:lang w:val="es-ES"/>
        </w:rPr>
        <w:t xml:space="preserve"> Sergio García Ramírez,</w:t>
      </w:r>
      <w:r>
        <w:rPr>
          <w:rFonts w:ascii="Arial" w:hAnsi="Arial" w:cs="Arial"/>
          <w:lang w:val="es-ES"/>
        </w:rPr>
        <w:t xml:space="preserve"> </w:t>
      </w:r>
      <w:r>
        <w:rPr>
          <w:rFonts w:ascii="Arial" w:hAnsi="Arial" w:cs="Arial"/>
          <w:u w:val="single"/>
          <w:lang w:val="es-ES"/>
        </w:rPr>
        <w:t>Las Reparaciones en el Sistema Interamericano de Protección de los Derechos Humanos</w:t>
      </w:r>
      <w:r>
        <w:rPr>
          <w:rFonts w:ascii="Arial" w:hAnsi="Arial" w:cs="Arial"/>
          <w:lang w:val="es-ES"/>
        </w:rPr>
        <w:t>. San José,  Memoria del Seminario “El sistema interamericano de protección de los derechos humanos en el umbral dl siglo XXI, Corte IDH, 2001. pp. 150, 151.</w:t>
      </w:r>
      <w:r w:rsidRPr="00833BED">
        <w:rPr>
          <w:rFonts w:ascii="Arial" w:hAnsi="Arial" w:cs="Arial"/>
          <w:lang w:val="es-ES"/>
        </w:rPr>
        <w:t xml:space="preserve"> </w:t>
      </w:r>
    </w:p>
  </w:footnote>
  <w:footnote w:id="35">
    <w:p w:rsidR="00205D3D" w:rsidRPr="002F24FA" w:rsidRDefault="00205D3D" w:rsidP="00D225AF">
      <w:pPr>
        <w:pStyle w:val="Body1"/>
        <w:jc w:val="both"/>
        <w:rPr>
          <w:rFonts w:ascii="Arial" w:eastAsia="Times New Roman" w:hAnsi="Arial" w:cs="Arial"/>
          <w:color w:val="auto"/>
          <w:sz w:val="20"/>
        </w:rPr>
      </w:pPr>
      <w:r w:rsidRPr="002F24FA">
        <w:rPr>
          <w:rFonts w:ascii="Arial" w:hAnsi="Arial" w:cs="Arial"/>
          <w:sz w:val="20"/>
          <w:vertAlign w:val="superscript"/>
        </w:rPr>
        <w:footnoteRef/>
      </w:r>
      <w:r w:rsidRPr="002F24FA">
        <w:rPr>
          <w:rFonts w:ascii="Arial" w:hAnsi="Arial" w:cs="Arial"/>
          <w:sz w:val="20"/>
        </w:rPr>
        <w:t xml:space="preserve"> </w:t>
      </w:r>
      <w:r>
        <w:rPr>
          <w:rFonts w:ascii="Arial" w:hAnsi="Arial" w:cs="Arial"/>
          <w:sz w:val="20"/>
        </w:rPr>
        <w:t xml:space="preserve">Corte Interamericana de Derechos Humanos, </w:t>
      </w:r>
      <w:r w:rsidRPr="00E66712">
        <w:rPr>
          <w:rFonts w:ascii="Arial" w:hAnsi="Arial" w:cs="Arial"/>
          <w:sz w:val="20"/>
          <w:u w:val="single"/>
        </w:rPr>
        <w:t>Caso de la Cruz Flores Vs. Perú</w:t>
      </w:r>
      <w:r>
        <w:rPr>
          <w:rFonts w:ascii="Arial" w:hAnsi="Arial" w:cs="Arial"/>
          <w:sz w:val="20"/>
        </w:rPr>
        <w:t>, Sentencia de 18 de noviembre de 2004. (Fondo, Reparaciones y Costas),</w:t>
      </w:r>
      <w:r w:rsidRPr="002F24FA">
        <w:rPr>
          <w:rFonts w:ascii="Arial" w:hAnsi="Arial" w:cs="Arial"/>
          <w:sz w:val="20"/>
        </w:rPr>
        <w:t xml:space="preserve"> párr. 170.</w:t>
      </w:r>
    </w:p>
  </w:footnote>
  <w:footnote w:id="36">
    <w:p w:rsidR="00205D3D" w:rsidRPr="00887DAF" w:rsidRDefault="00205D3D" w:rsidP="00F6613F">
      <w:pPr>
        <w:pStyle w:val="Textonotapie"/>
        <w:jc w:val="both"/>
        <w:rPr>
          <w:rFonts w:ascii="Arial" w:hAnsi="Arial" w:cs="Arial"/>
          <w:lang w:val="es-ES"/>
        </w:rPr>
      </w:pPr>
      <w:r w:rsidRPr="00887DAF">
        <w:rPr>
          <w:rStyle w:val="Refdenotaalpie"/>
          <w:rFonts w:ascii="Arial" w:hAnsi="Arial" w:cs="Arial"/>
        </w:rPr>
        <w:footnoteRef/>
      </w:r>
      <w:r w:rsidRPr="00887DAF">
        <w:rPr>
          <w:rFonts w:ascii="Arial" w:hAnsi="Arial" w:cs="Arial"/>
          <w:lang w:val="es-ES"/>
        </w:rPr>
        <w:t xml:space="preserve"> Corte Interamericana de Derechos Humanos, </w:t>
      </w:r>
      <w:r w:rsidRPr="00887DAF">
        <w:rPr>
          <w:rFonts w:ascii="Arial" w:hAnsi="Arial" w:cs="Arial"/>
          <w:u w:val="single"/>
          <w:lang w:val="es-ES"/>
        </w:rPr>
        <w:t>Caso Gutiérrez Soler Vs. Colombia</w:t>
      </w:r>
      <w:r w:rsidRPr="00887DAF">
        <w:rPr>
          <w:rFonts w:ascii="Arial" w:hAnsi="Arial" w:cs="Arial"/>
          <w:lang w:val="es-ES"/>
        </w:rPr>
        <w:t>, Sentencia de 12 de Septiembre de 2005, párr.2</w:t>
      </w:r>
    </w:p>
  </w:footnote>
  <w:footnote w:id="37">
    <w:p w:rsidR="00205D3D" w:rsidRPr="00887DAF" w:rsidRDefault="00205D3D">
      <w:pPr>
        <w:pStyle w:val="Textonotapie"/>
        <w:rPr>
          <w:rFonts w:ascii="Arial" w:hAnsi="Arial" w:cs="Arial"/>
          <w:lang w:val="es-ES"/>
        </w:rPr>
      </w:pPr>
      <w:r w:rsidRPr="00887DAF">
        <w:rPr>
          <w:rStyle w:val="Refdenotaalpie"/>
          <w:rFonts w:ascii="Arial" w:hAnsi="Arial" w:cs="Arial"/>
        </w:rPr>
        <w:footnoteRef/>
      </w:r>
      <w:r w:rsidRPr="00887DAF">
        <w:rPr>
          <w:rFonts w:ascii="Arial" w:hAnsi="Arial" w:cs="Arial"/>
          <w:lang w:val="es-ES"/>
        </w:rPr>
        <w:t xml:space="preserve"> </w:t>
      </w:r>
      <w:proofErr w:type="spellStart"/>
      <w:r w:rsidRPr="00887DAF">
        <w:rPr>
          <w:rFonts w:ascii="Arial" w:hAnsi="Arial" w:cs="Arial"/>
          <w:lang w:val="es-ES"/>
        </w:rPr>
        <w:t>Ibid</w:t>
      </w:r>
      <w:proofErr w:type="spellEnd"/>
      <w:r w:rsidRPr="00887DAF">
        <w:rPr>
          <w:rFonts w:ascii="Arial" w:hAnsi="Arial" w:cs="Arial"/>
          <w:lang w:val="es-ES"/>
        </w:rPr>
        <w:t xml:space="preserve">., </w:t>
      </w:r>
      <w:proofErr w:type="spellStart"/>
      <w:r w:rsidRPr="00887DAF">
        <w:rPr>
          <w:rFonts w:ascii="Arial" w:hAnsi="Arial" w:cs="Arial"/>
          <w:lang w:val="es-ES"/>
        </w:rPr>
        <w:t>párr</w:t>
      </w:r>
      <w:proofErr w:type="spellEnd"/>
      <w:r w:rsidRPr="00887DAF">
        <w:rPr>
          <w:rFonts w:ascii="Arial" w:hAnsi="Arial" w:cs="Arial"/>
          <w:lang w:val="es-ES"/>
        </w:rPr>
        <w:t xml:space="preserve"> 42.</w:t>
      </w:r>
    </w:p>
  </w:footnote>
  <w:footnote w:id="38">
    <w:p w:rsidR="00205D3D" w:rsidRPr="00887DAF" w:rsidRDefault="00205D3D" w:rsidP="00D35A48">
      <w:pPr>
        <w:pStyle w:val="Textonotapie"/>
        <w:rPr>
          <w:rFonts w:ascii="Arial" w:hAnsi="Arial" w:cs="Arial"/>
          <w:lang w:val="es-ES"/>
        </w:rPr>
      </w:pPr>
      <w:r w:rsidRPr="00887DAF">
        <w:rPr>
          <w:rStyle w:val="Refdenotaalpie"/>
          <w:rFonts w:ascii="Arial" w:hAnsi="Arial" w:cs="Arial"/>
        </w:rPr>
        <w:footnoteRef/>
      </w:r>
      <w:r w:rsidRPr="00887DAF">
        <w:rPr>
          <w:rFonts w:ascii="Arial" w:hAnsi="Arial" w:cs="Arial"/>
          <w:lang w:val="es-ES"/>
        </w:rPr>
        <w:t xml:space="preserve"> </w:t>
      </w:r>
      <w:proofErr w:type="spellStart"/>
      <w:r w:rsidRPr="00887DAF">
        <w:rPr>
          <w:rFonts w:ascii="Arial" w:hAnsi="Arial" w:cs="Arial"/>
          <w:lang w:val="es-ES"/>
        </w:rPr>
        <w:t>Ibid</w:t>
      </w:r>
      <w:proofErr w:type="spellEnd"/>
      <w:r w:rsidRPr="00887DAF">
        <w:rPr>
          <w:rFonts w:ascii="Arial" w:hAnsi="Arial" w:cs="Arial"/>
          <w:lang w:val="es-ES"/>
        </w:rPr>
        <w:t>., párr. 89.</w:t>
      </w:r>
    </w:p>
  </w:footnote>
  <w:footnote w:id="39">
    <w:p w:rsidR="00205D3D" w:rsidRPr="005C384A" w:rsidRDefault="00205D3D" w:rsidP="00F6613F">
      <w:pPr>
        <w:pStyle w:val="Textonotapie"/>
        <w:jc w:val="both"/>
        <w:rPr>
          <w:rFonts w:ascii="Arial" w:hAnsi="Arial" w:cs="Arial"/>
          <w:lang w:val="es-ES"/>
        </w:rPr>
      </w:pPr>
      <w:r w:rsidRPr="005C384A">
        <w:rPr>
          <w:rStyle w:val="Refdenotaalpie"/>
          <w:rFonts w:ascii="Arial" w:hAnsi="Arial" w:cs="Arial"/>
        </w:rPr>
        <w:footnoteRef/>
      </w:r>
      <w:r w:rsidRPr="005C384A">
        <w:rPr>
          <w:rFonts w:ascii="Arial" w:hAnsi="Arial" w:cs="Arial"/>
          <w:lang w:val="es-ES"/>
        </w:rPr>
        <w:t xml:space="preserve"> Voto Razonado Concurrente del Juez Oliver </w:t>
      </w:r>
      <w:proofErr w:type="spellStart"/>
      <w:r w:rsidRPr="005C384A">
        <w:rPr>
          <w:rFonts w:ascii="Arial" w:hAnsi="Arial" w:cs="Arial"/>
          <w:lang w:val="es-ES"/>
        </w:rPr>
        <w:t>Jackman</w:t>
      </w:r>
      <w:proofErr w:type="spellEnd"/>
      <w:r w:rsidRPr="005C384A">
        <w:rPr>
          <w:rFonts w:ascii="Arial" w:hAnsi="Arial" w:cs="Arial"/>
          <w:lang w:val="es-ES"/>
        </w:rPr>
        <w:t xml:space="preserve"> en el caso Gutiérrez Soler Vs. Colombia, Sentencia de 12 de septiembre de 2005.</w:t>
      </w:r>
    </w:p>
  </w:footnote>
  <w:footnote w:id="40">
    <w:p w:rsidR="00205D3D" w:rsidRPr="00E4690D" w:rsidRDefault="00205D3D" w:rsidP="00E4690D">
      <w:pPr>
        <w:pStyle w:val="Textonotapie"/>
        <w:jc w:val="both"/>
        <w:rPr>
          <w:rFonts w:ascii="Arial" w:hAnsi="Arial" w:cs="Arial"/>
          <w:lang w:val="es-ES"/>
        </w:rPr>
      </w:pPr>
      <w:r w:rsidRPr="00E4690D">
        <w:rPr>
          <w:rStyle w:val="Refdenotaalpie"/>
          <w:rFonts w:ascii="Arial" w:hAnsi="Arial" w:cs="Arial"/>
        </w:rPr>
        <w:footnoteRef/>
      </w:r>
      <w:r w:rsidRPr="00E4690D">
        <w:rPr>
          <w:rFonts w:ascii="Arial" w:hAnsi="Arial" w:cs="Arial"/>
          <w:lang w:val="es-ES"/>
        </w:rPr>
        <w:t xml:space="preserve"> Corte Interamericana de Derechos Humanos, </w:t>
      </w:r>
      <w:r w:rsidRPr="00E4690D">
        <w:rPr>
          <w:rFonts w:ascii="Arial" w:hAnsi="Arial" w:cs="Arial"/>
          <w:u w:val="single"/>
          <w:lang w:val="es-ES"/>
        </w:rPr>
        <w:t xml:space="preserve">Caso </w:t>
      </w:r>
      <w:proofErr w:type="spellStart"/>
      <w:r w:rsidRPr="00E4690D">
        <w:rPr>
          <w:rFonts w:ascii="Arial" w:hAnsi="Arial" w:cs="Arial"/>
          <w:u w:val="single"/>
          <w:lang w:val="es-ES"/>
        </w:rPr>
        <w:t>Furlan</w:t>
      </w:r>
      <w:proofErr w:type="spellEnd"/>
      <w:r w:rsidRPr="00E4690D">
        <w:rPr>
          <w:rFonts w:ascii="Arial" w:hAnsi="Arial" w:cs="Arial"/>
          <w:u w:val="single"/>
          <w:lang w:val="es-ES"/>
        </w:rPr>
        <w:t xml:space="preserve"> y Familiares Vs. Argentina</w:t>
      </w:r>
      <w:r w:rsidRPr="00E4690D">
        <w:rPr>
          <w:rFonts w:ascii="Arial" w:hAnsi="Arial" w:cs="Arial"/>
          <w:lang w:val="es-ES"/>
        </w:rPr>
        <w:t>, Sentencia de 31 de Agosto de 2012. (Excepciones Preliminares, Fondo, Reparaciones y Costas), párr. 285.</w:t>
      </w:r>
    </w:p>
  </w:footnote>
  <w:footnote w:id="41">
    <w:p w:rsidR="00205D3D" w:rsidRPr="00E4690D" w:rsidRDefault="00205D3D" w:rsidP="00E4690D">
      <w:pPr>
        <w:pStyle w:val="Textonotapie"/>
        <w:jc w:val="both"/>
        <w:rPr>
          <w:rFonts w:ascii="Arial" w:hAnsi="Arial" w:cs="Arial"/>
          <w:lang w:val="es-ES"/>
        </w:rPr>
      </w:pPr>
      <w:r w:rsidRPr="00E4690D">
        <w:rPr>
          <w:rStyle w:val="Refdenotaalpie"/>
          <w:rFonts w:ascii="Arial" w:hAnsi="Arial" w:cs="Arial"/>
        </w:rPr>
        <w:footnoteRef/>
      </w:r>
      <w:r w:rsidRPr="00E4690D">
        <w:rPr>
          <w:rFonts w:ascii="Arial" w:hAnsi="Arial" w:cs="Arial"/>
          <w:lang w:val="es-ES"/>
        </w:rPr>
        <w:t xml:space="preserve"> Por ejemplo en los casos de la Corte Interamericana de Derechos Humanos; De la Masacre de las Dos Erres Vs. Guatemala, </w:t>
      </w:r>
      <w:proofErr w:type="spellStart"/>
      <w:r w:rsidRPr="00E4690D">
        <w:rPr>
          <w:rFonts w:ascii="Arial" w:hAnsi="Arial" w:cs="Arial"/>
          <w:lang w:val="es-ES"/>
        </w:rPr>
        <w:t>párrs</w:t>
      </w:r>
      <w:proofErr w:type="spellEnd"/>
      <w:r w:rsidRPr="00E4690D">
        <w:rPr>
          <w:rFonts w:ascii="Arial" w:hAnsi="Arial" w:cs="Arial"/>
          <w:lang w:val="es-ES"/>
        </w:rPr>
        <w:t xml:space="preserve">. 226, 284, 293; Caso Mejía </w:t>
      </w:r>
      <w:proofErr w:type="spellStart"/>
      <w:r w:rsidRPr="00E4690D">
        <w:rPr>
          <w:rFonts w:ascii="Arial" w:hAnsi="Arial" w:cs="Arial"/>
          <w:lang w:val="es-ES"/>
        </w:rPr>
        <w:t>Idrovo</w:t>
      </w:r>
      <w:proofErr w:type="spellEnd"/>
      <w:r w:rsidRPr="00E4690D">
        <w:rPr>
          <w:rFonts w:ascii="Arial" w:hAnsi="Arial" w:cs="Arial"/>
          <w:lang w:val="es-ES"/>
        </w:rPr>
        <w:t xml:space="preserve"> Vs. Ecuador, </w:t>
      </w:r>
      <w:proofErr w:type="spellStart"/>
      <w:r w:rsidRPr="00E4690D">
        <w:rPr>
          <w:rFonts w:ascii="Arial" w:hAnsi="Arial" w:cs="Arial"/>
          <w:lang w:val="es-ES"/>
        </w:rPr>
        <w:t>párrs</w:t>
      </w:r>
      <w:proofErr w:type="spellEnd"/>
      <w:r w:rsidRPr="00E4690D">
        <w:rPr>
          <w:rFonts w:ascii="Arial" w:hAnsi="Arial" w:cs="Arial"/>
          <w:lang w:val="es-ES"/>
        </w:rPr>
        <w:t>. 37, 134.</w:t>
      </w:r>
    </w:p>
  </w:footnote>
  <w:footnote w:id="42">
    <w:p w:rsidR="00205D3D" w:rsidRPr="00610343" w:rsidRDefault="00205D3D" w:rsidP="00610343">
      <w:pPr>
        <w:pStyle w:val="Textonotapie"/>
        <w:jc w:val="both"/>
        <w:rPr>
          <w:rFonts w:ascii="Arial" w:hAnsi="Arial" w:cs="Arial"/>
          <w:lang w:val="es-ES"/>
        </w:rPr>
      </w:pPr>
      <w:r w:rsidRPr="00610343">
        <w:rPr>
          <w:rStyle w:val="Refdenotaalpie"/>
          <w:rFonts w:ascii="Arial" w:hAnsi="Arial" w:cs="Arial"/>
        </w:rPr>
        <w:footnoteRef/>
      </w:r>
      <w:r w:rsidRPr="00610343">
        <w:rPr>
          <w:rFonts w:ascii="Arial" w:hAnsi="Arial" w:cs="Arial"/>
          <w:lang w:val="es-ES"/>
        </w:rPr>
        <w:t xml:space="preserve"> Viviana </w:t>
      </w:r>
      <w:proofErr w:type="spellStart"/>
      <w:r w:rsidRPr="00610343">
        <w:rPr>
          <w:rFonts w:ascii="Arial" w:hAnsi="Arial" w:cs="Arial"/>
          <w:lang w:val="es-ES"/>
        </w:rPr>
        <w:t>Krsticevic</w:t>
      </w:r>
      <w:proofErr w:type="spellEnd"/>
      <w:r w:rsidRPr="00610343">
        <w:rPr>
          <w:rFonts w:ascii="Arial" w:hAnsi="Arial" w:cs="Arial"/>
          <w:lang w:val="es-ES"/>
        </w:rPr>
        <w:t>. “Reflexiones sobre la ejecución de las decisiones del Sistema Interamericano de Protección de DDHH”, en Implementación de las decisiones del Sistema Interamericano de Derechos Humanos. San José, Centro por la Justicia y el Dere</w:t>
      </w:r>
      <w:r>
        <w:rPr>
          <w:rFonts w:ascii="Arial" w:hAnsi="Arial" w:cs="Arial"/>
          <w:lang w:val="es-ES"/>
        </w:rPr>
        <w:t>cho Internacional CEJIL, 2007. p. 27. Ampliar: Corte IDH, Caso Loayza Tamayo, Reparaciones, párr. 150.</w:t>
      </w:r>
    </w:p>
  </w:footnote>
  <w:footnote w:id="43">
    <w:p w:rsidR="00205D3D" w:rsidRPr="000D57C3" w:rsidRDefault="00205D3D" w:rsidP="000D57C3">
      <w:pPr>
        <w:pStyle w:val="Textonotapie"/>
        <w:jc w:val="both"/>
        <w:rPr>
          <w:rFonts w:ascii="Arial" w:hAnsi="Arial" w:cs="Arial"/>
          <w:lang w:val="es-ES"/>
        </w:rPr>
      </w:pPr>
      <w:r w:rsidRPr="000D57C3">
        <w:rPr>
          <w:rStyle w:val="Refdenotaalpie"/>
          <w:rFonts w:ascii="Arial" w:hAnsi="Arial" w:cs="Arial"/>
        </w:rPr>
        <w:footnoteRef/>
      </w:r>
      <w:r w:rsidRPr="000D57C3">
        <w:rPr>
          <w:rFonts w:ascii="Arial" w:hAnsi="Arial" w:cs="Arial"/>
          <w:lang w:val="es-ES"/>
        </w:rPr>
        <w:t xml:space="preserve"> Tatiana Rincón. </w:t>
      </w:r>
      <w:r w:rsidRPr="000D57C3">
        <w:rPr>
          <w:rFonts w:ascii="Arial" w:hAnsi="Arial" w:cs="Arial"/>
          <w:u w:val="single"/>
          <w:lang w:val="es-ES"/>
        </w:rPr>
        <w:t>Verdad, Justicia y reparación. La justicia de la justicia transicional</w:t>
      </w:r>
      <w:r w:rsidRPr="000D57C3">
        <w:rPr>
          <w:rFonts w:ascii="Arial" w:hAnsi="Arial" w:cs="Arial"/>
          <w:lang w:val="es-ES"/>
        </w:rPr>
        <w:t>, Bogotá, Ed. Universidad del Rosario, 2010. pp. 80, 81.</w:t>
      </w:r>
    </w:p>
  </w:footnote>
  <w:footnote w:id="44">
    <w:p w:rsidR="00205D3D" w:rsidRPr="000D57C3" w:rsidRDefault="00205D3D" w:rsidP="00D225AF">
      <w:pPr>
        <w:pStyle w:val="Body1"/>
        <w:jc w:val="both"/>
        <w:rPr>
          <w:rFonts w:ascii="Arial" w:eastAsia="Times New Roman" w:hAnsi="Arial" w:cs="Arial"/>
          <w:color w:val="auto"/>
          <w:sz w:val="20"/>
        </w:rPr>
      </w:pPr>
      <w:r w:rsidRPr="000D57C3">
        <w:rPr>
          <w:rFonts w:ascii="Arial" w:hAnsi="Arial" w:cs="Arial"/>
          <w:sz w:val="20"/>
          <w:vertAlign w:val="superscript"/>
        </w:rPr>
        <w:footnoteRef/>
      </w:r>
      <w:r w:rsidRPr="000D57C3">
        <w:rPr>
          <w:rFonts w:ascii="Arial" w:hAnsi="Arial" w:cs="Arial"/>
          <w:sz w:val="20"/>
        </w:rPr>
        <w:t xml:space="preserve"> Pablo Miguel </w:t>
      </w:r>
      <w:proofErr w:type="spellStart"/>
      <w:r w:rsidRPr="000D57C3">
        <w:rPr>
          <w:rFonts w:ascii="Arial" w:hAnsi="Arial" w:cs="Arial"/>
          <w:sz w:val="20"/>
        </w:rPr>
        <w:t>Jacoby</w:t>
      </w:r>
      <w:proofErr w:type="spellEnd"/>
      <w:r w:rsidRPr="000D57C3">
        <w:rPr>
          <w:rFonts w:ascii="Arial" w:hAnsi="Arial" w:cs="Arial"/>
          <w:sz w:val="20"/>
        </w:rPr>
        <w:t xml:space="preserve"> y Hernán Luis </w:t>
      </w:r>
      <w:proofErr w:type="spellStart"/>
      <w:r w:rsidRPr="000D57C3">
        <w:rPr>
          <w:rFonts w:ascii="Arial" w:hAnsi="Arial" w:cs="Arial"/>
          <w:sz w:val="20"/>
        </w:rPr>
        <w:t>Folgueiro</w:t>
      </w:r>
      <w:proofErr w:type="spellEnd"/>
      <w:r w:rsidRPr="000D57C3">
        <w:rPr>
          <w:rFonts w:ascii="Arial" w:hAnsi="Arial" w:cs="Arial"/>
          <w:sz w:val="20"/>
        </w:rPr>
        <w:t xml:space="preserve">, </w:t>
      </w:r>
      <w:r w:rsidRPr="000D57C3">
        <w:rPr>
          <w:rFonts w:ascii="Arial" w:hAnsi="Arial" w:cs="Arial"/>
          <w:sz w:val="20"/>
          <w:u w:val="single"/>
        </w:rPr>
        <w:t>La búsqueda de una reparación integral para las violaciones de derechos humanos</w:t>
      </w:r>
      <w:r w:rsidRPr="000D57C3">
        <w:rPr>
          <w:rFonts w:ascii="Arial" w:hAnsi="Arial" w:cs="Arial"/>
          <w:sz w:val="20"/>
        </w:rPr>
        <w:t>. Reflexiones a partir de caso Amia, Buenos Aires, Revista de derecho procesal Penal, Instituto de Ciencias Penales, 2007. p. 598.</w:t>
      </w:r>
    </w:p>
  </w:footnote>
  <w:footnote w:id="45">
    <w:p w:rsidR="00205D3D" w:rsidRPr="000D57C3" w:rsidRDefault="00205D3D" w:rsidP="000D57C3">
      <w:pPr>
        <w:pStyle w:val="Textonotapie"/>
        <w:jc w:val="both"/>
        <w:rPr>
          <w:rFonts w:ascii="Arial" w:hAnsi="Arial" w:cs="Arial"/>
          <w:lang w:val="es-ES"/>
        </w:rPr>
      </w:pPr>
      <w:r w:rsidRPr="000D57C3">
        <w:rPr>
          <w:rStyle w:val="Refdenotaalpie"/>
          <w:rFonts w:ascii="Arial" w:hAnsi="Arial" w:cs="Arial"/>
        </w:rPr>
        <w:footnoteRef/>
      </w:r>
      <w:r w:rsidRPr="000D57C3">
        <w:rPr>
          <w:rFonts w:ascii="Arial" w:hAnsi="Arial" w:cs="Arial"/>
          <w:lang w:val="es-ES"/>
        </w:rPr>
        <w:t xml:space="preserve"> </w:t>
      </w:r>
      <w:r>
        <w:rPr>
          <w:rFonts w:ascii="Arial" w:hAnsi="Arial" w:cs="Arial"/>
          <w:lang w:val="es-ES"/>
        </w:rPr>
        <w:t xml:space="preserve">Para ampliar el tema, leer a Carlos Martin </w:t>
      </w:r>
      <w:proofErr w:type="spellStart"/>
      <w:r w:rsidRPr="000D57C3">
        <w:rPr>
          <w:rFonts w:ascii="Arial" w:hAnsi="Arial" w:cs="Arial"/>
          <w:lang w:val="es-ES"/>
        </w:rPr>
        <w:t>Beristain</w:t>
      </w:r>
      <w:proofErr w:type="spellEnd"/>
      <w:r>
        <w:rPr>
          <w:rFonts w:ascii="Arial" w:hAnsi="Arial" w:cs="Arial"/>
          <w:lang w:val="es-ES"/>
        </w:rPr>
        <w:t>, “Manejo de la Condición de Víctima”, en</w:t>
      </w:r>
      <w:r w:rsidRPr="000D57C3">
        <w:rPr>
          <w:rFonts w:ascii="Arial" w:hAnsi="Arial" w:cs="Arial"/>
          <w:lang w:val="es-ES"/>
        </w:rPr>
        <w:t xml:space="preserve"> </w:t>
      </w:r>
      <w:r w:rsidRPr="000D57C3">
        <w:rPr>
          <w:rFonts w:ascii="Arial" w:hAnsi="Arial" w:cs="Arial"/>
          <w:u w:val="single"/>
          <w:lang w:val="es-ES"/>
        </w:rPr>
        <w:t>Diálogos sobre la reparación</w:t>
      </w:r>
      <w:r w:rsidRPr="000D57C3">
        <w:rPr>
          <w:rFonts w:ascii="Arial" w:hAnsi="Arial" w:cs="Arial"/>
          <w:lang w:val="es-ES"/>
        </w:rPr>
        <w:t xml:space="preserve">, Qué reparar en los casos de violaciones de derechos humanos, serie justicia y derechos humanos, </w:t>
      </w:r>
      <w:proofErr w:type="spellStart"/>
      <w:r w:rsidRPr="000D57C3">
        <w:rPr>
          <w:rFonts w:ascii="Arial" w:hAnsi="Arial" w:cs="Arial"/>
          <w:lang w:val="es-ES"/>
        </w:rPr>
        <w:t>neoconstiticionalismo</w:t>
      </w:r>
      <w:proofErr w:type="spellEnd"/>
      <w:r w:rsidRPr="000D57C3">
        <w:rPr>
          <w:rFonts w:ascii="Arial" w:hAnsi="Arial" w:cs="Arial"/>
          <w:lang w:val="es-ES"/>
        </w:rPr>
        <w:t xml:space="preserve"> y sociedad, Ministerio de Justicia y Derechos Humanos, Quito, 2009.</w:t>
      </w:r>
      <w:r>
        <w:rPr>
          <w:rFonts w:ascii="Arial" w:hAnsi="Arial" w:cs="Arial"/>
          <w:lang w:val="es-ES"/>
        </w:rPr>
        <w:t xml:space="preserve"> pp. 18, 19 y siguientes.</w:t>
      </w:r>
    </w:p>
  </w:footnote>
  <w:footnote w:id="46">
    <w:p w:rsidR="00205D3D" w:rsidRPr="000D57C3" w:rsidRDefault="00205D3D" w:rsidP="00D225AF">
      <w:pPr>
        <w:pStyle w:val="Body1"/>
        <w:jc w:val="both"/>
        <w:rPr>
          <w:rFonts w:ascii="Arial" w:eastAsia="Times New Roman" w:hAnsi="Arial" w:cs="Arial"/>
          <w:color w:val="auto"/>
          <w:sz w:val="20"/>
        </w:rPr>
      </w:pPr>
      <w:r w:rsidRPr="000D57C3">
        <w:rPr>
          <w:rFonts w:ascii="Arial" w:hAnsi="Arial" w:cs="Arial"/>
          <w:sz w:val="20"/>
          <w:vertAlign w:val="superscript"/>
        </w:rPr>
        <w:footnoteRef/>
      </w:r>
      <w:r w:rsidRPr="000D57C3">
        <w:rPr>
          <w:rFonts w:ascii="Arial" w:hAnsi="Arial" w:cs="Arial"/>
          <w:sz w:val="20"/>
        </w:rPr>
        <w:t xml:space="preserve"> Reglamento de la Corte Interamericana de Derechos Humanos, aprobado en su LXXXV Período Ordinario de Sesiones celebrado del 16 al 28 de noviembre del 2009</w:t>
      </w:r>
    </w:p>
  </w:footnote>
  <w:footnote w:id="47">
    <w:p w:rsidR="00205D3D" w:rsidRPr="00404AFD" w:rsidRDefault="00205D3D" w:rsidP="00064C67">
      <w:pPr>
        <w:pStyle w:val="Body1"/>
        <w:jc w:val="both"/>
        <w:rPr>
          <w:rFonts w:ascii="Arial" w:hAnsi="Arial" w:cs="Arial"/>
          <w:sz w:val="20"/>
        </w:rPr>
      </w:pPr>
      <w:r w:rsidRPr="00404AFD">
        <w:rPr>
          <w:rFonts w:ascii="Arial" w:hAnsi="Arial" w:cs="Arial"/>
          <w:sz w:val="20"/>
          <w:vertAlign w:val="superscript"/>
        </w:rPr>
        <w:footnoteRef/>
      </w:r>
      <w:r w:rsidRPr="00404AFD">
        <w:rPr>
          <w:rFonts w:ascii="Arial" w:hAnsi="Arial" w:cs="Arial"/>
          <w:sz w:val="20"/>
        </w:rPr>
        <w:t xml:space="preserve"> Naciones Unidas, Consejo Económico y Social, Comisión de Derechos Humanos, E/CN.4/Sub.2/1996/17, </w:t>
      </w:r>
      <w:r w:rsidRPr="00404AFD">
        <w:rPr>
          <w:rFonts w:ascii="Arial" w:hAnsi="Arial" w:cs="Arial"/>
          <w:sz w:val="20"/>
          <w:u w:val="single"/>
        </w:rPr>
        <w:t>Serie revisada de principios y directrices sobre el derecho de las víctimas de violaciones graves a los derechos humanos y al derecho humanitario a obtener reparación</w:t>
      </w:r>
      <w:r w:rsidRPr="00404AFD">
        <w:rPr>
          <w:rFonts w:ascii="Arial" w:hAnsi="Arial" w:cs="Arial"/>
          <w:sz w:val="20"/>
        </w:rPr>
        <w:t xml:space="preserve">, preparada por el Sr. </w:t>
      </w:r>
      <w:proofErr w:type="spellStart"/>
      <w:r w:rsidRPr="00404AFD">
        <w:rPr>
          <w:rFonts w:ascii="Arial" w:hAnsi="Arial" w:cs="Arial"/>
          <w:sz w:val="20"/>
        </w:rPr>
        <w:t>Theo</w:t>
      </w:r>
      <w:proofErr w:type="spellEnd"/>
      <w:r w:rsidRPr="00404AFD">
        <w:rPr>
          <w:rFonts w:ascii="Arial" w:hAnsi="Arial" w:cs="Arial"/>
          <w:sz w:val="20"/>
        </w:rPr>
        <w:t xml:space="preserve"> van </w:t>
      </w:r>
      <w:proofErr w:type="spellStart"/>
      <w:r w:rsidRPr="00404AFD">
        <w:rPr>
          <w:rFonts w:ascii="Arial" w:hAnsi="Arial" w:cs="Arial"/>
          <w:sz w:val="20"/>
        </w:rPr>
        <w:t>Boven</w:t>
      </w:r>
      <w:proofErr w:type="spellEnd"/>
      <w:r w:rsidRPr="00404AFD">
        <w:rPr>
          <w:rFonts w:ascii="Arial" w:hAnsi="Arial" w:cs="Arial"/>
          <w:sz w:val="20"/>
        </w:rPr>
        <w:t xml:space="preserve"> de conformidad con la decisión 1995/117 de la Subcomisión de Prevención de  Discriminaciones y Protección a las Minorías, 24 de mayo de 1996.</w:t>
      </w:r>
    </w:p>
  </w:footnote>
  <w:footnote w:id="48">
    <w:p w:rsidR="00205D3D" w:rsidRPr="00404AFD" w:rsidRDefault="00205D3D" w:rsidP="00F231BB">
      <w:pPr>
        <w:pStyle w:val="Textonotapie"/>
        <w:jc w:val="both"/>
        <w:rPr>
          <w:rFonts w:ascii="Arial" w:hAnsi="Arial" w:cs="Arial"/>
          <w:u w:val="single"/>
          <w:lang w:val="es-ES"/>
        </w:rPr>
      </w:pPr>
      <w:r w:rsidRPr="00404AFD">
        <w:rPr>
          <w:rStyle w:val="Refdenotaalpie"/>
          <w:rFonts w:ascii="Arial" w:hAnsi="Arial" w:cs="Arial"/>
        </w:rPr>
        <w:footnoteRef/>
      </w:r>
      <w:r w:rsidRPr="00404AFD">
        <w:rPr>
          <w:rFonts w:ascii="Arial" w:hAnsi="Arial" w:cs="Arial"/>
          <w:lang w:val="es-ES"/>
        </w:rPr>
        <w:t xml:space="preserve"> Francisco Cortés Rodas. “Entre el perdón y la justicia: Reflexiones en torno a los límites y contradicciones de la justicia transicional”, en Camila de Gamboa Tapias (editora). </w:t>
      </w:r>
      <w:r w:rsidRPr="00404AFD">
        <w:rPr>
          <w:rFonts w:ascii="Arial" w:hAnsi="Arial" w:cs="Arial"/>
          <w:u w:val="single"/>
          <w:lang w:val="es-ES"/>
        </w:rPr>
        <w:t xml:space="preserve">Justicia Transicional, </w:t>
      </w:r>
      <w:proofErr w:type="spellStart"/>
      <w:r w:rsidRPr="00404AFD">
        <w:rPr>
          <w:rFonts w:ascii="Arial" w:hAnsi="Arial" w:cs="Arial"/>
          <w:u w:val="single"/>
          <w:lang w:val="es-ES"/>
        </w:rPr>
        <w:t>Teoria</w:t>
      </w:r>
      <w:proofErr w:type="spellEnd"/>
      <w:r w:rsidRPr="00404AFD">
        <w:rPr>
          <w:rFonts w:ascii="Arial" w:hAnsi="Arial" w:cs="Arial"/>
          <w:u w:val="single"/>
          <w:lang w:val="es-ES"/>
        </w:rPr>
        <w:t xml:space="preserve"> y Praxis</w:t>
      </w:r>
      <w:r w:rsidRPr="00404AFD">
        <w:rPr>
          <w:rFonts w:ascii="Arial" w:hAnsi="Arial" w:cs="Arial"/>
          <w:lang w:val="es-ES"/>
        </w:rPr>
        <w:t>. Bogotá, Editorial Universidad del Rosario, 2006. pp. 94, 95.</w:t>
      </w:r>
    </w:p>
  </w:footnote>
  <w:footnote w:id="49">
    <w:p w:rsidR="00205D3D" w:rsidRPr="00404AFD" w:rsidRDefault="00205D3D">
      <w:pPr>
        <w:pStyle w:val="Textonotapie"/>
        <w:rPr>
          <w:rFonts w:ascii="Arial" w:hAnsi="Arial" w:cs="Arial"/>
          <w:lang w:val="es-ES"/>
        </w:rPr>
      </w:pPr>
      <w:r w:rsidRPr="00404AFD">
        <w:rPr>
          <w:rStyle w:val="Refdenotaalpie"/>
          <w:rFonts w:ascii="Arial" w:hAnsi="Arial" w:cs="Arial"/>
        </w:rPr>
        <w:footnoteRef/>
      </w:r>
      <w:r w:rsidRPr="00404AFD">
        <w:rPr>
          <w:rFonts w:ascii="Arial" w:hAnsi="Arial" w:cs="Arial"/>
          <w:lang w:val="es-ES"/>
        </w:rPr>
        <w:t xml:space="preserve"> </w:t>
      </w:r>
      <w:proofErr w:type="spellStart"/>
      <w:r w:rsidRPr="00404AFD">
        <w:rPr>
          <w:rFonts w:ascii="Arial" w:hAnsi="Arial" w:cs="Arial"/>
          <w:lang w:val="es-ES"/>
        </w:rPr>
        <w:t>Ibid</w:t>
      </w:r>
      <w:proofErr w:type="spellEnd"/>
      <w:r w:rsidRPr="00404AFD">
        <w:rPr>
          <w:rFonts w:ascii="Arial" w:hAnsi="Arial" w:cs="Arial"/>
          <w:lang w:val="es-ES"/>
        </w:rPr>
        <w:t>.,</w:t>
      </w:r>
      <w:r>
        <w:rPr>
          <w:rFonts w:ascii="Arial" w:hAnsi="Arial" w:cs="Arial"/>
          <w:lang w:val="es-ES"/>
        </w:rPr>
        <w:t xml:space="preserve"> p. 96.</w:t>
      </w:r>
    </w:p>
  </w:footnote>
  <w:footnote w:id="50">
    <w:p w:rsidR="00205D3D" w:rsidRPr="00AE0FB8" w:rsidRDefault="00205D3D" w:rsidP="00D225AF">
      <w:pPr>
        <w:pStyle w:val="Body1"/>
        <w:jc w:val="both"/>
        <w:rPr>
          <w:rFonts w:ascii="Arial" w:eastAsia="Times New Roman" w:hAnsi="Arial" w:cs="Arial"/>
          <w:color w:val="auto"/>
          <w:sz w:val="20"/>
        </w:rPr>
      </w:pPr>
      <w:r w:rsidRPr="00AE0FB8">
        <w:rPr>
          <w:rFonts w:ascii="Arial" w:hAnsi="Arial" w:cs="Arial"/>
          <w:sz w:val="20"/>
          <w:vertAlign w:val="superscript"/>
        </w:rPr>
        <w:footnoteRef/>
      </w:r>
      <w:r w:rsidRPr="00AE0FB8">
        <w:rPr>
          <w:rFonts w:ascii="Arial" w:hAnsi="Arial" w:cs="Arial"/>
          <w:sz w:val="20"/>
        </w:rPr>
        <w:t xml:space="preserve"> Tomas Valladolid Bueno. "Los derechos de las víctimas", en José Mardones y Reyes Mate (Eds.), </w:t>
      </w:r>
      <w:r w:rsidRPr="00AE0FB8">
        <w:rPr>
          <w:rFonts w:ascii="Arial" w:hAnsi="Arial" w:cs="Arial"/>
          <w:sz w:val="20"/>
          <w:u w:val="single"/>
        </w:rPr>
        <w:t>La ética ante las víctimas</w:t>
      </w:r>
      <w:r w:rsidRPr="00AE0FB8">
        <w:rPr>
          <w:rFonts w:ascii="Arial" w:hAnsi="Arial" w:cs="Arial"/>
          <w:i/>
          <w:sz w:val="20"/>
        </w:rPr>
        <w:t xml:space="preserve">, </w:t>
      </w:r>
      <w:r w:rsidRPr="00AE0FB8">
        <w:rPr>
          <w:rFonts w:ascii="Arial" w:hAnsi="Arial" w:cs="Arial"/>
          <w:sz w:val="20"/>
        </w:rPr>
        <w:t xml:space="preserve">Barcelona, </w:t>
      </w:r>
      <w:proofErr w:type="spellStart"/>
      <w:r w:rsidRPr="00AE0FB8">
        <w:rPr>
          <w:rFonts w:ascii="Arial" w:hAnsi="Arial" w:cs="Arial"/>
          <w:sz w:val="20"/>
        </w:rPr>
        <w:t>Anthropos</w:t>
      </w:r>
      <w:proofErr w:type="spellEnd"/>
      <w:r w:rsidRPr="00AE0FB8">
        <w:rPr>
          <w:rFonts w:ascii="Arial" w:hAnsi="Arial" w:cs="Arial"/>
          <w:sz w:val="20"/>
        </w:rPr>
        <w:t xml:space="preserve"> Editorial, 2003.   </w:t>
      </w:r>
    </w:p>
  </w:footnote>
  <w:footnote w:id="51">
    <w:p w:rsidR="00205D3D" w:rsidRPr="00AE0FB8" w:rsidRDefault="00205D3D" w:rsidP="00D225AF">
      <w:pPr>
        <w:pStyle w:val="Body1"/>
        <w:jc w:val="both"/>
        <w:rPr>
          <w:rFonts w:ascii="Arial" w:eastAsia="Times New Roman" w:hAnsi="Arial" w:cs="Arial"/>
          <w:color w:val="auto"/>
          <w:sz w:val="20"/>
        </w:rPr>
      </w:pPr>
      <w:r w:rsidRPr="00AE0FB8">
        <w:rPr>
          <w:rFonts w:ascii="Arial" w:hAnsi="Arial" w:cs="Arial"/>
          <w:sz w:val="20"/>
          <w:vertAlign w:val="superscript"/>
        </w:rPr>
        <w:footnoteRef/>
      </w:r>
      <w:r w:rsidRPr="00AE0FB8">
        <w:rPr>
          <w:rFonts w:ascii="Arial" w:hAnsi="Arial" w:cs="Arial"/>
          <w:sz w:val="20"/>
        </w:rPr>
        <w:t xml:space="preserve"> Alicia </w:t>
      </w:r>
      <w:proofErr w:type="spellStart"/>
      <w:r w:rsidRPr="00AE0FB8">
        <w:rPr>
          <w:rFonts w:ascii="Arial" w:hAnsi="Arial" w:cs="Arial"/>
          <w:sz w:val="20"/>
        </w:rPr>
        <w:t>Neuburger</w:t>
      </w:r>
      <w:proofErr w:type="spellEnd"/>
      <w:r w:rsidRPr="00AE0FB8">
        <w:rPr>
          <w:rFonts w:ascii="Arial" w:hAnsi="Arial" w:cs="Arial"/>
          <w:sz w:val="20"/>
        </w:rPr>
        <w:t xml:space="preserve"> y Víctor Rodríguez </w:t>
      </w:r>
      <w:proofErr w:type="spellStart"/>
      <w:r w:rsidRPr="00AE0FB8">
        <w:rPr>
          <w:rFonts w:ascii="Arial" w:hAnsi="Arial" w:cs="Arial"/>
          <w:sz w:val="20"/>
        </w:rPr>
        <w:t>Rescia</w:t>
      </w:r>
      <w:proofErr w:type="spellEnd"/>
      <w:r w:rsidRPr="00AE0FB8">
        <w:rPr>
          <w:rFonts w:ascii="Arial" w:hAnsi="Arial" w:cs="Arial"/>
          <w:sz w:val="20"/>
        </w:rPr>
        <w:t xml:space="preserve">, artículo que forma parte de la publicación </w:t>
      </w:r>
      <w:r w:rsidRPr="00AE0FB8">
        <w:rPr>
          <w:rFonts w:ascii="Arial" w:hAnsi="Arial" w:cs="Arial"/>
          <w:sz w:val="20"/>
          <w:u w:val="single"/>
        </w:rPr>
        <w:t>Atención integral a víctimas de tortura en procesos de litigio, aportes psicosociales</w:t>
      </w:r>
      <w:r w:rsidRPr="00AE0FB8">
        <w:rPr>
          <w:rFonts w:ascii="Arial" w:hAnsi="Arial" w:cs="Arial"/>
          <w:i/>
          <w:sz w:val="20"/>
        </w:rPr>
        <w:t xml:space="preserve">, </w:t>
      </w:r>
      <w:r w:rsidRPr="00AE0FB8">
        <w:rPr>
          <w:rFonts w:ascii="Arial" w:hAnsi="Arial" w:cs="Arial"/>
          <w:sz w:val="20"/>
        </w:rPr>
        <w:t>San José Costa Rica Instituto Interamericano de Derechos Humanos, 2007. p. 35.</w:t>
      </w:r>
    </w:p>
  </w:footnote>
  <w:footnote w:id="52">
    <w:p w:rsidR="00205D3D" w:rsidRPr="00AE0FB8" w:rsidRDefault="00205D3D" w:rsidP="00AE0FB8">
      <w:pPr>
        <w:pStyle w:val="Textonotapie"/>
        <w:jc w:val="both"/>
        <w:rPr>
          <w:rFonts w:ascii="Arial" w:hAnsi="Arial" w:cs="Arial"/>
          <w:lang w:val="es-ES"/>
        </w:rPr>
      </w:pPr>
      <w:r w:rsidRPr="00AE0FB8">
        <w:rPr>
          <w:rStyle w:val="Refdenotaalpie"/>
          <w:rFonts w:ascii="Arial" w:hAnsi="Arial" w:cs="Arial"/>
        </w:rPr>
        <w:footnoteRef/>
      </w:r>
      <w:r w:rsidRPr="00AE0FB8">
        <w:rPr>
          <w:rFonts w:ascii="Arial" w:hAnsi="Arial" w:cs="Arial"/>
          <w:lang w:val="es-ES"/>
        </w:rPr>
        <w:t xml:space="preserve"> Carlos Martin </w:t>
      </w:r>
      <w:proofErr w:type="spellStart"/>
      <w:r w:rsidRPr="00AE0FB8">
        <w:rPr>
          <w:rFonts w:ascii="Arial" w:hAnsi="Arial" w:cs="Arial"/>
          <w:lang w:val="es-ES"/>
        </w:rPr>
        <w:t>Beristain</w:t>
      </w:r>
      <w:proofErr w:type="spellEnd"/>
      <w:r>
        <w:rPr>
          <w:rFonts w:ascii="Arial" w:hAnsi="Arial" w:cs="Arial"/>
          <w:lang w:val="es-ES"/>
        </w:rPr>
        <w:t xml:space="preserve">, </w:t>
      </w:r>
      <w:r w:rsidRPr="00AE0FB8">
        <w:rPr>
          <w:rFonts w:ascii="Arial" w:hAnsi="Arial" w:cs="Arial"/>
          <w:u w:val="single"/>
          <w:lang w:val="es-ES"/>
        </w:rPr>
        <w:t xml:space="preserve"> Diálogos sobre la reparación</w:t>
      </w:r>
      <w:r w:rsidRPr="00AE0FB8">
        <w:rPr>
          <w:rFonts w:ascii="Arial" w:hAnsi="Arial" w:cs="Arial"/>
          <w:lang w:val="es-ES"/>
        </w:rPr>
        <w:t xml:space="preserve">, Qué reparar en los casos de violaciones de derechos humanos, serie justicia y derechos humanos, </w:t>
      </w:r>
      <w:proofErr w:type="spellStart"/>
      <w:r w:rsidRPr="00AE0FB8">
        <w:rPr>
          <w:rFonts w:ascii="Arial" w:hAnsi="Arial" w:cs="Arial"/>
          <w:lang w:val="es-ES"/>
        </w:rPr>
        <w:t>neoconstiticionalismo</w:t>
      </w:r>
      <w:proofErr w:type="spellEnd"/>
      <w:r w:rsidRPr="00AE0FB8">
        <w:rPr>
          <w:rFonts w:ascii="Arial" w:hAnsi="Arial" w:cs="Arial"/>
          <w:lang w:val="es-ES"/>
        </w:rPr>
        <w:t xml:space="preserve"> y sociedad, Ministerio de Justicia y D</w:t>
      </w:r>
      <w:r>
        <w:rPr>
          <w:rFonts w:ascii="Arial" w:hAnsi="Arial" w:cs="Arial"/>
          <w:lang w:val="es-ES"/>
        </w:rPr>
        <w:t>erechos Humanos, Quito, 2009. p. 15.</w:t>
      </w:r>
    </w:p>
  </w:footnote>
  <w:footnote w:id="53">
    <w:p w:rsidR="00205D3D" w:rsidRPr="002F24FA" w:rsidRDefault="00205D3D" w:rsidP="00490381">
      <w:pPr>
        <w:pStyle w:val="Textonotapie"/>
        <w:jc w:val="both"/>
        <w:rPr>
          <w:rFonts w:ascii="Arial" w:hAnsi="Arial" w:cs="Arial"/>
          <w:lang w:val="es-ES"/>
        </w:rPr>
      </w:pPr>
      <w:r w:rsidRPr="002F24FA">
        <w:rPr>
          <w:rStyle w:val="Refdenotaalpie"/>
          <w:rFonts w:ascii="Arial" w:hAnsi="Arial" w:cs="Arial"/>
        </w:rPr>
        <w:footnoteRef/>
      </w:r>
      <w:r w:rsidRPr="002F24FA">
        <w:rPr>
          <w:rFonts w:ascii="Arial" w:hAnsi="Arial" w:cs="Arial"/>
          <w:lang w:val="es-ES"/>
        </w:rPr>
        <w:t xml:space="preserve"> Estatuto de la Corte Interamericana de Derechos Humanos, Aprobado mediante Resolución N° 448 adoptada por la Asamblea General de la OEA en su noveno período de sesiones,  celebrado en La Paz, Bolivia, octubre de 1979.</w:t>
      </w:r>
    </w:p>
  </w:footnote>
  <w:footnote w:id="54">
    <w:p w:rsidR="00205D3D" w:rsidRPr="00CB1790" w:rsidRDefault="00205D3D" w:rsidP="00EF7DBE">
      <w:pPr>
        <w:pStyle w:val="Textonotapie"/>
        <w:jc w:val="both"/>
        <w:rPr>
          <w:rFonts w:ascii="Arial" w:hAnsi="Arial" w:cs="Arial"/>
          <w:sz w:val="18"/>
          <w:szCs w:val="18"/>
          <w:lang w:val="es-ES"/>
        </w:rPr>
      </w:pPr>
      <w:r w:rsidRPr="00CB1790">
        <w:rPr>
          <w:rStyle w:val="Refdenotaalpie"/>
          <w:rFonts w:ascii="Arial" w:hAnsi="Arial" w:cs="Arial"/>
          <w:sz w:val="18"/>
          <w:szCs w:val="18"/>
        </w:rPr>
        <w:footnoteRef/>
      </w:r>
      <w:r w:rsidRPr="00CB1790">
        <w:rPr>
          <w:rFonts w:ascii="Arial" w:hAnsi="Arial" w:cs="Arial"/>
          <w:sz w:val="18"/>
          <w:szCs w:val="18"/>
          <w:lang w:val="es-ES"/>
        </w:rPr>
        <w:t xml:space="preserve"> </w:t>
      </w:r>
      <w:r>
        <w:rPr>
          <w:rFonts w:ascii="Arial" w:hAnsi="Arial" w:cs="Arial"/>
          <w:sz w:val="18"/>
          <w:szCs w:val="18"/>
          <w:lang w:val="es-ES"/>
        </w:rPr>
        <w:t xml:space="preserve">Corte Interamericana de Derechos Humanos, </w:t>
      </w:r>
      <w:r w:rsidRPr="00EF7DBE">
        <w:rPr>
          <w:rFonts w:ascii="Arial" w:hAnsi="Arial" w:cs="Arial"/>
          <w:sz w:val="18"/>
          <w:szCs w:val="18"/>
          <w:u w:val="single"/>
          <w:lang w:val="es-ES"/>
        </w:rPr>
        <w:t>Caso Velásquez Rodríguez Vs. Honduras</w:t>
      </w:r>
      <w:r>
        <w:rPr>
          <w:rFonts w:ascii="Arial" w:hAnsi="Arial" w:cs="Arial"/>
          <w:sz w:val="18"/>
          <w:szCs w:val="18"/>
          <w:lang w:val="es-ES"/>
        </w:rPr>
        <w:t>,</w:t>
      </w:r>
      <w:r w:rsidRPr="00CB1790">
        <w:rPr>
          <w:rFonts w:ascii="Arial" w:hAnsi="Arial" w:cs="Arial"/>
          <w:sz w:val="18"/>
          <w:szCs w:val="18"/>
          <w:lang w:val="es-ES"/>
        </w:rPr>
        <w:t xml:space="preserve"> Sentencia de 21 de Julio de 1989</w:t>
      </w:r>
      <w:r>
        <w:rPr>
          <w:rFonts w:ascii="Arial" w:hAnsi="Arial" w:cs="Arial"/>
          <w:sz w:val="18"/>
          <w:szCs w:val="18"/>
          <w:lang w:val="es-ES"/>
        </w:rPr>
        <w:t>.</w:t>
      </w:r>
      <w:r w:rsidRPr="00CB1790">
        <w:rPr>
          <w:rFonts w:ascii="Arial" w:hAnsi="Arial" w:cs="Arial"/>
          <w:sz w:val="18"/>
          <w:szCs w:val="18"/>
          <w:lang w:val="es-ES"/>
        </w:rPr>
        <w:t xml:space="preserve"> </w:t>
      </w:r>
      <w:r>
        <w:rPr>
          <w:rFonts w:ascii="Arial" w:hAnsi="Arial" w:cs="Arial"/>
          <w:sz w:val="18"/>
          <w:szCs w:val="18"/>
          <w:lang w:val="es-ES"/>
        </w:rPr>
        <w:t>(Indemnización Compensatoria</w:t>
      </w:r>
      <w:r w:rsidRPr="00CB1790">
        <w:rPr>
          <w:rFonts w:ascii="Arial" w:hAnsi="Arial" w:cs="Arial"/>
          <w:sz w:val="18"/>
          <w:szCs w:val="18"/>
          <w:lang w:val="es-ES"/>
        </w:rPr>
        <w:t>), párr. 26</w:t>
      </w:r>
      <w:r>
        <w:rPr>
          <w:rFonts w:ascii="Arial" w:hAnsi="Arial" w:cs="Arial"/>
          <w:sz w:val="18"/>
          <w:szCs w:val="18"/>
          <w:lang w:val="es-ES"/>
        </w:rPr>
        <w:t>.</w:t>
      </w:r>
    </w:p>
  </w:footnote>
  <w:footnote w:id="55">
    <w:p w:rsidR="00205D3D" w:rsidRPr="00EF7DBE" w:rsidRDefault="00205D3D" w:rsidP="00CB1790">
      <w:pPr>
        <w:pStyle w:val="Textonotapie"/>
        <w:jc w:val="both"/>
        <w:rPr>
          <w:rFonts w:ascii="Arial" w:hAnsi="Arial" w:cs="Arial"/>
          <w:lang w:val="es-ES"/>
        </w:rPr>
      </w:pPr>
      <w:r w:rsidRPr="00EF7DBE">
        <w:rPr>
          <w:rStyle w:val="Refdenotaalpie"/>
          <w:rFonts w:ascii="Arial" w:hAnsi="Arial" w:cs="Arial"/>
        </w:rPr>
        <w:footnoteRef/>
      </w:r>
      <w:r w:rsidRPr="00EF7DBE">
        <w:rPr>
          <w:rFonts w:ascii="Arial" w:hAnsi="Arial" w:cs="Arial"/>
          <w:lang w:val="es-ES"/>
        </w:rPr>
        <w:t xml:space="preserve">Convención Americana Sobre Derechos Humanos suscrita en la Conferencia Especializada Interamericana sobre Derechos Humanos (B-32) San José, Costa Rica  7 al 22 de noviembre de 1969. (Pacto de San José). </w:t>
      </w:r>
    </w:p>
  </w:footnote>
  <w:footnote w:id="56">
    <w:p w:rsidR="00205D3D" w:rsidRPr="00EF7DBE" w:rsidRDefault="00205D3D" w:rsidP="00CB1790">
      <w:pPr>
        <w:pStyle w:val="Textonotapie"/>
        <w:jc w:val="both"/>
        <w:rPr>
          <w:rFonts w:ascii="Arial" w:hAnsi="Arial" w:cs="Arial"/>
          <w:lang w:val="es-ES"/>
        </w:rPr>
      </w:pPr>
      <w:r w:rsidRPr="00EF7DBE">
        <w:rPr>
          <w:rStyle w:val="Refdenotaalpie"/>
          <w:rFonts w:ascii="Arial" w:hAnsi="Arial" w:cs="Arial"/>
        </w:rPr>
        <w:footnoteRef/>
      </w:r>
      <w:r w:rsidRPr="00EF7DBE">
        <w:rPr>
          <w:rFonts w:ascii="Arial" w:hAnsi="Arial" w:cs="Arial"/>
          <w:lang w:val="es-ES"/>
        </w:rPr>
        <w:t xml:space="preserve"> Reglamento de la Corte Interamericana de Derechos Humanos, </w:t>
      </w:r>
      <w:proofErr w:type="spellStart"/>
      <w:r w:rsidRPr="00EF7DBE">
        <w:rPr>
          <w:rFonts w:ascii="Arial" w:hAnsi="Arial" w:cs="Arial"/>
          <w:lang w:val="es-ES"/>
        </w:rPr>
        <w:t>op</w:t>
      </w:r>
      <w:proofErr w:type="spellEnd"/>
      <w:r w:rsidRPr="00EF7DBE">
        <w:rPr>
          <w:rFonts w:ascii="Arial" w:hAnsi="Arial" w:cs="Arial"/>
          <w:lang w:val="es-ES"/>
        </w:rPr>
        <w:t xml:space="preserve">. cit. </w:t>
      </w:r>
      <w:proofErr w:type="spellStart"/>
      <w:r w:rsidRPr="00EF7DBE">
        <w:rPr>
          <w:rFonts w:ascii="Arial" w:hAnsi="Arial" w:cs="Arial"/>
          <w:lang w:val="es-ES"/>
        </w:rPr>
        <w:t>articulo</w:t>
      </w:r>
      <w:proofErr w:type="spellEnd"/>
      <w:r w:rsidRPr="00EF7DBE">
        <w:rPr>
          <w:rFonts w:ascii="Arial" w:hAnsi="Arial" w:cs="Arial"/>
          <w:lang w:val="es-ES"/>
        </w:rPr>
        <w:t xml:space="preserve"> 40.</w:t>
      </w:r>
    </w:p>
  </w:footnote>
  <w:footnote w:id="57">
    <w:p w:rsidR="00205D3D" w:rsidRPr="00EF7DBE" w:rsidRDefault="00205D3D" w:rsidP="00CB1790">
      <w:pPr>
        <w:pStyle w:val="Textonotapie"/>
        <w:jc w:val="both"/>
        <w:rPr>
          <w:rFonts w:ascii="Arial" w:hAnsi="Arial" w:cs="Arial"/>
          <w:lang w:val="es-ES"/>
        </w:rPr>
      </w:pPr>
      <w:r w:rsidRPr="00EF7DBE">
        <w:rPr>
          <w:rStyle w:val="Refdenotaalpie"/>
          <w:rFonts w:ascii="Arial" w:hAnsi="Arial" w:cs="Arial"/>
        </w:rPr>
        <w:footnoteRef/>
      </w:r>
      <w:r w:rsidRPr="00EF7DBE">
        <w:rPr>
          <w:rFonts w:ascii="Arial" w:hAnsi="Arial" w:cs="Arial"/>
          <w:lang w:val="es-ES"/>
        </w:rPr>
        <w:t xml:space="preserve"> Id.</w:t>
      </w:r>
    </w:p>
  </w:footnote>
  <w:footnote w:id="58">
    <w:p w:rsidR="00205D3D" w:rsidRPr="00F6613F" w:rsidRDefault="00205D3D" w:rsidP="00CB1790">
      <w:pPr>
        <w:pStyle w:val="Textonotapie"/>
        <w:jc w:val="both"/>
        <w:rPr>
          <w:rFonts w:ascii="Arial" w:hAnsi="Arial" w:cs="Arial"/>
          <w:lang w:val="es-ES"/>
        </w:rPr>
      </w:pPr>
      <w:r w:rsidRPr="00F6613F">
        <w:rPr>
          <w:rStyle w:val="Refdenotaalpie"/>
          <w:rFonts w:ascii="Arial" w:hAnsi="Arial" w:cs="Arial"/>
        </w:rPr>
        <w:footnoteRef/>
      </w:r>
      <w:r w:rsidRPr="00F6613F">
        <w:rPr>
          <w:rFonts w:ascii="Arial" w:hAnsi="Arial" w:cs="Arial"/>
          <w:lang w:val="es-ES"/>
        </w:rPr>
        <w:t xml:space="preserve"> Convención Americana Sobre Derechos Humanos, art. 63 literal 2; Reglamento de la Corte Interamericana de Derechos Humanos art. 27.</w:t>
      </w:r>
    </w:p>
  </w:footnote>
  <w:footnote w:id="59">
    <w:p w:rsidR="00205D3D" w:rsidRPr="00F6613F" w:rsidRDefault="00205D3D" w:rsidP="00CB1790">
      <w:pPr>
        <w:pStyle w:val="Textonotapie"/>
        <w:jc w:val="both"/>
        <w:rPr>
          <w:rFonts w:ascii="Arial" w:hAnsi="Arial" w:cs="Arial"/>
          <w:lang w:val="es-ES"/>
        </w:rPr>
      </w:pPr>
      <w:r w:rsidRPr="00F6613F">
        <w:rPr>
          <w:rStyle w:val="Refdenotaalpie"/>
          <w:rFonts w:ascii="Arial" w:hAnsi="Arial" w:cs="Arial"/>
        </w:rPr>
        <w:footnoteRef/>
      </w:r>
      <w:r w:rsidRPr="00F6613F">
        <w:rPr>
          <w:rFonts w:ascii="Arial" w:hAnsi="Arial" w:cs="Arial"/>
          <w:lang w:val="es-ES"/>
        </w:rPr>
        <w:t xml:space="preserve"> Reglamento de la Corte Interamericana de Derechos Humanos, art 27, numeral 7.</w:t>
      </w:r>
    </w:p>
  </w:footnote>
  <w:footnote w:id="60">
    <w:p w:rsidR="00205D3D" w:rsidRPr="00F6613F" w:rsidRDefault="00205D3D" w:rsidP="00CB1790">
      <w:pPr>
        <w:pStyle w:val="Body1"/>
        <w:jc w:val="both"/>
        <w:rPr>
          <w:rFonts w:ascii="Arial" w:eastAsia="Times New Roman" w:hAnsi="Arial" w:cs="Arial"/>
          <w:color w:val="auto"/>
          <w:sz w:val="20"/>
        </w:rPr>
      </w:pPr>
      <w:r w:rsidRPr="00F6613F">
        <w:rPr>
          <w:rFonts w:ascii="Arial" w:hAnsi="Arial" w:cs="Arial"/>
          <w:sz w:val="20"/>
          <w:vertAlign w:val="superscript"/>
        </w:rPr>
        <w:footnoteRef/>
      </w:r>
      <w:r w:rsidRPr="00F6613F">
        <w:rPr>
          <w:rFonts w:ascii="Arial" w:hAnsi="Arial" w:cs="Arial"/>
          <w:sz w:val="20"/>
        </w:rPr>
        <w:t xml:space="preserve"> Pablo Miguel </w:t>
      </w:r>
      <w:proofErr w:type="spellStart"/>
      <w:r w:rsidRPr="00F6613F">
        <w:rPr>
          <w:rFonts w:ascii="Arial" w:hAnsi="Arial" w:cs="Arial"/>
          <w:sz w:val="20"/>
        </w:rPr>
        <w:t>Jacoby</w:t>
      </w:r>
      <w:proofErr w:type="spellEnd"/>
      <w:r w:rsidRPr="00F6613F">
        <w:rPr>
          <w:rFonts w:ascii="Arial" w:hAnsi="Arial" w:cs="Arial"/>
          <w:sz w:val="20"/>
        </w:rPr>
        <w:t xml:space="preserve"> y Hernán Luis </w:t>
      </w:r>
      <w:proofErr w:type="spellStart"/>
      <w:r w:rsidRPr="00F6613F">
        <w:rPr>
          <w:rFonts w:ascii="Arial" w:hAnsi="Arial" w:cs="Arial"/>
          <w:sz w:val="20"/>
        </w:rPr>
        <w:t>Folgueiro</w:t>
      </w:r>
      <w:proofErr w:type="spellEnd"/>
      <w:r w:rsidRPr="00F6613F">
        <w:rPr>
          <w:rFonts w:ascii="Arial" w:hAnsi="Arial" w:cs="Arial"/>
          <w:sz w:val="20"/>
        </w:rPr>
        <w:t xml:space="preserve">, </w:t>
      </w:r>
      <w:proofErr w:type="spellStart"/>
      <w:r w:rsidRPr="00F6613F">
        <w:rPr>
          <w:rFonts w:ascii="Arial" w:hAnsi="Arial" w:cs="Arial"/>
          <w:sz w:val="20"/>
        </w:rPr>
        <w:t>op</w:t>
      </w:r>
      <w:proofErr w:type="spellEnd"/>
      <w:r w:rsidRPr="00F6613F">
        <w:rPr>
          <w:rFonts w:ascii="Arial" w:hAnsi="Arial" w:cs="Arial"/>
          <w:sz w:val="20"/>
        </w:rPr>
        <w:t>. cit. p. 598.</w:t>
      </w:r>
    </w:p>
  </w:footnote>
  <w:footnote w:id="61">
    <w:p w:rsidR="00205D3D" w:rsidRPr="008C6CE0" w:rsidRDefault="00205D3D" w:rsidP="00CB1790">
      <w:pPr>
        <w:pStyle w:val="Textonotapie"/>
        <w:jc w:val="both"/>
        <w:rPr>
          <w:rFonts w:ascii="Arial" w:hAnsi="Arial" w:cs="Arial"/>
          <w:lang w:val="es-ES"/>
        </w:rPr>
      </w:pPr>
      <w:r w:rsidRPr="008C6CE0">
        <w:rPr>
          <w:rStyle w:val="Refdenotaalpie"/>
          <w:rFonts w:ascii="Arial" w:hAnsi="Arial" w:cs="Arial"/>
        </w:rPr>
        <w:footnoteRef/>
      </w:r>
      <w:r w:rsidRPr="008C6CE0">
        <w:rPr>
          <w:rFonts w:ascii="Arial" w:hAnsi="Arial" w:cs="Arial"/>
          <w:lang w:val="es-ES"/>
        </w:rPr>
        <w:t xml:space="preserve"> Convención Americana sobre Derechos Humanos, artículo 44</w:t>
      </w:r>
      <w:r>
        <w:rPr>
          <w:rFonts w:ascii="Arial" w:hAnsi="Arial" w:cs="Arial"/>
          <w:lang w:val="es-ES"/>
        </w:rPr>
        <w:t>.</w:t>
      </w:r>
    </w:p>
  </w:footnote>
  <w:footnote w:id="62">
    <w:p w:rsidR="00205D3D" w:rsidRPr="008C6CE0" w:rsidRDefault="00205D3D" w:rsidP="00CB1790">
      <w:pPr>
        <w:pStyle w:val="Textonotapie"/>
        <w:jc w:val="both"/>
        <w:rPr>
          <w:rFonts w:ascii="Arial" w:hAnsi="Arial" w:cs="Arial"/>
          <w:lang w:val="es-ES"/>
        </w:rPr>
      </w:pPr>
      <w:r w:rsidRPr="008C6CE0">
        <w:rPr>
          <w:rStyle w:val="Refdenotaalpie"/>
          <w:rFonts w:ascii="Arial" w:hAnsi="Arial" w:cs="Arial"/>
        </w:rPr>
        <w:footnoteRef/>
      </w:r>
      <w:r w:rsidRPr="008C6CE0">
        <w:rPr>
          <w:rFonts w:ascii="Arial" w:hAnsi="Arial" w:cs="Arial"/>
          <w:lang w:val="es-ES"/>
        </w:rPr>
        <w:t xml:space="preserve"> Reglamento de la Comisión Interamericana de Derechos Humanos, artículo 23</w:t>
      </w:r>
      <w:r>
        <w:rPr>
          <w:rFonts w:ascii="Arial" w:hAnsi="Arial" w:cs="Arial"/>
          <w:lang w:val="es-ES"/>
        </w:rPr>
        <w:t>.</w:t>
      </w:r>
    </w:p>
  </w:footnote>
  <w:footnote w:id="63">
    <w:p w:rsidR="00205D3D" w:rsidRPr="008C6CE0" w:rsidRDefault="00205D3D" w:rsidP="00CB1790">
      <w:pPr>
        <w:pStyle w:val="Textonotapie"/>
        <w:jc w:val="both"/>
        <w:rPr>
          <w:rFonts w:ascii="Arial" w:hAnsi="Arial" w:cs="Arial"/>
          <w:lang w:val="es-ES"/>
        </w:rPr>
      </w:pPr>
      <w:r w:rsidRPr="008C6CE0">
        <w:rPr>
          <w:rStyle w:val="Refdenotaalpie"/>
          <w:rFonts w:ascii="Arial" w:hAnsi="Arial" w:cs="Arial"/>
        </w:rPr>
        <w:footnoteRef/>
      </w:r>
      <w:r w:rsidRPr="008C6CE0">
        <w:rPr>
          <w:rFonts w:ascii="Arial" w:hAnsi="Arial" w:cs="Arial"/>
          <w:lang w:val="es-ES"/>
        </w:rPr>
        <w:t xml:space="preserve"> Convención Americana sobre Derechos Humanos, artículo 49., Reglamento de la Comisión Interamericana de Derechos Humanos, artículo 40.</w:t>
      </w:r>
    </w:p>
  </w:footnote>
  <w:footnote w:id="64">
    <w:p w:rsidR="00205D3D" w:rsidRPr="008C6CE0" w:rsidRDefault="00205D3D" w:rsidP="00CB1790">
      <w:pPr>
        <w:pStyle w:val="Textonotapie"/>
        <w:jc w:val="both"/>
        <w:rPr>
          <w:rFonts w:ascii="Arial" w:hAnsi="Arial" w:cs="Arial"/>
          <w:lang w:val="es-ES"/>
        </w:rPr>
      </w:pPr>
      <w:r w:rsidRPr="008C6CE0">
        <w:rPr>
          <w:rStyle w:val="Refdenotaalpie"/>
          <w:rFonts w:ascii="Arial" w:hAnsi="Arial" w:cs="Arial"/>
        </w:rPr>
        <w:footnoteRef/>
      </w:r>
      <w:r w:rsidRPr="008C6CE0">
        <w:rPr>
          <w:rFonts w:ascii="Arial" w:hAnsi="Arial" w:cs="Arial"/>
          <w:lang w:val="es-ES"/>
        </w:rPr>
        <w:t xml:space="preserve"> Reglamento de la Comisión Interamericana de Derechos Humanos, artículo 25.</w:t>
      </w:r>
    </w:p>
  </w:footnote>
  <w:footnote w:id="65">
    <w:p w:rsidR="00205D3D" w:rsidRPr="008C6CE0" w:rsidRDefault="00205D3D" w:rsidP="00CB1790">
      <w:pPr>
        <w:pStyle w:val="Textonotapie"/>
        <w:jc w:val="both"/>
        <w:rPr>
          <w:rFonts w:ascii="Arial" w:hAnsi="Arial" w:cs="Arial"/>
          <w:lang w:val="es-ES"/>
        </w:rPr>
      </w:pPr>
      <w:r w:rsidRPr="008C6CE0">
        <w:rPr>
          <w:rStyle w:val="Refdenotaalpie"/>
          <w:rFonts w:ascii="Arial" w:hAnsi="Arial" w:cs="Arial"/>
        </w:rPr>
        <w:footnoteRef/>
      </w:r>
      <w:r w:rsidRPr="008C6CE0">
        <w:rPr>
          <w:rFonts w:ascii="Arial" w:hAnsi="Arial" w:cs="Arial"/>
          <w:lang w:val="es-ES"/>
        </w:rPr>
        <w:t xml:space="preserve"> Reglamento de la Comisión Interamericana de Derechos Humanos, artículo 48.</w:t>
      </w:r>
    </w:p>
  </w:footnote>
  <w:footnote w:id="66">
    <w:p w:rsidR="00205D3D" w:rsidRPr="008C6CE0" w:rsidRDefault="00205D3D" w:rsidP="00CB1790">
      <w:pPr>
        <w:pStyle w:val="Body1"/>
        <w:jc w:val="both"/>
        <w:rPr>
          <w:rFonts w:ascii="Arial" w:eastAsia="Times New Roman" w:hAnsi="Arial" w:cs="Arial"/>
          <w:color w:val="auto"/>
          <w:sz w:val="20"/>
        </w:rPr>
      </w:pPr>
      <w:r w:rsidRPr="008C6CE0">
        <w:rPr>
          <w:rFonts w:ascii="Arial" w:hAnsi="Arial" w:cs="Arial"/>
          <w:sz w:val="20"/>
          <w:vertAlign w:val="superscript"/>
        </w:rPr>
        <w:footnoteRef/>
      </w:r>
      <w:r w:rsidRPr="008C6CE0">
        <w:rPr>
          <w:rFonts w:ascii="Arial" w:hAnsi="Arial" w:cs="Arial"/>
          <w:sz w:val="20"/>
        </w:rPr>
        <w:t xml:space="preserve"> Pablo Miguel </w:t>
      </w:r>
      <w:proofErr w:type="spellStart"/>
      <w:r w:rsidRPr="008C6CE0">
        <w:rPr>
          <w:rFonts w:ascii="Arial" w:hAnsi="Arial" w:cs="Arial"/>
          <w:sz w:val="20"/>
        </w:rPr>
        <w:t>Jacoby</w:t>
      </w:r>
      <w:proofErr w:type="spellEnd"/>
      <w:r w:rsidRPr="008C6CE0">
        <w:rPr>
          <w:rFonts w:ascii="Arial" w:hAnsi="Arial" w:cs="Arial"/>
          <w:sz w:val="20"/>
        </w:rPr>
        <w:t xml:space="preserve"> y Hernán Luis </w:t>
      </w:r>
      <w:proofErr w:type="spellStart"/>
      <w:r w:rsidRPr="008C6CE0">
        <w:rPr>
          <w:rFonts w:ascii="Arial" w:hAnsi="Arial" w:cs="Arial"/>
          <w:sz w:val="20"/>
        </w:rPr>
        <w:t>Folgueiro</w:t>
      </w:r>
      <w:proofErr w:type="spellEnd"/>
      <w:r w:rsidRPr="008C6CE0">
        <w:rPr>
          <w:rFonts w:ascii="Arial" w:hAnsi="Arial" w:cs="Arial"/>
          <w:sz w:val="20"/>
        </w:rPr>
        <w:t xml:space="preserve">, </w:t>
      </w:r>
      <w:proofErr w:type="spellStart"/>
      <w:r>
        <w:rPr>
          <w:rFonts w:ascii="Arial" w:hAnsi="Arial" w:cs="Arial"/>
          <w:sz w:val="20"/>
        </w:rPr>
        <w:t>op</w:t>
      </w:r>
      <w:proofErr w:type="spellEnd"/>
      <w:r>
        <w:rPr>
          <w:rFonts w:ascii="Arial" w:hAnsi="Arial" w:cs="Arial"/>
          <w:sz w:val="20"/>
        </w:rPr>
        <w:t>. cit.</w:t>
      </w:r>
      <w:r w:rsidRPr="008C6CE0">
        <w:rPr>
          <w:rFonts w:ascii="Arial" w:hAnsi="Arial" w:cs="Arial"/>
          <w:sz w:val="20"/>
        </w:rPr>
        <w:t xml:space="preserve"> p. 599.</w:t>
      </w:r>
    </w:p>
  </w:footnote>
  <w:footnote w:id="67">
    <w:p w:rsidR="00205D3D" w:rsidRPr="008C6CE0" w:rsidRDefault="00205D3D" w:rsidP="00CF7AB8">
      <w:pPr>
        <w:pStyle w:val="Textonotapie"/>
        <w:jc w:val="both"/>
        <w:rPr>
          <w:rFonts w:ascii="Arial" w:hAnsi="Arial" w:cs="Arial"/>
          <w:lang w:val="es-ES"/>
        </w:rPr>
      </w:pPr>
      <w:r w:rsidRPr="008C6CE0">
        <w:rPr>
          <w:rStyle w:val="Refdenotaalpie"/>
          <w:rFonts w:ascii="Arial" w:hAnsi="Arial" w:cs="Arial"/>
        </w:rPr>
        <w:footnoteRef/>
      </w:r>
      <w:r w:rsidRPr="008C6CE0">
        <w:rPr>
          <w:rFonts w:ascii="Arial" w:hAnsi="Arial" w:cs="Arial"/>
          <w:lang w:val="es-ES"/>
        </w:rPr>
        <w:t xml:space="preserve"> Principios y directrices básicos sobre el derecho de las víctimas de violaciones manifiestas de las normas internacionales de derechos humanos y de violaciones graves del derecho internacional humanitario a interponer recursos y obtener reparaciones, 60/147 Resolución aprobada por la Asamblea General de las Naciones Unidas, el 16 de diciembre de 2005.</w:t>
      </w:r>
    </w:p>
  </w:footnote>
  <w:footnote w:id="68">
    <w:p w:rsidR="00205D3D" w:rsidRPr="008C6CE0" w:rsidRDefault="00205D3D" w:rsidP="00CB1790">
      <w:pPr>
        <w:pStyle w:val="Body1"/>
        <w:jc w:val="both"/>
        <w:rPr>
          <w:rFonts w:ascii="Arial" w:eastAsia="Times New Roman" w:hAnsi="Arial" w:cs="Arial"/>
          <w:color w:val="auto"/>
          <w:sz w:val="20"/>
        </w:rPr>
      </w:pPr>
      <w:r w:rsidRPr="008C6CE0">
        <w:rPr>
          <w:rFonts w:ascii="Arial" w:hAnsi="Arial" w:cs="Arial"/>
          <w:sz w:val="20"/>
          <w:vertAlign w:val="superscript"/>
        </w:rPr>
        <w:footnoteRef/>
      </w:r>
      <w:r w:rsidRPr="008C6CE0">
        <w:rPr>
          <w:rFonts w:ascii="Arial" w:hAnsi="Arial" w:cs="Arial"/>
          <w:sz w:val="20"/>
        </w:rPr>
        <w:t xml:space="preserve"> Pablo Miguel </w:t>
      </w:r>
      <w:proofErr w:type="spellStart"/>
      <w:r w:rsidRPr="008C6CE0">
        <w:rPr>
          <w:rFonts w:ascii="Arial" w:hAnsi="Arial" w:cs="Arial"/>
          <w:sz w:val="20"/>
        </w:rPr>
        <w:t>Jacoby</w:t>
      </w:r>
      <w:proofErr w:type="spellEnd"/>
      <w:r w:rsidRPr="008C6CE0">
        <w:rPr>
          <w:rFonts w:ascii="Arial" w:hAnsi="Arial" w:cs="Arial"/>
          <w:sz w:val="20"/>
        </w:rPr>
        <w:t xml:space="preserve"> y Hernán Luis </w:t>
      </w:r>
      <w:proofErr w:type="spellStart"/>
      <w:r w:rsidRPr="008C6CE0">
        <w:rPr>
          <w:rFonts w:ascii="Arial" w:hAnsi="Arial" w:cs="Arial"/>
          <w:sz w:val="20"/>
        </w:rPr>
        <w:t>Folgueiro</w:t>
      </w:r>
      <w:proofErr w:type="spellEnd"/>
      <w:r w:rsidRPr="008C6CE0">
        <w:rPr>
          <w:rFonts w:ascii="Arial" w:hAnsi="Arial" w:cs="Arial"/>
          <w:sz w:val="20"/>
        </w:rPr>
        <w:t xml:space="preserve">, </w:t>
      </w:r>
      <w:proofErr w:type="spellStart"/>
      <w:r>
        <w:rPr>
          <w:rFonts w:ascii="Arial" w:hAnsi="Arial" w:cs="Arial"/>
          <w:sz w:val="20"/>
        </w:rPr>
        <w:t>op</w:t>
      </w:r>
      <w:proofErr w:type="spellEnd"/>
      <w:r>
        <w:rPr>
          <w:rFonts w:ascii="Arial" w:hAnsi="Arial" w:cs="Arial"/>
          <w:sz w:val="20"/>
        </w:rPr>
        <w:t xml:space="preserve">. cit. </w:t>
      </w:r>
      <w:r w:rsidRPr="008C6CE0">
        <w:rPr>
          <w:rFonts w:ascii="Arial" w:hAnsi="Arial" w:cs="Arial"/>
          <w:sz w:val="20"/>
        </w:rPr>
        <w:t>p. 602.</w:t>
      </w:r>
    </w:p>
  </w:footnote>
  <w:footnote w:id="69">
    <w:p w:rsidR="00205D3D" w:rsidRPr="008C6CE0" w:rsidRDefault="00205D3D" w:rsidP="00CB1790">
      <w:pPr>
        <w:pStyle w:val="Textonotapie"/>
        <w:jc w:val="both"/>
        <w:rPr>
          <w:rFonts w:ascii="Arial" w:hAnsi="Arial" w:cs="Arial"/>
          <w:lang w:val="es-ES"/>
        </w:rPr>
      </w:pPr>
      <w:r w:rsidRPr="008C6CE0">
        <w:rPr>
          <w:rStyle w:val="Refdenotaalpie"/>
          <w:rFonts w:ascii="Arial" w:hAnsi="Arial" w:cs="Arial"/>
        </w:rPr>
        <w:footnoteRef/>
      </w:r>
      <w:r w:rsidRPr="008C6CE0">
        <w:rPr>
          <w:rFonts w:ascii="Arial" w:hAnsi="Arial" w:cs="Arial"/>
          <w:lang w:val="es-ES"/>
        </w:rPr>
        <w:t xml:space="preserve"> </w:t>
      </w:r>
      <w:r>
        <w:rPr>
          <w:rFonts w:ascii="Arial" w:hAnsi="Arial" w:cs="Arial"/>
          <w:lang w:val="es-ES"/>
        </w:rPr>
        <w:t xml:space="preserve">Corte Interamericana de Derechos Humanos, </w:t>
      </w:r>
      <w:r>
        <w:rPr>
          <w:rFonts w:ascii="Arial" w:hAnsi="Arial" w:cs="Arial"/>
          <w:u w:val="single"/>
          <w:lang w:val="es-ES"/>
        </w:rPr>
        <w:t xml:space="preserve">Caso Myrna </w:t>
      </w:r>
      <w:proofErr w:type="spellStart"/>
      <w:r>
        <w:rPr>
          <w:rFonts w:ascii="Arial" w:hAnsi="Arial" w:cs="Arial"/>
          <w:u w:val="single"/>
          <w:lang w:val="es-ES"/>
        </w:rPr>
        <w:t>Mack</w:t>
      </w:r>
      <w:proofErr w:type="spellEnd"/>
      <w:r>
        <w:rPr>
          <w:rFonts w:ascii="Arial" w:hAnsi="Arial" w:cs="Arial"/>
          <w:u w:val="single"/>
          <w:lang w:val="es-ES"/>
        </w:rPr>
        <w:t xml:space="preserve"> Chang V</w:t>
      </w:r>
      <w:r w:rsidRPr="0091406C">
        <w:rPr>
          <w:rFonts w:ascii="Arial" w:hAnsi="Arial" w:cs="Arial"/>
          <w:u w:val="single"/>
          <w:lang w:val="es-ES"/>
        </w:rPr>
        <w:t>s. Guatemala</w:t>
      </w:r>
      <w:r w:rsidRPr="008C6CE0">
        <w:rPr>
          <w:rFonts w:ascii="Arial" w:hAnsi="Arial" w:cs="Arial"/>
          <w:lang w:val="es-ES"/>
        </w:rPr>
        <w:t>,</w:t>
      </w:r>
      <w:r>
        <w:rPr>
          <w:rFonts w:ascii="Arial" w:hAnsi="Arial" w:cs="Arial"/>
          <w:lang w:val="es-ES"/>
        </w:rPr>
        <w:t xml:space="preserve"> Sentencia del 25 de noviembre de 2003. (Fondo, Reparaciones y Costas),</w:t>
      </w:r>
      <w:r w:rsidRPr="008C6CE0">
        <w:rPr>
          <w:rFonts w:ascii="Arial" w:hAnsi="Arial" w:cs="Arial"/>
          <w:lang w:val="es-ES"/>
        </w:rPr>
        <w:t xml:space="preserve"> </w:t>
      </w:r>
      <w:proofErr w:type="spellStart"/>
      <w:r w:rsidRPr="008C6CE0">
        <w:rPr>
          <w:rFonts w:ascii="Arial" w:hAnsi="Arial" w:cs="Arial"/>
          <w:lang w:val="es-ES"/>
        </w:rPr>
        <w:t>párrs</w:t>
      </w:r>
      <w:proofErr w:type="spellEnd"/>
      <w:r w:rsidRPr="008C6CE0">
        <w:rPr>
          <w:rFonts w:ascii="Arial" w:hAnsi="Arial" w:cs="Arial"/>
          <w:lang w:val="es-ES"/>
        </w:rPr>
        <w:t>. 47, 48</w:t>
      </w:r>
      <w:r>
        <w:rPr>
          <w:rFonts w:ascii="Arial" w:hAnsi="Arial" w:cs="Arial"/>
          <w:lang w:val="es-ES"/>
        </w:rPr>
        <w:t>.</w:t>
      </w:r>
    </w:p>
  </w:footnote>
  <w:footnote w:id="70">
    <w:p w:rsidR="00205D3D" w:rsidRPr="003A7B88" w:rsidRDefault="00205D3D" w:rsidP="003D7C7F">
      <w:pPr>
        <w:pStyle w:val="Textonotapie"/>
        <w:jc w:val="both"/>
        <w:rPr>
          <w:rFonts w:ascii="Arial" w:hAnsi="Arial" w:cs="Arial"/>
          <w:lang w:val="es-ES"/>
        </w:rPr>
      </w:pPr>
      <w:r w:rsidRPr="003A7B88">
        <w:rPr>
          <w:rStyle w:val="Refdenotaalpie"/>
          <w:rFonts w:ascii="Arial" w:hAnsi="Arial" w:cs="Arial"/>
        </w:rPr>
        <w:footnoteRef/>
      </w:r>
      <w:r w:rsidRPr="003A7B88">
        <w:rPr>
          <w:rFonts w:ascii="Arial" w:hAnsi="Arial" w:cs="Arial"/>
          <w:lang w:val="es-ES"/>
        </w:rPr>
        <w:t xml:space="preserve"> </w:t>
      </w:r>
      <w:r w:rsidRPr="003D7C7F">
        <w:rPr>
          <w:rFonts w:ascii="Arial" w:hAnsi="Arial" w:cs="Arial"/>
          <w:lang w:val="es-ES"/>
        </w:rPr>
        <w:t xml:space="preserve">Carlos Martin </w:t>
      </w:r>
      <w:proofErr w:type="spellStart"/>
      <w:r w:rsidRPr="003D7C7F">
        <w:rPr>
          <w:rFonts w:ascii="Arial" w:hAnsi="Arial" w:cs="Arial"/>
          <w:lang w:val="es-ES"/>
        </w:rPr>
        <w:t>Beristain</w:t>
      </w:r>
      <w:proofErr w:type="spellEnd"/>
      <w:r w:rsidRPr="003D7C7F">
        <w:rPr>
          <w:rFonts w:ascii="Arial" w:hAnsi="Arial" w:cs="Arial"/>
          <w:lang w:val="es-ES"/>
        </w:rPr>
        <w:t xml:space="preserve">, Diálogos sobre la reparación, Qué reparar en los casos de violaciones de derechos humanos, serie justicia y derechos humanos, </w:t>
      </w:r>
      <w:proofErr w:type="spellStart"/>
      <w:r w:rsidRPr="003D7C7F">
        <w:rPr>
          <w:rFonts w:ascii="Arial" w:hAnsi="Arial" w:cs="Arial"/>
          <w:lang w:val="es-ES"/>
        </w:rPr>
        <w:t>neoconstiticionalismo</w:t>
      </w:r>
      <w:proofErr w:type="spellEnd"/>
      <w:r w:rsidRPr="003D7C7F">
        <w:rPr>
          <w:rFonts w:ascii="Arial" w:hAnsi="Arial" w:cs="Arial"/>
          <w:lang w:val="es-ES"/>
        </w:rPr>
        <w:t xml:space="preserve"> y sociedad, ministerio de justicia y derechos huma</w:t>
      </w:r>
      <w:r>
        <w:rPr>
          <w:rFonts w:ascii="Arial" w:hAnsi="Arial" w:cs="Arial"/>
          <w:lang w:val="es-ES"/>
        </w:rPr>
        <w:t>nos, Quito-Ecuador, 2009, p. 115</w:t>
      </w:r>
      <w:r w:rsidRPr="003D7C7F">
        <w:rPr>
          <w:rFonts w:ascii="Arial" w:hAnsi="Arial" w:cs="Arial"/>
          <w:lang w:val="es-ES"/>
        </w:rPr>
        <w:t xml:space="preserve">.  </w:t>
      </w:r>
    </w:p>
  </w:footnote>
  <w:footnote w:id="71">
    <w:p w:rsidR="00205D3D" w:rsidRPr="00903E28" w:rsidRDefault="00205D3D" w:rsidP="00F6613F">
      <w:pPr>
        <w:pStyle w:val="Textonotapie"/>
        <w:jc w:val="both"/>
        <w:rPr>
          <w:rFonts w:ascii="Arial" w:hAnsi="Arial" w:cs="Arial"/>
          <w:lang w:val="es-ES"/>
        </w:rPr>
      </w:pPr>
      <w:r w:rsidRPr="003A7B88">
        <w:rPr>
          <w:rStyle w:val="Refdenotaalpie"/>
          <w:rFonts w:ascii="Arial" w:hAnsi="Arial" w:cs="Arial"/>
        </w:rPr>
        <w:footnoteRef/>
      </w:r>
      <w:r w:rsidRPr="003A7B88">
        <w:rPr>
          <w:rFonts w:ascii="Arial" w:hAnsi="Arial" w:cs="Arial"/>
          <w:lang w:val="es-ES"/>
        </w:rPr>
        <w:t xml:space="preserve"> Reglamento</w:t>
      </w:r>
      <w:r w:rsidRPr="00903E28">
        <w:rPr>
          <w:rFonts w:ascii="Arial" w:hAnsi="Arial" w:cs="Arial"/>
          <w:lang w:val="es-ES"/>
        </w:rPr>
        <w:t xml:space="preserve"> de la Corte Interamericana de Derechos Humanos</w:t>
      </w:r>
      <w:r>
        <w:rPr>
          <w:rFonts w:ascii="Arial" w:hAnsi="Arial" w:cs="Arial"/>
          <w:lang w:val="es-ES"/>
        </w:rPr>
        <w:t>, art. 16, numeral 2.</w:t>
      </w:r>
    </w:p>
  </w:footnote>
  <w:footnote w:id="72">
    <w:p w:rsidR="00205D3D" w:rsidRPr="00903E28" w:rsidRDefault="00205D3D" w:rsidP="00A00832">
      <w:pPr>
        <w:pStyle w:val="Body1"/>
        <w:jc w:val="both"/>
        <w:rPr>
          <w:rFonts w:ascii="Arial" w:eastAsia="Times New Roman" w:hAnsi="Arial" w:cs="Arial"/>
          <w:color w:val="auto"/>
          <w:sz w:val="20"/>
        </w:rPr>
      </w:pPr>
      <w:r w:rsidRPr="00903E28">
        <w:rPr>
          <w:rFonts w:ascii="Arial" w:hAnsi="Arial" w:cs="Arial"/>
          <w:sz w:val="20"/>
          <w:vertAlign w:val="superscript"/>
        </w:rPr>
        <w:footnoteRef/>
      </w:r>
      <w:r w:rsidRPr="00903E28">
        <w:rPr>
          <w:rFonts w:ascii="Arial" w:hAnsi="Arial" w:cs="Arial"/>
          <w:sz w:val="20"/>
        </w:rPr>
        <w:t xml:space="preserve"> Corte Interamericana de Derechos Humanos, </w:t>
      </w:r>
      <w:r w:rsidRPr="00903E28">
        <w:rPr>
          <w:rFonts w:ascii="Arial" w:hAnsi="Arial" w:cs="Arial"/>
          <w:sz w:val="20"/>
          <w:u w:val="single"/>
        </w:rPr>
        <w:t>Caso Fermín Ramírez Vs. Guatemala</w:t>
      </w:r>
      <w:r w:rsidRPr="00903E28">
        <w:rPr>
          <w:rFonts w:ascii="Arial" w:hAnsi="Arial" w:cs="Arial"/>
          <w:sz w:val="20"/>
        </w:rPr>
        <w:t>, Sentencia de 20 de junio de 2005. (Fondo, Reparaciones y Costas), párr. 123.</w:t>
      </w:r>
    </w:p>
  </w:footnote>
  <w:footnote w:id="73">
    <w:p w:rsidR="00205D3D" w:rsidRPr="00EF07F9" w:rsidRDefault="00205D3D" w:rsidP="00A00832">
      <w:pPr>
        <w:pStyle w:val="Body1"/>
        <w:jc w:val="both"/>
        <w:rPr>
          <w:rFonts w:ascii="Arial" w:eastAsia="Times New Roman" w:hAnsi="Arial" w:cs="Arial"/>
          <w:color w:val="auto"/>
          <w:sz w:val="20"/>
        </w:rPr>
      </w:pPr>
      <w:r w:rsidRPr="00EF07F9">
        <w:rPr>
          <w:rFonts w:ascii="Arial" w:hAnsi="Arial" w:cs="Arial"/>
          <w:sz w:val="20"/>
          <w:vertAlign w:val="superscript"/>
        </w:rPr>
        <w:footnoteRef/>
      </w:r>
      <w:r w:rsidRPr="00EF07F9">
        <w:rPr>
          <w:rFonts w:ascii="Arial" w:hAnsi="Arial" w:cs="Arial"/>
          <w:sz w:val="20"/>
        </w:rPr>
        <w:t xml:space="preserve"> Paz Rojas. </w:t>
      </w:r>
      <w:r w:rsidRPr="00EF07F9">
        <w:rPr>
          <w:rFonts w:ascii="Arial" w:hAnsi="Arial" w:cs="Arial"/>
          <w:sz w:val="20"/>
          <w:u w:val="single"/>
        </w:rPr>
        <w:t>La reparación y sus efectos</w:t>
      </w:r>
      <w:r w:rsidRPr="00EF07F9">
        <w:rPr>
          <w:rFonts w:ascii="Arial" w:hAnsi="Arial" w:cs="Arial"/>
          <w:sz w:val="20"/>
        </w:rPr>
        <w:t>. Guatemala, F y G Editores, 2002.</w:t>
      </w:r>
    </w:p>
  </w:footnote>
  <w:footnote w:id="74">
    <w:p w:rsidR="00205D3D" w:rsidRPr="00EF07F9" w:rsidRDefault="00205D3D" w:rsidP="00EF07F9">
      <w:pPr>
        <w:pStyle w:val="Textonotapie"/>
        <w:jc w:val="both"/>
        <w:rPr>
          <w:rFonts w:ascii="Arial" w:hAnsi="Arial" w:cs="Arial"/>
          <w:lang w:val="es-ES"/>
        </w:rPr>
      </w:pPr>
      <w:r w:rsidRPr="00EF07F9">
        <w:rPr>
          <w:rStyle w:val="Refdenotaalpie"/>
          <w:rFonts w:ascii="Arial" w:hAnsi="Arial" w:cs="Arial"/>
        </w:rPr>
        <w:footnoteRef/>
      </w:r>
      <w:r w:rsidRPr="00EF07F9">
        <w:rPr>
          <w:rFonts w:ascii="Arial" w:hAnsi="Arial" w:cs="Arial"/>
          <w:lang w:val="es-ES"/>
        </w:rPr>
        <w:t xml:space="preserve"> Ricardo </w:t>
      </w:r>
      <w:r>
        <w:rPr>
          <w:rFonts w:ascii="Arial" w:hAnsi="Arial" w:cs="Arial"/>
          <w:lang w:val="es-ES"/>
        </w:rPr>
        <w:t xml:space="preserve">Patiño, </w:t>
      </w:r>
      <w:r w:rsidRPr="00EF07F9">
        <w:rPr>
          <w:rFonts w:ascii="Arial" w:hAnsi="Arial" w:cs="Arial"/>
          <w:u w:val="single"/>
          <w:lang w:val="es-ES"/>
        </w:rPr>
        <w:t>Patiño: Creemos que el Sistema Interamericano de DD.HH. aún tiene cura</w:t>
      </w:r>
      <w:r>
        <w:rPr>
          <w:rFonts w:ascii="Arial" w:hAnsi="Arial" w:cs="Arial"/>
          <w:lang w:val="es-ES"/>
        </w:rPr>
        <w:t xml:space="preserve">, Internet: </w:t>
      </w:r>
      <w:r w:rsidRPr="00EF07F9">
        <w:rPr>
          <w:rFonts w:ascii="Arial" w:hAnsi="Arial" w:cs="Arial"/>
          <w:lang w:val="es-ES"/>
        </w:rPr>
        <w:t>http</w:t>
      </w:r>
      <w:proofErr w:type="gramStart"/>
      <w:r w:rsidRPr="00EF07F9">
        <w:rPr>
          <w:rFonts w:ascii="Arial" w:hAnsi="Arial" w:cs="Arial"/>
          <w:lang w:val="es-ES"/>
        </w:rPr>
        <w:t>:/</w:t>
      </w:r>
      <w:proofErr w:type="gramEnd"/>
      <w:r w:rsidRPr="00EF07F9">
        <w:rPr>
          <w:rFonts w:ascii="Arial" w:hAnsi="Arial" w:cs="Arial"/>
          <w:lang w:val="es-ES"/>
        </w:rPr>
        <w:t>/www.cre.com.ec/noticia/15389/patino-creemos-que-el-sistema-interamericano-de-dd-hh-aun-tiene-cura/</w:t>
      </w:r>
      <w:r>
        <w:rPr>
          <w:rFonts w:ascii="Arial" w:hAnsi="Arial" w:cs="Arial"/>
          <w:lang w:val="es-ES"/>
        </w:rPr>
        <w:t>, 15 de mayo de 2013, acceso: 21 de mayo de 2013.</w:t>
      </w:r>
    </w:p>
  </w:footnote>
  <w:footnote w:id="75">
    <w:p w:rsidR="00205D3D" w:rsidRPr="007801A6" w:rsidRDefault="00205D3D" w:rsidP="00D225AF">
      <w:pPr>
        <w:pStyle w:val="Body1"/>
        <w:jc w:val="both"/>
        <w:rPr>
          <w:rFonts w:ascii="Arial" w:eastAsia="Times New Roman" w:hAnsi="Arial" w:cs="Arial"/>
          <w:color w:val="auto"/>
          <w:sz w:val="20"/>
        </w:rPr>
      </w:pPr>
      <w:r w:rsidRPr="007801A6">
        <w:rPr>
          <w:rFonts w:ascii="Arial" w:hAnsi="Arial" w:cs="Arial"/>
          <w:sz w:val="20"/>
          <w:vertAlign w:val="superscript"/>
        </w:rPr>
        <w:footnoteRef/>
      </w:r>
      <w:r w:rsidRPr="007801A6">
        <w:rPr>
          <w:rFonts w:ascii="Arial" w:hAnsi="Arial" w:cs="Arial"/>
          <w:sz w:val="20"/>
        </w:rPr>
        <w:t xml:space="preserve">Comisión de la Verdad y Reconciliación, </w:t>
      </w:r>
      <w:r w:rsidRPr="007801A6">
        <w:rPr>
          <w:rFonts w:ascii="Arial" w:hAnsi="Arial" w:cs="Arial"/>
          <w:i/>
          <w:sz w:val="20"/>
        </w:rPr>
        <w:t xml:space="preserve">Un Plan Integral de Reparaciones, </w:t>
      </w:r>
      <w:r w:rsidRPr="007801A6">
        <w:rPr>
          <w:rFonts w:ascii="Arial" w:hAnsi="Arial" w:cs="Arial"/>
          <w:sz w:val="20"/>
        </w:rPr>
        <w:t xml:space="preserve">Lima, Grupo del Plan Integral de Reparaciones.  </w:t>
      </w:r>
    </w:p>
  </w:footnote>
  <w:footnote w:id="76">
    <w:p w:rsidR="00205D3D" w:rsidRPr="007801A6" w:rsidRDefault="00205D3D" w:rsidP="007801A6">
      <w:pPr>
        <w:pStyle w:val="Textonotapie"/>
        <w:jc w:val="both"/>
        <w:rPr>
          <w:rFonts w:ascii="Arial" w:hAnsi="Arial" w:cs="Arial"/>
          <w:lang w:val="es-ES"/>
        </w:rPr>
      </w:pPr>
      <w:r w:rsidRPr="007801A6">
        <w:rPr>
          <w:rStyle w:val="Refdenotaalpie"/>
          <w:rFonts w:ascii="Arial" w:hAnsi="Arial" w:cs="Arial"/>
        </w:rPr>
        <w:footnoteRef/>
      </w:r>
      <w:r w:rsidRPr="007801A6">
        <w:rPr>
          <w:rFonts w:ascii="Arial" w:hAnsi="Arial" w:cs="Arial"/>
          <w:lang w:val="es-ES"/>
        </w:rPr>
        <w:t xml:space="preserve"> </w:t>
      </w:r>
      <w:r>
        <w:rPr>
          <w:rFonts w:ascii="Arial" w:hAnsi="Arial" w:cs="Arial"/>
          <w:lang w:val="es-ES"/>
        </w:rPr>
        <w:t xml:space="preserve">Graciela </w:t>
      </w:r>
      <w:proofErr w:type="spellStart"/>
      <w:r>
        <w:rPr>
          <w:rFonts w:ascii="Arial" w:hAnsi="Arial" w:cs="Arial"/>
          <w:lang w:val="es-ES"/>
        </w:rPr>
        <w:t>Guilis</w:t>
      </w:r>
      <w:proofErr w:type="spellEnd"/>
      <w:r>
        <w:rPr>
          <w:rFonts w:ascii="Arial" w:hAnsi="Arial" w:cs="Arial"/>
          <w:lang w:val="es-ES"/>
        </w:rPr>
        <w:t xml:space="preserve">, “La reparación: acto jurídico y </w:t>
      </w:r>
      <w:proofErr w:type="spellStart"/>
      <w:r>
        <w:rPr>
          <w:rFonts w:ascii="Arial" w:hAnsi="Arial" w:cs="Arial"/>
          <w:lang w:val="es-ES"/>
        </w:rPr>
        <w:t>simbolico</w:t>
      </w:r>
      <w:proofErr w:type="spellEnd"/>
      <w:r>
        <w:rPr>
          <w:rFonts w:ascii="Arial" w:hAnsi="Arial" w:cs="Arial"/>
          <w:lang w:val="es-ES"/>
        </w:rPr>
        <w:t xml:space="preserve">”. En </w:t>
      </w:r>
      <w:r>
        <w:rPr>
          <w:rFonts w:ascii="Arial" w:hAnsi="Arial" w:cs="Arial"/>
          <w:u w:val="single"/>
          <w:lang w:val="es-ES"/>
        </w:rPr>
        <w:t>Atención integral a víctimas de tortura en procesos de litigio</w:t>
      </w:r>
      <w:r>
        <w:rPr>
          <w:rFonts w:ascii="Arial" w:hAnsi="Arial" w:cs="Arial"/>
          <w:lang w:val="es-ES"/>
        </w:rPr>
        <w:t>, San José, Costa Rica, Instituto Interamericano de Derechos Humanos, 2009. pp. 102, 103.</w:t>
      </w:r>
    </w:p>
  </w:footnote>
  <w:footnote w:id="77">
    <w:p w:rsidR="00205D3D" w:rsidRPr="00F06E9A" w:rsidRDefault="00205D3D" w:rsidP="00D225AF">
      <w:pPr>
        <w:pStyle w:val="Body1"/>
        <w:jc w:val="both"/>
        <w:rPr>
          <w:rFonts w:ascii="Arial" w:eastAsia="Times New Roman" w:hAnsi="Arial" w:cs="Arial"/>
          <w:color w:val="auto"/>
          <w:sz w:val="20"/>
        </w:rPr>
      </w:pPr>
      <w:r w:rsidRPr="00F06E9A">
        <w:rPr>
          <w:rFonts w:ascii="Arial" w:hAnsi="Arial" w:cs="Arial"/>
          <w:sz w:val="20"/>
          <w:vertAlign w:val="superscript"/>
        </w:rPr>
        <w:footnoteRef/>
      </w:r>
      <w:r w:rsidRPr="00F06E9A">
        <w:rPr>
          <w:rFonts w:ascii="Arial" w:hAnsi="Arial" w:cs="Arial"/>
          <w:sz w:val="20"/>
        </w:rPr>
        <w:t xml:space="preserve"> Paula Ayala Rodríguez, </w:t>
      </w:r>
      <w:proofErr w:type="spellStart"/>
      <w:r w:rsidRPr="00F06E9A">
        <w:rPr>
          <w:rFonts w:ascii="Arial" w:hAnsi="Arial" w:cs="Arial"/>
          <w:sz w:val="20"/>
        </w:rPr>
        <w:t>op</w:t>
      </w:r>
      <w:proofErr w:type="spellEnd"/>
      <w:r w:rsidRPr="00F06E9A">
        <w:rPr>
          <w:rFonts w:ascii="Arial" w:hAnsi="Arial" w:cs="Arial"/>
          <w:sz w:val="20"/>
        </w:rPr>
        <w:t>. cit. p. 23.</w:t>
      </w:r>
    </w:p>
  </w:footnote>
  <w:footnote w:id="78">
    <w:p w:rsidR="00205D3D" w:rsidRPr="00F06E9A" w:rsidRDefault="00205D3D" w:rsidP="00CB1790">
      <w:pPr>
        <w:pStyle w:val="Textonotapie"/>
        <w:jc w:val="both"/>
        <w:rPr>
          <w:rFonts w:ascii="Arial" w:hAnsi="Arial" w:cs="Arial"/>
          <w:lang w:val="es-ES"/>
        </w:rPr>
      </w:pPr>
      <w:r w:rsidRPr="00F06E9A">
        <w:rPr>
          <w:rStyle w:val="Refdenotaalpie"/>
          <w:rFonts w:ascii="Arial" w:hAnsi="Arial" w:cs="Arial"/>
        </w:rPr>
        <w:footnoteRef/>
      </w:r>
      <w:r>
        <w:rPr>
          <w:rFonts w:ascii="Arial" w:hAnsi="Arial" w:cs="Arial"/>
          <w:lang w:val="es-ES"/>
        </w:rPr>
        <w:t xml:space="preserve"> Naciones Unidas, Consejo Económico y Social,</w:t>
      </w:r>
      <w:r w:rsidRPr="002F24FA">
        <w:rPr>
          <w:rFonts w:ascii="Arial" w:hAnsi="Arial" w:cs="Arial"/>
          <w:lang w:val="es-ES"/>
        </w:rPr>
        <w:t xml:space="preserve"> </w:t>
      </w:r>
      <w:r>
        <w:rPr>
          <w:rFonts w:ascii="Arial" w:hAnsi="Arial" w:cs="Arial"/>
          <w:lang w:val="es-ES"/>
        </w:rPr>
        <w:t xml:space="preserve">Comisión de Derechos Humanos, </w:t>
      </w:r>
      <w:r w:rsidRPr="002F24FA">
        <w:rPr>
          <w:rFonts w:ascii="Arial" w:hAnsi="Arial" w:cs="Arial"/>
          <w:lang w:val="es-ES"/>
        </w:rPr>
        <w:t>E/CN.4/Sub.2/1997/20/Rev.1</w:t>
      </w:r>
      <w:r>
        <w:rPr>
          <w:rFonts w:ascii="Arial" w:hAnsi="Arial" w:cs="Arial"/>
          <w:lang w:val="es-ES"/>
        </w:rPr>
        <w:t xml:space="preserve">, </w:t>
      </w:r>
      <w:r w:rsidRPr="0083151B">
        <w:rPr>
          <w:rFonts w:ascii="Arial" w:hAnsi="Arial" w:cs="Arial"/>
          <w:u w:val="single"/>
          <w:lang w:val="es-ES"/>
        </w:rPr>
        <w:t>Informe final revisado acerca de la cuestió</w:t>
      </w:r>
      <w:r>
        <w:rPr>
          <w:rFonts w:ascii="Arial" w:hAnsi="Arial" w:cs="Arial"/>
          <w:u w:val="single"/>
          <w:lang w:val="es-ES"/>
        </w:rPr>
        <w:t xml:space="preserve">n de la impunidad de los </w:t>
      </w:r>
      <w:r w:rsidRPr="0083151B">
        <w:rPr>
          <w:rFonts w:ascii="Arial" w:hAnsi="Arial" w:cs="Arial"/>
          <w:u w:val="single"/>
          <w:lang w:val="es-ES"/>
        </w:rPr>
        <w:t>autores de violaciones de los derec</w:t>
      </w:r>
      <w:r>
        <w:rPr>
          <w:rFonts w:ascii="Arial" w:hAnsi="Arial" w:cs="Arial"/>
          <w:u w:val="single"/>
          <w:lang w:val="es-ES"/>
        </w:rPr>
        <w:t xml:space="preserve">hos humanos (derechos civiles y </w:t>
      </w:r>
      <w:r w:rsidRPr="0083151B">
        <w:rPr>
          <w:rFonts w:ascii="Arial" w:hAnsi="Arial" w:cs="Arial"/>
          <w:u w:val="single"/>
          <w:lang w:val="es-ES"/>
        </w:rPr>
        <w:t>políticos)</w:t>
      </w:r>
      <w:r>
        <w:rPr>
          <w:rFonts w:ascii="Arial" w:hAnsi="Arial" w:cs="Arial"/>
          <w:lang w:val="es-ES"/>
        </w:rPr>
        <w:t>,</w:t>
      </w:r>
      <w:r w:rsidRPr="0083151B">
        <w:rPr>
          <w:rFonts w:ascii="Arial" w:hAnsi="Arial" w:cs="Arial"/>
          <w:lang w:val="es-ES"/>
        </w:rPr>
        <w:t xml:space="preserve"> preparado por el S</w:t>
      </w:r>
      <w:r>
        <w:rPr>
          <w:rFonts w:ascii="Arial" w:hAnsi="Arial" w:cs="Arial"/>
          <w:lang w:val="es-ES"/>
        </w:rPr>
        <w:t xml:space="preserve">r. L. </w:t>
      </w:r>
      <w:proofErr w:type="spellStart"/>
      <w:r>
        <w:rPr>
          <w:rFonts w:ascii="Arial" w:hAnsi="Arial" w:cs="Arial"/>
          <w:lang w:val="es-ES"/>
        </w:rPr>
        <w:t>Joinet</w:t>
      </w:r>
      <w:proofErr w:type="spellEnd"/>
      <w:r>
        <w:rPr>
          <w:rFonts w:ascii="Arial" w:hAnsi="Arial" w:cs="Arial"/>
          <w:lang w:val="es-ES"/>
        </w:rPr>
        <w:t xml:space="preserve"> de conformidad con </w:t>
      </w:r>
      <w:r w:rsidRPr="0083151B">
        <w:rPr>
          <w:rFonts w:ascii="Arial" w:hAnsi="Arial" w:cs="Arial"/>
          <w:lang w:val="es-ES"/>
        </w:rPr>
        <w:t xml:space="preserve">la resolución 1996/119 de la Subcomisión, </w:t>
      </w:r>
      <w:r>
        <w:rPr>
          <w:rFonts w:ascii="Arial" w:hAnsi="Arial" w:cs="Arial"/>
          <w:lang w:val="es-ES"/>
        </w:rPr>
        <w:t>2 de octubre de 1997</w:t>
      </w:r>
    </w:p>
  </w:footnote>
  <w:footnote w:id="79">
    <w:p w:rsidR="00205D3D" w:rsidRPr="00F06E9A" w:rsidRDefault="00205D3D" w:rsidP="00CB1790">
      <w:pPr>
        <w:pStyle w:val="Textonotapie"/>
        <w:jc w:val="both"/>
        <w:rPr>
          <w:rFonts w:ascii="Arial" w:hAnsi="Arial" w:cs="Arial"/>
          <w:lang w:val="es-ES"/>
        </w:rPr>
      </w:pPr>
      <w:r w:rsidRPr="00F06E9A">
        <w:rPr>
          <w:rStyle w:val="Refdenotaalpie"/>
          <w:rFonts w:ascii="Arial" w:hAnsi="Arial" w:cs="Arial"/>
        </w:rPr>
        <w:footnoteRef/>
      </w:r>
      <w:r>
        <w:rPr>
          <w:rFonts w:ascii="Arial" w:hAnsi="Arial" w:cs="Arial"/>
          <w:lang w:val="es-ES"/>
        </w:rPr>
        <w:t xml:space="preserve"> Graciela </w:t>
      </w:r>
      <w:proofErr w:type="spellStart"/>
      <w:r>
        <w:rPr>
          <w:rFonts w:ascii="Arial" w:hAnsi="Arial" w:cs="Arial"/>
          <w:lang w:val="es-ES"/>
        </w:rPr>
        <w:t>Guillis</w:t>
      </w:r>
      <w:proofErr w:type="spellEnd"/>
      <w:r>
        <w:rPr>
          <w:rFonts w:ascii="Arial" w:hAnsi="Arial" w:cs="Arial"/>
          <w:lang w:val="es-ES"/>
        </w:rPr>
        <w:t xml:space="preserve">, </w:t>
      </w:r>
      <w:r>
        <w:rPr>
          <w:rFonts w:ascii="Arial" w:hAnsi="Arial" w:cs="Arial"/>
          <w:u w:val="single"/>
          <w:lang w:val="es-ES"/>
        </w:rPr>
        <w:t>El Concepto de Reparación Simbólica,</w:t>
      </w:r>
      <w:r>
        <w:rPr>
          <w:rFonts w:ascii="Arial" w:hAnsi="Arial" w:cs="Arial"/>
          <w:lang w:val="es-ES"/>
        </w:rPr>
        <w:t xml:space="preserve"> </w:t>
      </w:r>
      <w:r w:rsidRPr="002D11E2">
        <w:rPr>
          <w:rFonts w:ascii="Arial" w:hAnsi="Arial" w:cs="Arial"/>
          <w:lang w:val="es-ES"/>
        </w:rPr>
        <w:t>Internet.</w:t>
      </w:r>
      <w:r>
        <w:rPr>
          <w:rFonts w:ascii="Arial" w:hAnsi="Arial" w:cs="Arial"/>
          <w:lang w:val="es-ES"/>
        </w:rPr>
        <w:t xml:space="preserve"> </w:t>
      </w:r>
      <w:r w:rsidRPr="002D11E2">
        <w:rPr>
          <w:rFonts w:ascii="Arial" w:hAnsi="Arial" w:cs="Arial"/>
          <w:lang w:val="es-ES"/>
        </w:rPr>
        <w:t>http://www.cels.org.ar/d</w:t>
      </w:r>
      <w:r>
        <w:rPr>
          <w:rStyle w:val="Hipervnculo"/>
          <w:rFonts w:ascii="Arial" w:hAnsi="Arial" w:cs="Arial"/>
          <w:lang w:val="es-ES"/>
        </w:rPr>
        <w:t xml:space="preserve"> </w:t>
      </w:r>
      <w:r w:rsidRPr="002D11E2">
        <w:rPr>
          <w:rFonts w:ascii="Arial" w:hAnsi="Arial" w:cs="Arial"/>
          <w:lang w:val="es-ES"/>
        </w:rPr>
        <w:t>ocumentos/index.php?tema=&amp;mesd=todos&amp;aniod=todos&amp;mesh=todos&amp;anioh=todos&amp;texto=reparaci%F3n&amp;info=buscador_rs&amp;ids=3&amp;redir=1&amp;boton.x=27&amp;boton.y=7</w:t>
      </w:r>
      <w:r>
        <w:rPr>
          <w:rFonts w:ascii="Arial" w:hAnsi="Arial" w:cs="Arial"/>
          <w:lang w:val="es-ES"/>
        </w:rPr>
        <w:t>, Acceso: 04-03-2013. p. 7.</w:t>
      </w:r>
    </w:p>
  </w:footnote>
  <w:footnote w:id="80">
    <w:p w:rsidR="00205D3D" w:rsidRPr="00F06E9A" w:rsidRDefault="00205D3D" w:rsidP="00CB1790">
      <w:pPr>
        <w:pStyle w:val="Textonotapie"/>
        <w:jc w:val="both"/>
        <w:rPr>
          <w:rFonts w:ascii="Arial" w:hAnsi="Arial" w:cs="Arial"/>
          <w:lang w:val="es-ES"/>
        </w:rPr>
      </w:pPr>
      <w:r w:rsidRPr="00F06E9A">
        <w:rPr>
          <w:rStyle w:val="Refdenotaalpie"/>
          <w:rFonts w:ascii="Arial" w:hAnsi="Arial" w:cs="Arial"/>
        </w:rPr>
        <w:footnoteRef/>
      </w:r>
      <w:r w:rsidRPr="00A73A43">
        <w:rPr>
          <w:rFonts w:ascii="Arial" w:hAnsi="Arial" w:cs="Arial"/>
          <w:lang w:val="es-ES"/>
        </w:rPr>
        <w:t>Alejandro Rold</w:t>
      </w:r>
      <w:r>
        <w:rPr>
          <w:rFonts w:ascii="Arial" w:hAnsi="Arial" w:cs="Arial"/>
          <w:lang w:val="es-ES"/>
        </w:rPr>
        <w:t xml:space="preserve">án, </w:t>
      </w:r>
      <w:r>
        <w:rPr>
          <w:rFonts w:ascii="Arial" w:hAnsi="Arial" w:cs="Arial"/>
          <w:u w:val="single"/>
          <w:lang w:val="es-ES"/>
        </w:rPr>
        <w:t>Reparaci</w:t>
      </w:r>
      <w:r w:rsidRPr="00A73A43">
        <w:rPr>
          <w:rFonts w:ascii="Arial" w:hAnsi="Arial" w:cs="Arial"/>
          <w:u w:val="single"/>
          <w:lang w:val="es-ES"/>
        </w:rPr>
        <w:t>ón Simbólica</w:t>
      </w:r>
      <w:r>
        <w:rPr>
          <w:rFonts w:ascii="Arial" w:hAnsi="Arial" w:cs="Arial"/>
          <w:lang w:val="es-ES"/>
        </w:rPr>
        <w:t xml:space="preserve">, Internet. </w:t>
      </w:r>
      <w:r w:rsidRPr="00A73A43">
        <w:rPr>
          <w:rFonts w:ascii="Arial" w:hAnsi="Arial" w:cs="Arial"/>
          <w:lang w:val="es-ES"/>
        </w:rPr>
        <w:t>http</w:t>
      </w:r>
      <w:proofErr w:type="gramStart"/>
      <w:r w:rsidRPr="00F06E9A">
        <w:rPr>
          <w:rFonts w:ascii="Arial" w:hAnsi="Arial" w:cs="Arial"/>
          <w:lang w:val="es-ES"/>
        </w:rPr>
        <w:t>:/</w:t>
      </w:r>
      <w:proofErr w:type="gramEnd"/>
      <w:r w:rsidRPr="00F06E9A">
        <w:rPr>
          <w:rFonts w:ascii="Arial" w:hAnsi="Arial" w:cs="Arial"/>
          <w:lang w:val="es-ES"/>
        </w:rPr>
        <w:t>/pensardenuevo.org/algunos-elementos-para-establecer-una-discusion-sobre-la-reparacion-simbolica/</w:t>
      </w:r>
      <w:r>
        <w:rPr>
          <w:rFonts w:ascii="Arial" w:hAnsi="Arial" w:cs="Arial"/>
          <w:lang w:val="es-ES"/>
        </w:rPr>
        <w:t>, Acceso: 28-02-2013.</w:t>
      </w:r>
    </w:p>
  </w:footnote>
  <w:footnote w:id="81">
    <w:p w:rsidR="00205D3D" w:rsidRPr="00F06E9A" w:rsidRDefault="00205D3D" w:rsidP="00CB1790">
      <w:pPr>
        <w:pStyle w:val="Body1"/>
        <w:jc w:val="both"/>
        <w:rPr>
          <w:rFonts w:ascii="Arial" w:eastAsia="Times New Roman" w:hAnsi="Arial" w:cs="Arial"/>
          <w:color w:val="auto"/>
          <w:sz w:val="20"/>
        </w:rPr>
      </w:pPr>
      <w:r w:rsidRPr="00F06E9A">
        <w:rPr>
          <w:rFonts w:ascii="Arial" w:hAnsi="Arial" w:cs="Arial"/>
          <w:sz w:val="20"/>
          <w:vertAlign w:val="superscript"/>
        </w:rPr>
        <w:footnoteRef/>
      </w:r>
      <w:r>
        <w:rPr>
          <w:rFonts w:ascii="Arial" w:hAnsi="Arial" w:cs="Arial"/>
          <w:sz w:val="20"/>
        </w:rPr>
        <w:t xml:space="preserve"> </w:t>
      </w:r>
      <w:r w:rsidRPr="00564831">
        <w:rPr>
          <w:rFonts w:ascii="Arial" w:hAnsi="Arial" w:cs="Arial"/>
          <w:sz w:val="20"/>
        </w:rPr>
        <w:t xml:space="preserve">Naciones Unidas, Consejo Económico y Social, Comisión de Derechos Humanos, E/CN.4/Sub.2/1997/20/Rev.1, Informe final revisado acerca de la cuestión de la impunidad de los autores de violaciones de los derechos humanos (derechos civiles y políticos), preparado por el Sr. L. </w:t>
      </w:r>
      <w:proofErr w:type="spellStart"/>
      <w:r w:rsidRPr="00564831">
        <w:rPr>
          <w:rFonts w:ascii="Arial" w:hAnsi="Arial" w:cs="Arial"/>
          <w:sz w:val="20"/>
        </w:rPr>
        <w:t>Joinet</w:t>
      </w:r>
      <w:proofErr w:type="spellEnd"/>
      <w:r w:rsidRPr="00564831">
        <w:rPr>
          <w:rFonts w:ascii="Arial" w:hAnsi="Arial" w:cs="Arial"/>
          <w:sz w:val="20"/>
        </w:rPr>
        <w:t xml:space="preserve"> de conformidad con la resolución 1996/119 de la Subcomisión, 2 de octubre de 1997</w:t>
      </w:r>
      <w:r>
        <w:rPr>
          <w:rFonts w:ascii="Arial" w:hAnsi="Arial" w:cs="Arial"/>
          <w:sz w:val="20"/>
        </w:rPr>
        <w:t>.</w:t>
      </w:r>
    </w:p>
  </w:footnote>
  <w:footnote w:id="82">
    <w:p w:rsidR="00205D3D" w:rsidRPr="00225803" w:rsidRDefault="00205D3D" w:rsidP="00CB1790">
      <w:pPr>
        <w:pStyle w:val="Body1"/>
        <w:jc w:val="both"/>
        <w:rPr>
          <w:rFonts w:ascii="Arial" w:eastAsia="Times New Roman" w:hAnsi="Arial" w:cs="Arial"/>
          <w:color w:val="auto"/>
          <w:sz w:val="20"/>
        </w:rPr>
      </w:pPr>
      <w:r w:rsidRPr="00225803">
        <w:rPr>
          <w:rFonts w:ascii="Arial" w:hAnsi="Arial" w:cs="Arial"/>
          <w:sz w:val="20"/>
          <w:vertAlign w:val="superscript"/>
        </w:rPr>
        <w:footnoteRef/>
      </w:r>
      <w:r w:rsidRPr="00225803">
        <w:rPr>
          <w:rFonts w:ascii="Arial" w:hAnsi="Arial" w:cs="Arial"/>
          <w:sz w:val="20"/>
        </w:rPr>
        <w:t xml:space="preserve"> </w:t>
      </w:r>
      <w:r>
        <w:rPr>
          <w:rFonts w:ascii="Arial" w:hAnsi="Arial" w:cs="Arial"/>
          <w:sz w:val="20"/>
        </w:rPr>
        <w:t xml:space="preserve">Corte Interamericana de Derechos Humanos, </w:t>
      </w:r>
      <w:r w:rsidRPr="005C318F">
        <w:rPr>
          <w:rFonts w:ascii="Arial" w:hAnsi="Arial" w:cs="Arial"/>
          <w:sz w:val="20"/>
          <w:u w:val="single"/>
        </w:rPr>
        <w:t>Caso Niños de la Calle (Villagrán Morales y otros) Vs. Guatemala</w:t>
      </w:r>
      <w:r w:rsidRPr="00225803">
        <w:rPr>
          <w:rFonts w:ascii="Arial" w:hAnsi="Arial" w:cs="Arial"/>
          <w:sz w:val="20"/>
        </w:rPr>
        <w:t>,</w:t>
      </w:r>
      <w:r>
        <w:rPr>
          <w:rFonts w:ascii="Arial" w:hAnsi="Arial" w:cs="Arial"/>
          <w:sz w:val="20"/>
        </w:rPr>
        <w:t xml:space="preserve"> Sentencia de 26 de mayo de 2001.</w:t>
      </w:r>
      <w:r w:rsidRPr="00225803">
        <w:rPr>
          <w:rFonts w:ascii="Arial" w:hAnsi="Arial" w:cs="Arial"/>
          <w:sz w:val="20"/>
        </w:rPr>
        <w:t xml:space="preserve"> </w:t>
      </w:r>
      <w:r>
        <w:rPr>
          <w:rFonts w:ascii="Arial" w:hAnsi="Arial" w:cs="Arial"/>
          <w:sz w:val="20"/>
        </w:rPr>
        <w:t>(</w:t>
      </w:r>
      <w:r w:rsidRPr="00225803">
        <w:rPr>
          <w:rFonts w:ascii="Arial" w:hAnsi="Arial" w:cs="Arial"/>
          <w:sz w:val="20"/>
        </w:rPr>
        <w:t>Reparaciones</w:t>
      </w:r>
      <w:r>
        <w:rPr>
          <w:rFonts w:ascii="Arial" w:hAnsi="Arial" w:cs="Arial"/>
          <w:sz w:val="20"/>
        </w:rPr>
        <w:t xml:space="preserve"> y Costas),</w:t>
      </w:r>
      <w:r w:rsidRPr="00225803">
        <w:rPr>
          <w:rFonts w:ascii="Arial" w:hAnsi="Arial" w:cs="Arial"/>
          <w:sz w:val="20"/>
        </w:rPr>
        <w:t xml:space="preserve"> p</w:t>
      </w:r>
      <w:r>
        <w:rPr>
          <w:rFonts w:ascii="Arial" w:hAnsi="Arial" w:cs="Arial"/>
          <w:sz w:val="20"/>
        </w:rPr>
        <w:t>ár</w:t>
      </w:r>
      <w:r w:rsidRPr="00225803">
        <w:rPr>
          <w:rFonts w:ascii="Arial" w:hAnsi="Arial" w:cs="Arial"/>
          <w:sz w:val="20"/>
        </w:rPr>
        <w:t>r.</w:t>
      </w:r>
      <w:r>
        <w:rPr>
          <w:rFonts w:ascii="Arial" w:hAnsi="Arial" w:cs="Arial"/>
          <w:sz w:val="20"/>
        </w:rPr>
        <w:t xml:space="preserve"> </w:t>
      </w:r>
      <w:r w:rsidRPr="00225803">
        <w:rPr>
          <w:rFonts w:ascii="Arial" w:hAnsi="Arial" w:cs="Arial"/>
          <w:sz w:val="20"/>
        </w:rPr>
        <w:t>60</w:t>
      </w:r>
      <w:r>
        <w:rPr>
          <w:rFonts w:ascii="Arial" w:hAnsi="Arial" w:cs="Arial"/>
          <w:sz w:val="20"/>
        </w:rPr>
        <w:t>.</w:t>
      </w:r>
    </w:p>
  </w:footnote>
  <w:footnote w:id="83">
    <w:p w:rsidR="00205D3D" w:rsidRPr="00661DF3" w:rsidRDefault="00205D3D">
      <w:pPr>
        <w:pStyle w:val="Textonotapie"/>
        <w:rPr>
          <w:lang w:val="es-ES"/>
        </w:rPr>
      </w:pPr>
      <w:r>
        <w:rPr>
          <w:rStyle w:val="Refdenotaalpie"/>
        </w:rPr>
        <w:footnoteRef/>
      </w:r>
      <w:r w:rsidRPr="00661DF3">
        <w:rPr>
          <w:lang w:val="es-ES"/>
        </w:rPr>
        <w:t xml:space="preserve"> </w:t>
      </w:r>
      <w:r>
        <w:rPr>
          <w:rFonts w:ascii="Arial" w:hAnsi="Arial" w:cs="Arial"/>
          <w:lang w:val="es-ES"/>
        </w:rPr>
        <w:t xml:space="preserve">Corte Interamericana de Derechos Humanos, </w:t>
      </w:r>
      <w:r w:rsidRPr="00346CF9">
        <w:rPr>
          <w:rFonts w:ascii="Arial" w:hAnsi="Arial" w:cs="Arial"/>
          <w:u w:val="single"/>
          <w:lang w:val="es-ES"/>
        </w:rPr>
        <w:t xml:space="preserve">Caso </w:t>
      </w:r>
      <w:proofErr w:type="spellStart"/>
      <w:r w:rsidRPr="00346CF9">
        <w:rPr>
          <w:rFonts w:ascii="Arial" w:hAnsi="Arial" w:cs="Arial"/>
          <w:u w:val="single"/>
          <w:lang w:val="es-ES"/>
        </w:rPr>
        <w:t>Aloeboetoe</w:t>
      </w:r>
      <w:proofErr w:type="spellEnd"/>
      <w:r w:rsidRPr="00346CF9">
        <w:rPr>
          <w:rFonts w:ascii="Arial" w:hAnsi="Arial" w:cs="Arial"/>
          <w:u w:val="single"/>
          <w:lang w:val="es-ES"/>
        </w:rPr>
        <w:t>, y otros Vs .Surinam</w:t>
      </w:r>
      <w:r>
        <w:rPr>
          <w:rFonts w:ascii="Arial" w:hAnsi="Arial" w:cs="Arial"/>
          <w:lang w:val="es-ES"/>
        </w:rPr>
        <w:t xml:space="preserve">, </w:t>
      </w:r>
      <w:r w:rsidRPr="00225803">
        <w:rPr>
          <w:rFonts w:ascii="Arial" w:hAnsi="Arial" w:cs="Arial"/>
          <w:lang w:val="es-ES"/>
        </w:rPr>
        <w:t>Sentencia de 10 de septiembre de 1993</w:t>
      </w:r>
      <w:r>
        <w:rPr>
          <w:rFonts w:ascii="Arial" w:hAnsi="Arial" w:cs="Arial"/>
          <w:lang w:val="es-ES"/>
        </w:rPr>
        <w:t>. (</w:t>
      </w:r>
      <w:r w:rsidRPr="00225803">
        <w:rPr>
          <w:rFonts w:ascii="Arial" w:hAnsi="Arial" w:cs="Arial"/>
          <w:lang w:val="es-ES"/>
        </w:rPr>
        <w:t>Reparaciones y Costas</w:t>
      </w:r>
      <w:r>
        <w:rPr>
          <w:rFonts w:ascii="Arial" w:hAnsi="Arial" w:cs="Arial"/>
          <w:lang w:val="es-ES"/>
        </w:rPr>
        <w:t xml:space="preserve">), párr. 58. </w:t>
      </w:r>
      <w:r w:rsidRPr="00225803">
        <w:rPr>
          <w:rFonts w:ascii="Arial" w:hAnsi="Arial" w:cs="Arial"/>
          <w:lang w:val="es-ES"/>
        </w:rPr>
        <w:t xml:space="preserve"> </w:t>
      </w:r>
    </w:p>
  </w:footnote>
  <w:footnote w:id="84">
    <w:p w:rsidR="00205D3D" w:rsidRPr="00225803" w:rsidRDefault="00205D3D" w:rsidP="00CB1790">
      <w:pPr>
        <w:pStyle w:val="Textonotapie"/>
        <w:jc w:val="both"/>
        <w:rPr>
          <w:rFonts w:ascii="Arial" w:hAnsi="Arial" w:cs="Arial"/>
          <w:lang w:val="es-ES"/>
        </w:rPr>
      </w:pPr>
      <w:r w:rsidRPr="00225803">
        <w:rPr>
          <w:rStyle w:val="Refdenotaalpie"/>
          <w:rFonts w:ascii="Arial" w:hAnsi="Arial" w:cs="Arial"/>
        </w:rPr>
        <w:footnoteRef/>
      </w:r>
      <w:r w:rsidRPr="00225803">
        <w:rPr>
          <w:rFonts w:ascii="Arial" w:hAnsi="Arial" w:cs="Arial"/>
          <w:lang w:val="es-ES"/>
        </w:rPr>
        <w:t xml:space="preserve"> </w:t>
      </w:r>
      <w:proofErr w:type="spellStart"/>
      <w:r>
        <w:rPr>
          <w:rFonts w:ascii="Arial" w:hAnsi="Arial" w:cs="Arial"/>
          <w:lang w:val="es-ES"/>
        </w:rPr>
        <w:t>Ibid</w:t>
      </w:r>
      <w:proofErr w:type="spellEnd"/>
      <w:r>
        <w:rPr>
          <w:rFonts w:ascii="Arial" w:hAnsi="Arial" w:cs="Arial"/>
          <w:lang w:val="es-ES"/>
        </w:rPr>
        <w:t>., párr. 116.</w:t>
      </w:r>
    </w:p>
  </w:footnote>
  <w:footnote w:id="85">
    <w:p w:rsidR="00205D3D" w:rsidRPr="00225803" w:rsidRDefault="00205D3D" w:rsidP="004C0176">
      <w:pPr>
        <w:pStyle w:val="Textonotapie"/>
        <w:jc w:val="both"/>
        <w:rPr>
          <w:rFonts w:ascii="Arial" w:hAnsi="Arial" w:cs="Arial"/>
          <w:lang w:val="es-ES"/>
        </w:rPr>
      </w:pPr>
      <w:r w:rsidRPr="00225803">
        <w:rPr>
          <w:rStyle w:val="Refdenotaalpie"/>
          <w:rFonts w:ascii="Arial" w:hAnsi="Arial" w:cs="Arial"/>
        </w:rPr>
        <w:footnoteRef/>
      </w:r>
      <w:r>
        <w:rPr>
          <w:rFonts w:ascii="Arial" w:hAnsi="Arial" w:cs="Arial"/>
          <w:lang w:val="es-ES"/>
        </w:rPr>
        <w:t xml:space="preserve"> </w:t>
      </w:r>
      <w:r w:rsidRPr="002F24FA">
        <w:rPr>
          <w:rFonts w:ascii="Arial" w:hAnsi="Arial" w:cs="Arial"/>
          <w:lang w:val="es-ES"/>
        </w:rPr>
        <w:t>Principios y directrices básicos sobre el derecho de las víctimas de violaciones manifiestas de las normas internacionales de derechos humanos y de violaciones graves del derecho internacional humanitario a interponer recursos y obtener reparaciones</w:t>
      </w:r>
      <w:r>
        <w:rPr>
          <w:rFonts w:ascii="Arial" w:hAnsi="Arial" w:cs="Arial"/>
          <w:lang w:val="es-ES"/>
        </w:rPr>
        <w:t>. P</w:t>
      </w:r>
      <w:r w:rsidRPr="00225803">
        <w:rPr>
          <w:rFonts w:ascii="Arial" w:hAnsi="Arial" w:cs="Arial"/>
          <w:lang w:val="es-ES"/>
        </w:rPr>
        <w:t>rincipio 18.</w:t>
      </w:r>
    </w:p>
  </w:footnote>
  <w:footnote w:id="86">
    <w:p w:rsidR="00205D3D" w:rsidRPr="00225803" w:rsidRDefault="00205D3D" w:rsidP="00F45EB1">
      <w:pPr>
        <w:pStyle w:val="Body1"/>
        <w:jc w:val="both"/>
        <w:rPr>
          <w:rFonts w:ascii="Arial" w:eastAsia="Times New Roman" w:hAnsi="Arial" w:cs="Arial"/>
          <w:color w:val="auto"/>
          <w:sz w:val="20"/>
        </w:rPr>
      </w:pPr>
      <w:r w:rsidRPr="00225803">
        <w:rPr>
          <w:rFonts w:ascii="Arial" w:hAnsi="Arial" w:cs="Arial"/>
          <w:sz w:val="20"/>
          <w:vertAlign w:val="superscript"/>
        </w:rPr>
        <w:footnoteRef/>
      </w:r>
      <w:r>
        <w:rPr>
          <w:rFonts w:ascii="Arial" w:hAnsi="Arial" w:cs="Arial"/>
          <w:sz w:val="20"/>
        </w:rPr>
        <w:t xml:space="preserve"> Ibíd., Principio</w:t>
      </w:r>
      <w:r w:rsidRPr="00225803">
        <w:rPr>
          <w:rFonts w:ascii="Arial" w:hAnsi="Arial" w:cs="Arial"/>
          <w:sz w:val="20"/>
        </w:rPr>
        <w:t xml:space="preserve"> 19. </w:t>
      </w:r>
    </w:p>
  </w:footnote>
  <w:footnote w:id="87">
    <w:p w:rsidR="00205D3D" w:rsidRPr="00CB1790" w:rsidRDefault="00205D3D" w:rsidP="00225803">
      <w:pPr>
        <w:pStyle w:val="Textonotapie"/>
        <w:rPr>
          <w:rFonts w:ascii="Arial" w:hAnsi="Arial" w:cs="Arial"/>
          <w:sz w:val="18"/>
          <w:szCs w:val="18"/>
          <w:lang w:val="es-ES"/>
        </w:rPr>
      </w:pPr>
      <w:r w:rsidRPr="00225803">
        <w:rPr>
          <w:rStyle w:val="Refdenotaalpie"/>
          <w:rFonts w:ascii="Arial" w:hAnsi="Arial" w:cs="Arial"/>
        </w:rPr>
        <w:footnoteRef/>
      </w:r>
      <w:r w:rsidRPr="00225803">
        <w:rPr>
          <w:rFonts w:ascii="Arial" w:hAnsi="Arial" w:cs="Arial"/>
          <w:lang w:val="es-ES"/>
        </w:rPr>
        <w:t xml:space="preserve"> </w:t>
      </w:r>
      <w:r>
        <w:rPr>
          <w:rFonts w:ascii="Arial" w:hAnsi="Arial" w:cs="Arial"/>
          <w:lang w:val="es-ES"/>
        </w:rPr>
        <w:t xml:space="preserve">Corte Interamericana de Derechos Humanos, </w:t>
      </w:r>
      <w:r>
        <w:rPr>
          <w:rFonts w:ascii="Arial" w:hAnsi="Arial" w:cs="Arial"/>
          <w:u w:val="single"/>
          <w:lang w:val="es-ES"/>
        </w:rPr>
        <w:t xml:space="preserve">Caso </w:t>
      </w:r>
      <w:proofErr w:type="spellStart"/>
      <w:r>
        <w:rPr>
          <w:rFonts w:ascii="Arial" w:hAnsi="Arial" w:cs="Arial"/>
          <w:u w:val="single"/>
          <w:lang w:val="es-ES"/>
        </w:rPr>
        <w:t>Fornerón</w:t>
      </w:r>
      <w:proofErr w:type="spellEnd"/>
      <w:r>
        <w:rPr>
          <w:rFonts w:ascii="Arial" w:hAnsi="Arial" w:cs="Arial"/>
          <w:u w:val="single"/>
          <w:lang w:val="es-ES"/>
        </w:rPr>
        <w:t xml:space="preserve"> e hija V</w:t>
      </w:r>
      <w:r w:rsidRPr="00DD61FA">
        <w:rPr>
          <w:rFonts w:ascii="Arial" w:hAnsi="Arial" w:cs="Arial"/>
          <w:u w:val="single"/>
          <w:lang w:val="es-ES"/>
        </w:rPr>
        <w:t>s. Argentina</w:t>
      </w:r>
      <w:r w:rsidRPr="00225803">
        <w:rPr>
          <w:rFonts w:ascii="Arial" w:hAnsi="Arial" w:cs="Arial"/>
          <w:lang w:val="es-ES"/>
        </w:rPr>
        <w:t>, Sentencia de 27 de Abril de 2012</w:t>
      </w:r>
      <w:r>
        <w:rPr>
          <w:rFonts w:ascii="Arial" w:hAnsi="Arial" w:cs="Arial"/>
          <w:lang w:val="es-ES"/>
        </w:rPr>
        <w:t>. (Fondo, Reparaciones y Costas), párr. 157.</w:t>
      </w:r>
    </w:p>
  </w:footnote>
  <w:footnote w:id="88">
    <w:p w:rsidR="00205D3D" w:rsidRPr="00C3680E" w:rsidRDefault="00205D3D" w:rsidP="00CB1790">
      <w:pPr>
        <w:pStyle w:val="Textonotapie"/>
        <w:jc w:val="both"/>
        <w:rPr>
          <w:rFonts w:ascii="Arial" w:hAnsi="Arial" w:cs="Arial"/>
          <w:lang w:val="es-ES"/>
        </w:rPr>
      </w:pPr>
      <w:r w:rsidRPr="00C3680E">
        <w:rPr>
          <w:rStyle w:val="Refdenotaalpie"/>
          <w:rFonts w:ascii="Arial" w:hAnsi="Arial" w:cs="Arial"/>
        </w:rPr>
        <w:footnoteRef/>
      </w:r>
      <w:r w:rsidRPr="00C3680E">
        <w:rPr>
          <w:rFonts w:ascii="Arial" w:hAnsi="Arial" w:cs="Arial"/>
          <w:lang w:val="es-ES"/>
        </w:rPr>
        <w:t xml:space="preserve"> Corte Interamericana de Derechos Humanos, </w:t>
      </w:r>
      <w:r w:rsidRPr="00C3680E">
        <w:rPr>
          <w:rFonts w:ascii="Arial" w:hAnsi="Arial" w:cs="Arial"/>
          <w:u w:val="single"/>
          <w:lang w:val="es-ES"/>
        </w:rPr>
        <w:t xml:space="preserve">Caso </w:t>
      </w:r>
      <w:proofErr w:type="spellStart"/>
      <w:r w:rsidRPr="00C3680E">
        <w:rPr>
          <w:rFonts w:ascii="Arial" w:hAnsi="Arial" w:cs="Arial"/>
          <w:u w:val="single"/>
          <w:lang w:val="es-ES"/>
        </w:rPr>
        <w:t>Bámaca</w:t>
      </w:r>
      <w:proofErr w:type="spellEnd"/>
      <w:r w:rsidRPr="00C3680E">
        <w:rPr>
          <w:rFonts w:ascii="Arial" w:hAnsi="Arial" w:cs="Arial"/>
          <w:u w:val="single"/>
          <w:lang w:val="es-ES"/>
        </w:rPr>
        <w:t xml:space="preserve"> Velásquez Vs. Guatemala</w:t>
      </w:r>
      <w:r w:rsidRPr="00C3680E">
        <w:rPr>
          <w:rFonts w:ascii="Arial" w:hAnsi="Arial" w:cs="Arial"/>
          <w:lang w:val="es-ES"/>
        </w:rPr>
        <w:t xml:space="preserve">, Sentencia de 22 de febrero de 2002. (Reparaciones y Costas), </w:t>
      </w:r>
      <w:proofErr w:type="spellStart"/>
      <w:r w:rsidRPr="00C3680E">
        <w:rPr>
          <w:rFonts w:ascii="Arial" w:hAnsi="Arial" w:cs="Arial"/>
          <w:lang w:val="es-ES"/>
        </w:rPr>
        <w:t>párrs</w:t>
      </w:r>
      <w:proofErr w:type="spellEnd"/>
      <w:r w:rsidRPr="00C3680E">
        <w:rPr>
          <w:rFonts w:ascii="Arial" w:hAnsi="Arial" w:cs="Arial"/>
          <w:lang w:val="es-ES"/>
        </w:rPr>
        <w:t>. 39, 40.</w:t>
      </w:r>
    </w:p>
  </w:footnote>
  <w:footnote w:id="89">
    <w:p w:rsidR="00205D3D" w:rsidRPr="00C3680E" w:rsidRDefault="00205D3D" w:rsidP="00CB1790">
      <w:pPr>
        <w:pStyle w:val="Textonotapie"/>
        <w:jc w:val="both"/>
        <w:rPr>
          <w:rFonts w:ascii="Arial" w:hAnsi="Arial" w:cs="Arial"/>
          <w:lang w:val="es-ES"/>
        </w:rPr>
      </w:pPr>
      <w:r w:rsidRPr="00C3680E">
        <w:rPr>
          <w:rStyle w:val="Refdenotaalpie"/>
          <w:rFonts w:ascii="Arial" w:hAnsi="Arial" w:cs="Arial"/>
        </w:rPr>
        <w:footnoteRef/>
      </w:r>
      <w:r w:rsidRPr="00C3680E">
        <w:rPr>
          <w:rFonts w:ascii="Arial" w:hAnsi="Arial" w:cs="Arial"/>
          <w:lang w:val="es-ES"/>
        </w:rPr>
        <w:t xml:space="preserve"> Voto </w:t>
      </w:r>
      <w:r>
        <w:rPr>
          <w:rFonts w:ascii="Arial" w:hAnsi="Arial" w:cs="Arial"/>
          <w:lang w:val="es-ES"/>
        </w:rPr>
        <w:t>R</w:t>
      </w:r>
      <w:r w:rsidRPr="00C3680E">
        <w:rPr>
          <w:rFonts w:ascii="Arial" w:hAnsi="Arial" w:cs="Arial"/>
          <w:lang w:val="es-ES"/>
        </w:rPr>
        <w:t xml:space="preserve">azonado </w:t>
      </w:r>
      <w:r>
        <w:rPr>
          <w:rFonts w:ascii="Arial" w:hAnsi="Arial" w:cs="Arial"/>
          <w:lang w:val="es-ES"/>
        </w:rPr>
        <w:t>C</w:t>
      </w:r>
      <w:r w:rsidRPr="00C3680E">
        <w:rPr>
          <w:rFonts w:ascii="Arial" w:hAnsi="Arial" w:cs="Arial"/>
          <w:lang w:val="es-ES"/>
        </w:rPr>
        <w:t>oncurrente del Juez Sergio Garc</w:t>
      </w:r>
      <w:r>
        <w:rPr>
          <w:rFonts w:ascii="Arial" w:hAnsi="Arial" w:cs="Arial"/>
          <w:lang w:val="es-ES"/>
        </w:rPr>
        <w:t>ía Ramírez, en la sentencia de Reparaciones y C</w:t>
      </w:r>
      <w:r w:rsidRPr="00C3680E">
        <w:rPr>
          <w:rFonts w:ascii="Arial" w:hAnsi="Arial" w:cs="Arial"/>
          <w:lang w:val="es-ES"/>
        </w:rPr>
        <w:t xml:space="preserve">ostas del caso </w:t>
      </w:r>
      <w:proofErr w:type="spellStart"/>
      <w:r w:rsidRPr="00C3680E">
        <w:rPr>
          <w:rFonts w:ascii="Arial" w:hAnsi="Arial" w:cs="Arial"/>
          <w:lang w:val="es-ES"/>
        </w:rPr>
        <w:t>Bámaca</w:t>
      </w:r>
      <w:proofErr w:type="spellEnd"/>
      <w:r w:rsidRPr="00C3680E">
        <w:rPr>
          <w:rFonts w:ascii="Arial" w:hAnsi="Arial" w:cs="Arial"/>
          <w:lang w:val="es-ES"/>
        </w:rPr>
        <w:t xml:space="preserve"> Velásquez vs. Guatemala.  </w:t>
      </w:r>
    </w:p>
  </w:footnote>
  <w:footnote w:id="90">
    <w:p w:rsidR="00205D3D" w:rsidRPr="0088353D" w:rsidRDefault="00205D3D" w:rsidP="00CB1790">
      <w:pPr>
        <w:pStyle w:val="Textonotapie"/>
        <w:jc w:val="both"/>
        <w:rPr>
          <w:rFonts w:ascii="Arial" w:hAnsi="Arial" w:cs="Arial"/>
          <w:lang w:val="es-ES"/>
        </w:rPr>
      </w:pPr>
      <w:r w:rsidRPr="0088353D">
        <w:rPr>
          <w:rStyle w:val="Refdenotaalpie"/>
          <w:rFonts w:ascii="Arial" w:hAnsi="Arial" w:cs="Arial"/>
        </w:rPr>
        <w:footnoteRef/>
      </w:r>
      <w:r w:rsidRPr="0088353D">
        <w:rPr>
          <w:rFonts w:ascii="Arial" w:hAnsi="Arial" w:cs="Arial"/>
          <w:lang w:val="es-ES"/>
        </w:rPr>
        <w:t xml:space="preserve"> Id.</w:t>
      </w:r>
    </w:p>
  </w:footnote>
  <w:footnote w:id="91">
    <w:p w:rsidR="00205D3D" w:rsidRPr="0088353D" w:rsidRDefault="00205D3D" w:rsidP="00CB1790">
      <w:pPr>
        <w:pStyle w:val="Textonotapie"/>
        <w:jc w:val="both"/>
        <w:rPr>
          <w:rFonts w:ascii="Arial" w:hAnsi="Arial" w:cs="Arial"/>
          <w:lang w:val="es-ES"/>
        </w:rPr>
      </w:pPr>
      <w:r w:rsidRPr="0088353D">
        <w:rPr>
          <w:rStyle w:val="Refdenotaalpie"/>
          <w:rFonts w:ascii="Arial" w:hAnsi="Arial" w:cs="Arial"/>
        </w:rPr>
        <w:footnoteRef/>
      </w:r>
      <w:r w:rsidRPr="0088353D">
        <w:rPr>
          <w:rFonts w:ascii="Arial" w:hAnsi="Arial" w:cs="Arial"/>
          <w:lang w:val="es-ES"/>
        </w:rPr>
        <w:t xml:space="preserve"> Id.</w:t>
      </w:r>
    </w:p>
  </w:footnote>
  <w:footnote w:id="92">
    <w:p w:rsidR="00205D3D" w:rsidRPr="0088353D" w:rsidRDefault="00205D3D" w:rsidP="0088353D">
      <w:pPr>
        <w:pStyle w:val="Textonotapie"/>
        <w:jc w:val="both"/>
        <w:rPr>
          <w:rFonts w:ascii="Arial" w:hAnsi="Arial" w:cs="Arial"/>
          <w:lang w:val="es-ES"/>
        </w:rPr>
      </w:pPr>
      <w:r w:rsidRPr="0088353D">
        <w:rPr>
          <w:rStyle w:val="Refdenotaalpie"/>
          <w:rFonts w:ascii="Arial" w:hAnsi="Arial" w:cs="Arial"/>
        </w:rPr>
        <w:footnoteRef/>
      </w:r>
      <w:r w:rsidRPr="0088353D">
        <w:rPr>
          <w:rFonts w:ascii="Arial" w:hAnsi="Arial" w:cs="Arial"/>
          <w:lang w:val="es-ES"/>
        </w:rPr>
        <w:t xml:space="preserve"> Por ejemplo ver los casos de la Corte Interamericana de D</w:t>
      </w:r>
      <w:r>
        <w:rPr>
          <w:rFonts w:ascii="Arial" w:hAnsi="Arial" w:cs="Arial"/>
          <w:lang w:val="es-ES"/>
        </w:rPr>
        <w:t>e</w:t>
      </w:r>
      <w:r w:rsidRPr="0088353D">
        <w:rPr>
          <w:rFonts w:ascii="Arial" w:hAnsi="Arial" w:cs="Arial"/>
          <w:lang w:val="es-ES"/>
        </w:rPr>
        <w:t>rechos Humanos; 19 Comerciantes vs. Colombia, párr.</w:t>
      </w:r>
      <w:r>
        <w:rPr>
          <w:rFonts w:ascii="Arial" w:hAnsi="Arial" w:cs="Arial"/>
          <w:lang w:val="es-ES"/>
        </w:rPr>
        <w:t xml:space="preserve"> 223</w:t>
      </w:r>
      <w:r w:rsidRPr="0088353D">
        <w:rPr>
          <w:rFonts w:ascii="Arial" w:hAnsi="Arial" w:cs="Arial"/>
          <w:lang w:val="es-ES"/>
        </w:rPr>
        <w:t>; Cantos vs. Argentina, párr.</w:t>
      </w:r>
      <w:r>
        <w:rPr>
          <w:rFonts w:ascii="Arial" w:hAnsi="Arial" w:cs="Arial"/>
          <w:lang w:val="es-ES"/>
        </w:rPr>
        <w:t xml:space="preserve"> 68</w:t>
      </w:r>
      <w:r w:rsidRPr="0088353D">
        <w:rPr>
          <w:rFonts w:ascii="Arial" w:hAnsi="Arial" w:cs="Arial"/>
          <w:lang w:val="es-ES"/>
        </w:rPr>
        <w:t>; Caso del Caracazo vs. Venezuela,</w:t>
      </w:r>
      <w:r>
        <w:rPr>
          <w:rFonts w:ascii="Arial" w:hAnsi="Arial" w:cs="Arial"/>
          <w:lang w:val="es-ES"/>
        </w:rPr>
        <w:t xml:space="preserve"> (Reparaciones),</w:t>
      </w:r>
      <w:r w:rsidRPr="0088353D">
        <w:rPr>
          <w:rFonts w:ascii="Arial" w:hAnsi="Arial" w:cs="Arial"/>
          <w:lang w:val="es-ES"/>
        </w:rPr>
        <w:t xml:space="preserve"> párr.</w:t>
      </w:r>
      <w:r>
        <w:rPr>
          <w:rFonts w:ascii="Arial" w:hAnsi="Arial" w:cs="Arial"/>
          <w:lang w:val="es-ES"/>
        </w:rPr>
        <w:t>78.</w:t>
      </w:r>
      <w:r w:rsidRPr="0088353D">
        <w:rPr>
          <w:rFonts w:ascii="Arial" w:hAnsi="Arial" w:cs="Arial"/>
          <w:lang w:val="es-ES"/>
        </w:rPr>
        <w:t xml:space="preserve"> </w:t>
      </w:r>
    </w:p>
  </w:footnote>
  <w:footnote w:id="93">
    <w:p w:rsidR="00205D3D" w:rsidRPr="0088353D" w:rsidRDefault="00205D3D" w:rsidP="0088353D">
      <w:pPr>
        <w:pStyle w:val="Textonotapie"/>
        <w:jc w:val="both"/>
        <w:rPr>
          <w:rFonts w:ascii="Arial" w:hAnsi="Arial" w:cs="Arial"/>
          <w:lang w:val="es-ES"/>
        </w:rPr>
      </w:pPr>
      <w:r w:rsidRPr="0088353D">
        <w:rPr>
          <w:rStyle w:val="Refdenotaalpie"/>
          <w:rFonts w:ascii="Arial" w:hAnsi="Arial" w:cs="Arial"/>
        </w:rPr>
        <w:footnoteRef/>
      </w:r>
      <w:r w:rsidRPr="0088353D">
        <w:rPr>
          <w:rFonts w:ascii="Arial" w:hAnsi="Arial" w:cs="Arial"/>
          <w:lang w:val="es-ES"/>
        </w:rPr>
        <w:t xml:space="preserve"> </w:t>
      </w:r>
      <w:r>
        <w:rPr>
          <w:rFonts w:ascii="Arial" w:hAnsi="Arial" w:cs="Arial"/>
          <w:lang w:val="es-ES"/>
        </w:rPr>
        <w:t xml:space="preserve">Corte Interamericana de Derechos Humanos, </w:t>
      </w:r>
      <w:r w:rsidRPr="00DD3BB1">
        <w:rPr>
          <w:rFonts w:ascii="Arial" w:hAnsi="Arial" w:cs="Arial"/>
          <w:u w:val="single"/>
          <w:lang w:val="es-ES"/>
        </w:rPr>
        <w:t>C</w:t>
      </w:r>
      <w:r>
        <w:rPr>
          <w:rFonts w:ascii="Arial" w:hAnsi="Arial" w:cs="Arial"/>
          <w:u w:val="single"/>
          <w:lang w:val="es-ES"/>
        </w:rPr>
        <w:t xml:space="preserve">aso de las Masacres de </w:t>
      </w:r>
      <w:proofErr w:type="spellStart"/>
      <w:r>
        <w:rPr>
          <w:rFonts w:ascii="Arial" w:hAnsi="Arial" w:cs="Arial"/>
          <w:u w:val="single"/>
          <w:lang w:val="es-ES"/>
        </w:rPr>
        <w:t>Ituango</w:t>
      </w:r>
      <w:proofErr w:type="spellEnd"/>
      <w:r>
        <w:rPr>
          <w:rFonts w:ascii="Arial" w:hAnsi="Arial" w:cs="Arial"/>
          <w:u w:val="single"/>
          <w:lang w:val="es-ES"/>
        </w:rPr>
        <w:t xml:space="preserve"> V</w:t>
      </w:r>
      <w:r w:rsidRPr="00DD3BB1">
        <w:rPr>
          <w:rFonts w:ascii="Arial" w:hAnsi="Arial" w:cs="Arial"/>
          <w:u w:val="single"/>
          <w:lang w:val="es-ES"/>
        </w:rPr>
        <w:t>s. Colombia</w:t>
      </w:r>
      <w:r w:rsidRPr="0088353D">
        <w:rPr>
          <w:rFonts w:ascii="Arial" w:hAnsi="Arial" w:cs="Arial"/>
          <w:lang w:val="es-ES"/>
        </w:rPr>
        <w:t xml:space="preserve">, </w:t>
      </w:r>
      <w:r>
        <w:rPr>
          <w:rFonts w:ascii="Arial" w:hAnsi="Arial" w:cs="Arial"/>
          <w:lang w:val="es-ES"/>
        </w:rPr>
        <w:t xml:space="preserve">Sentencia de 1 de Julio de 2006, </w:t>
      </w:r>
      <w:proofErr w:type="spellStart"/>
      <w:r>
        <w:rPr>
          <w:rFonts w:ascii="Arial" w:hAnsi="Arial" w:cs="Arial"/>
          <w:lang w:val="es-ES"/>
        </w:rPr>
        <w:t>párrs</w:t>
      </w:r>
      <w:proofErr w:type="spellEnd"/>
      <w:r>
        <w:rPr>
          <w:rFonts w:ascii="Arial" w:hAnsi="Arial" w:cs="Arial"/>
          <w:lang w:val="es-ES"/>
        </w:rPr>
        <w:t>. 371, 372.</w:t>
      </w:r>
    </w:p>
  </w:footnote>
  <w:footnote w:id="94">
    <w:p w:rsidR="00205D3D" w:rsidRPr="00225803" w:rsidRDefault="00205D3D" w:rsidP="00EA3CEE">
      <w:pPr>
        <w:pStyle w:val="Textonotapie"/>
        <w:jc w:val="both"/>
        <w:rPr>
          <w:rFonts w:ascii="Arial" w:hAnsi="Arial" w:cs="Arial"/>
          <w:lang w:val="es-ES"/>
        </w:rPr>
      </w:pPr>
      <w:r w:rsidRPr="00225803">
        <w:rPr>
          <w:rStyle w:val="Refdenotaalpie"/>
          <w:rFonts w:ascii="Arial" w:hAnsi="Arial" w:cs="Arial"/>
        </w:rPr>
        <w:footnoteRef/>
      </w:r>
      <w:r w:rsidRPr="00225803">
        <w:rPr>
          <w:rFonts w:ascii="Arial" w:hAnsi="Arial" w:cs="Arial"/>
          <w:lang w:val="es-ES"/>
        </w:rPr>
        <w:t xml:space="preserve"> Equipo de Salud Mental del Centro de Estudios legales y Sociales (CELS) y aportes del equipo interdisciplinario del Proyecto Atención integral a víctimas de tortura del IIDH, </w:t>
      </w:r>
      <w:proofErr w:type="spellStart"/>
      <w:r w:rsidRPr="00225803">
        <w:rPr>
          <w:rFonts w:ascii="Arial" w:hAnsi="Arial" w:cs="Arial"/>
          <w:lang w:val="es-ES"/>
        </w:rPr>
        <w:t>op</w:t>
      </w:r>
      <w:proofErr w:type="spellEnd"/>
      <w:r w:rsidRPr="00225803">
        <w:rPr>
          <w:rFonts w:ascii="Arial" w:hAnsi="Arial" w:cs="Arial"/>
          <w:lang w:val="es-ES"/>
        </w:rPr>
        <w:t>. cit., 299.</w:t>
      </w:r>
    </w:p>
  </w:footnote>
  <w:footnote w:id="95">
    <w:p w:rsidR="00205D3D" w:rsidRPr="00225803" w:rsidRDefault="00205D3D" w:rsidP="00CB1790">
      <w:pPr>
        <w:pStyle w:val="Textonotapie"/>
        <w:jc w:val="both"/>
        <w:rPr>
          <w:rFonts w:ascii="Arial" w:hAnsi="Arial" w:cs="Arial"/>
          <w:lang w:val="es-ES"/>
        </w:rPr>
      </w:pPr>
      <w:r w:rsidRPr="00225803">
        <w:rPr>
          <w:rStyle w:val="Refdenotaalpie"/>
          <w:rFonts w:ascii="Arial" w:hAnsi="Arial" w:cs="Arial"/>
        </w:rPr>
        <w:footnoteRef/>
      </w:r>
      <w:r w:rsidRPr="00225803">
        <w:rPr>
          <w:rFonts w:ascii="Arial" w:hAnsi="Arial" w:cs="Arial"/>
          <w:lang w:val="es-ES"/>
        </w:rPr>
        <w:t xml:space="preserve"> </w:t>
      </w:r>
      <w:r>
        <w:rPr>
          <w:rFonts w:ascii="Arial" w:hAnsi="Arial" w:cs="Arial"/>
          <w:lang w:val="es-ES"/>
        </w:rPr>
        <w:t xml:space="preserve">Corte Interamericana de Derechos Humanos, </w:t>
      </w:r>
      <w:r w:rsidRPr="004651C0">
        <w:rPr>
          <w:rFonts w:ascii="Arial" w:hAnsi="Arial" w:cs="Arial"/>
          <w:u w:val="single"/>
          <w:lang w:val="es-ES"/>
        </w:rPr>
        <w:t xml:space="preserve">Caso </w:t>
      </w:r>
      <w:proofErr w:type="spellStart"/>
      <w:r w:rsidRPr="004651C0">
        <w:rPr>
          <w:rFonts w:ascii="Arial" w:hAnsi="Arial" w:cs="Arial"/>
          <w:u w:val="single"/>
          <w:lang w:val="es-ES"/>
        </w:rPr>
        <w:t>Aloeboetoe</w:t>
      </w:r>
      <w:proofErr w:type="spellEnd"/>
      <w:r w:rsidRPr="004651C0">
        <w:rPr>
          <w:rFonts w:ascii="Arial" w:hAnsi="Arial" w:cs="Arial"/>
          <w:u w:val="single"/>
          <w:lang w:val="es-ES"/>
        </w:rPr>
        <w:t xml:space="preserve"> y otros Vs. Surinam</w:t>
      </w:r>
      <w:r w:rsidRPr="00225803">
        <w:rPr>
          <w:rFonts w:ascii="Arial" w:hAnsi="Arial" w:cs="Arial"/>
          <w:lang w:val="es-ES"/>
        </w:rPr>
        <w:t>,</w:t>
      </w:r>
      <w:r>
        <w:rPr>
          <w:rFonts w:ascii="Arial" w:hAnsi="Arial" w:cs="Arial"/>
          <w:lang w:val="es-ES"/>
        </w:rPr>
        <w:t xml:space="preserve"> Sentencia de 10 de septiembre de 1993. (R</w:t>
      </w:r>
      <w:r w:rsidRPr="00225803">
        <w:rPr>
          <w:rFonts w:ascii="Arial" w:hAnsi="Arial" w:cs="Arial"/>
          <w:lang w:val="es-ES"/>
        </w:rPr>
        <w:t xml:space="preserve">eparaciones </w:t>
      </w:r>
      <w:r>
        <w:rPr>
          <w:rFonts w:ascii="Arial" w:hAnsi="Arial" w:cs="Arial"/>
          <w:lang w:val="es-ES"/>
        </w:rPr>
        <w:t xml:space="preserve">y Costas), </w:t>
      </w:r>
      <w:r w:rsidRPr="00225803">
        <w:rPr>
          <w:rFonts w:ascii="Arial" w:hAnsi="Arial" w:cs="Arial"/>
          <w:lang w:val="es-ES"/>
        </w:rPr>
        <w:t>párr. 87.</w:t>
      </w:r>
    </w:p>
  </w:footnote>
  <w:footnote w:id="96">
    <w:p w:rsidR="00205D3D" w:rsidRPr="00CA2E8C" w:rsidRDefault="00205D3D" w:rsidP="00CB1790">
      <w:pPr>
        <w:pStyle w:val="Textonotapie"/>
        <w:jc w:val="both"/>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r>
        <w:rPr>
          <w:rFonts w:ascii="Arial" w:hAnsi="Arial" w:cs="Arial"/>
          <w:lang w:val="es-ES"/>
        </w:rPr>
        <w:t xml:space="preserve">Corte Interamericana de Derechos Humanos, </w:t>
      </w:r>
      <w:r w:rsidRPr="002752D4">
        <w:rPr>
          <w:rFonts w:ascii="Arial" w:hAnsi="Arial" w:cs="Arial"/>
          <w:u w:val="single"/>
          <w:lang w:val="es-ES"/>
        </w:rPr>
        <w:t>Caso Perozo y otros Vs. Venezuela</w:t>
      </w:r>
      <w:r>
        <w:rPr>
          <w:rFonts w:ascii="Arial" w:hAnsi="Arial" w:cs="Arial"/>
          <w:lang w:val="es-ES"/>
        </w:rPr>
        <w:t>, S</w:t>
      </w:r>
      <w:r w:rsidRPr="00CA2E8C">
        <w:rPr>
          <w:rFonts w:ascii="Arial" w:hAnsi="Arial" w:cs="Arial"/>
          <w:lang w:val="es-ES"/>
        </w:rPr>
        <w:t xml:space="preserve">entencia </w:t>
      </w:r>
      <w:r>
        <w:rPr>
          <w:rFonts w:ascii="Arial" w:hAnsi="Arial" w:cs="Arial"/>
          <w:lang w:val="es-ES"/>
        </w:rPr>
        <w:t xml:space="preserve">de </w:t>
      </w:r>
      <w:r w:rsidRPr="00CA2E8C">
        <w:rPr>
          <w:rFonts w:ascii="Arial" w:hAnsi="Arial" w:cs="Arial"/>
          <w:lang w:val="es-ES"/>
        </w:rPr>
        <w:t>26 de mayo del 2001</w:t>
      </w:r>
      <w:r>
        <w:rPr>
          <w:rFonts w:ascii="Arial" w:hAnsi="Arial" w:cs="Arial"/>
          <w:lang w:val="es-ES"/>
        </w:rPr>
        <w:t>. (Excepciones Preliminares, Fondo, Reparaciones y Costas), párr. 405, nota al pie de página N. 362.</w:t>
      </w:r>
    </w:p>
  </w:footnote>
  <w:footnote w:id="97">
    <w:p w:rsidR="00205D3D" w:rsidRPr="00434330" w:rsidRDefault="00205D3D" w:rsidP="00434330">
      <w:pPr>
        <w:pStyle w:val="Textonotapie"/>
        <w:jc w:val="both"/>
        <w:rPr>
          <w:rFonts w:ascii="Arial" w:hAnsi="Arial" w:cs="Arial"/>
          <w:sz w:val="18"/>
          <w:szCs w:val="18"/>
          <w:lang w:val="es-ES"/>
        </w:rPr>
      </w:pPr>
      <w:r w:rsidRPr="00434330">
        <w:rPr>
          <w:rStyle w:val="Refdenotaalpie"/>
          <w:rFonts w:ascii="Arial" w:hAnsi="Arial" w:cs="Arial"/>
        </w:rPr>
        <w:footnoteRef/>
      </w:r>
      <w:r w:rsidRPr="00434330">
        <w:rPr>
          <w:rFonts w:ascii="Arial" w:hAnsi="Arial" w:cs="Arial"/>
          <w:lang w:val="es-ES"/>
        </w:rPr>
        <w:t xml:space="preserve"> Corte Interamericana de Derechos Humanos, </w:t>
      </w:r>
      <w:r w:rsidRPr="00434330">
        <w:rPr>
          <w:rFonts w:ascii="Arial" w:hAnsi="Arial" w:cs="Arial"/>
          <w:u w:val="single"/>
          <w:lang w:val="es-ES"/>
        </w:rPr>
        <w:t>Caso Niños de la Calle (Villagrán Morales y otros) Vs. Guatemala</w:t>
      </w:r>
      <w:r w:rsidRPr="00434330">
        <w:rPr>
          <w:rFonts w:ascii="Arial" w:hAnsi="Arial" w:cs="Arial"/>
          <w:lang w:val="es-ES"/>
        </w:rPr>
        <w:t>, Sentencia de 26 de mayo de 2001. (Reparaciones y Costas), párr. 84.</w:t>
      </w:r>
      <w:r w:rsidRPr="00434330">
        <w:rPr>
          <w:rFonts w:ascii="Arial" w:hAnsi="Arial" w:cs="Arial"/>
          <w:sz w:val="18"/>
          <w:szCs w:val="18"/>
          <w:lang w:val="es-ES"/>
        </w:rPr>
        <w:t xml:space="preserve"> </w:t>
      </w:r>
    </w:p>
  </w:footnote>
  <w:footnote w:id="98">
    <w:p w:rsidR="00205D3D" w:rsidRPr="00434330" w:rsidRDefault="00205D3D" w:rsidP="00434330">
      <w:pPr>
        <w:pStyle w:val="Textonotapie"/>
        <w:jc w:val="both"/>
        <w:rPr>
          <w:rFonts w:ascii="Arial" w:hAnsi="Arial" w:cs="Arial"/>
          <w:lang w:val="es-ES"/>
        </w:rPr>
      </w:pPr>
      <w:r w:rsidRPr="00434330">
        <w:rPr>
          <w:rStyle w:val="Refdenotaalpie"/>
          <w:rFonts w:ascii="Arial" w:hAnsi="Arial" w:cs="Arial"/>
        </w:rPr>
        <w:footnoteRef/>
      </w:r>
      <w:r w:rsidRPr="00434330">
        <w:rPr>
          <w:rFonts w:ascii="Arial" w:hAnsi="Arial" w:cs="Arial"/>
          <w:lang w:val="es-ES"/>
        </w:rPr>
        <w:t xml:space="preserve"> </w:t>
      </w:r>
      <w:r>
        <w:rPr>
          <w:rFonts w:ascii="Arial" w:hAnsi="Arial" w:cs="Arial"/>
          <w:lang w:val="es-ES"/>
        </w:rPr>
        <w:t xml:space="preserve">Corte Interamericana de Derechos Humanos, </w:t>
      </w:r>
      <w:r>
        <w:rPr>
          <w:rFonts w:ascii="Arial" w:hAnsi="Arial" w:cs="Arial"/>
          <w:u w:val="single"/>
          <w:lang w:val="es-ES"/>
        </w:rPr>
        <w:t xml:space="preserve">Caso </w:t>
      </w:r>
      <w:proofErr w:type="spellStart"/>
      <w:r>
        <w:rPr>
          <w:rFonts w:ascii="Arial" w:hAnsi="Arial" w:cs="Arial"/>
          <w:u w:val="single"/>
          <w:lang w:val="es-ES"/>
        </w:rPr>
        <w:t>Caesar</w:t>
      </w:r>
      <w:proofErr w:type="spellEnd"/>
      <w:r>
        <w:rPr>
          <w:rFonts w:ascii="Arial" w:hAnsi="Arial" w:cs="Arial"/>
          <w:u w:val="single"/>
          <w:lang w:val="es-ES"/>
        </w:rPr>
        <w:t xml:space="preserve"> Vs. Trinidad y Tobago</w:t>
      </w:r>
      <w:r>
        <w:rPr>
          <w:rFonts w:ascii="Arial" w:hAnsi="Arial" w:cs="Arial"/>
          <w:lang w:val="es-ES"/>
        </w:rPr>
        <w:t>, Sentencia de 11 de marzo de 2005. (Fondo, Reparaciones y Costas), párr. 44.</w:t>
      </w:r>
    </w:p>
  </w:footnote>
  <w:footnote w:id="99">
    <w:p w:rsidR="00205D3D" w:rsidRPr="00CA2E8C" w:rsidRDefault="00205D3D" w:rsidP="00434330">
      <w:pPr>
        <w:pStyle w:val="Textonotapie"/>
        <w:jc w:val="both"/>
        <w:rPr>
          <w:rFonts w:ascii="Arial" w:hAnsi="Arial" w:cs="Arial"/>
          <w:lang w:val="es-ES"/>
        </w:rPr>
      </w:pPr>
      <w:r w:rsidRPr="00434330">
        <w:rPr>
          <w:rStyle w:val="Refdenotaalpie"/>
          <w:rFonts w:ascii="Arial" w:hAnsi="Arial" w:cs="Arial"/>
        </w:rPr>
        <w:footnoteRef/>
      </w:r>
      <w:r w:rsidRPr="00434330">
        <w:rPr>
          <w:rFonts w:ascii="Arial" w:hAnsi="Arial" w:cs="Arial"/>
          <w:lang w:val="es-ES"/>
        </w:rPr>
        <w:t xml:space="preserve"> Principios y directrices básicos sobre el derecho de las víctimas de violaciones manifiestas de las normas</w:t>
      </w:r>
      <w:r w:rsidRPr="002F24FA">
        <w:rPr>
          <w:rFonts w:ascii="Arial" w:hAnsi="Arial" w:cs="Arial"/>
          <w:lang w:val="es-ES"/>
        </w:rPr>
        <w:t xml:space="preserve"> internacionales de derechos humanos y de violaciones graves del derecho internacional humanitario a interponer recursos y obtener reparaciones</w:t>
      </w:r>
      <w:r>
        <w:rPr>
          <w:rFonts w:ascii="Arial" w:hAnsi="Arial" w:cs="Arial"/>
          <w:lang w:val="es-ES"/>
        </w:rPr>
        <w:t>. P</w:t>
      </w:r>
      <w:r w:rsidRPr="00CA2E8C">
        <w:rPr>
          <w:rFonts w:ascii="Arial" w:hAnsi="Arial" w:cs="Arial"/>
          <w:lang w:val="es-ES"/>
        </w:rPr>
        <w:t>rincipio 21</w:t>
      </w:r>
      <w:r>
        <w:rPr>
          <w:rFonts w:ascii="Arial" w:hAnsi="Arial" w:cs="Arial"/>
          <w:lang w:val="es-ES"/>
        </w:rPr>
        <w:t>.</w:t>
      </w:r>
    </w:p>
  </w:footnote>
  <w:footnote w:id="100">
    <w:p w:rsidR="00205D3D" w:rsidRPr="00434330" w:rsidRDefault="00205D3D" w:rsidP="00434330">
      <w:pPr>
        <w:pStyle w:val="Textonotapie"/>
        <w:jc w:val="both"/>
        <w:rPr>
          <w:rFonts w:ascii="Arial" w:hAnsi="Arial" w:cs="Arial"/>
          <w:lang w:val="es-ES"/>
        </w:rPr>
      </w:pPr>
      <w:r w:rsidRPr="00434330">
        <w:rPr>
          <w:rStyle w:val="Refdenotaalpie"/>
          <w:rFonts w:ascii="Arial" w:hAnsi="Arial" w:cs="Arial"/>
        </w:rPr>
        <w:footnoteRef/>
      </w:r>
      <w:r w:rsidRPr="00434330">
        <w:rPr>
          <w:rFonts w:ascii="Arial" w:hAnsi="Arial" w:cs="Arial"/>
          <w:lang w:val="es-ES"/>
        </w:rPr>
        <w:t xml:space="preserve"> Convención Internacional sobre los Derechos de las Personas con Discapacidad</w:t>
      </w:r>
      <w:r>
        <w:rPr>
          <w:rFonts w:ascii="Arial" w:hAnsi="Arial" w:cs="Arial"/>
          <w:lang w:val="es-ES"/>
        </w:rPr>
        <w:t>, texto</w:t>
      </w:r>
      <w:r w:rsidRPr="00434330">
        <w:rPr>
          <w:rFonts w:ascii="Arial" w:hAnsi="Arial" w:cs="Arial"/>
          <w:lang w:val="es-ES"/>
        </w:rPr>
        <w:t xml:space="preserve"> aprobado por la Asamblea General de Naciones Unidas el 13 de diciembre de 2006 en la Sede de las Naciones Unidas en Nueva York</w:t>
      </w:r>
      <w:r>
        <w:rPr>
          <w:rFonts w:ascii="Arial" w:hAnsi="Arial" w:cs="Arial"/>
          <w:lang w:val="es-ES"/>
        </w:rPr>
        <w:t>.</w:t>
      </w:r>
    </w:p>
  </w:footnote>
  <w:footnote w:id="101">
    <w:p w:rsidR="00205D3D" w:rsidRPr="00CA2E8C" w:rsidRDefault="00205D3D" w:rsidP="00612303">
      <w:pPr>
        <w:pStyle w:val="Textonotapie"/>
        <w:jc w:val="both"/>
        <w:rPr>
          <w:rFonts w:ascii="Arial" w:hAnsi="Arial" w:cs="Arial"/>
          <w:lang w:val="es-ES"/>
        </w:rPr>
      </w:pPr>
      <w:r w:rsidRPr="00434330">
        <w:rPr>
          <w:rStyle w:val="Refdenotaalpie"/>
          <w:rFonts w:ascii="Arial" w:hAnsi="Arial" w:cs="Arial"/>
        </w:rPr>
        <w:footnoteRef/>
      </w:r>
      <w:r w:rsidRPr="00434330">
        <w:rPr>
          <w:rFonts w:ascii="Arial" w:hAnsi="Arial" w:cs="Arial"/>
          <w:lang w:val="es-ES"/>
        </w:rPr>
        <w:t xml:space="preserve"> Corte Interamericana de Derechos Humanos, </w:t>
      </w:r>
      <w:r w:rsidRPr="00434330">
        <w:rPr>
          <w:rFonts w:ascii="Arial" w:hAnsi="Arial" w:cs="Arial"/>
          <w:u w:val="single"/>
          <w:lang w:val="es-ES"/>
        </w:rPr>
        <w:t xml:space="preserve">Caso </w:t>
      </w:r>
      <w:proofErr w:type="spellStart"/>
      <w:r w:rsidRPr="00434330">
        <w:rPr>
          <w:rFonts w:ascii="Arial" w:hAnsi="Arial" w:cs="Arial"/>
          <w:u w:val="single"/>
          <w:lang w:val="es-ES"/>
        </w:rPr>
        <w:t>Furlan</w:t>
      </w:r>
      <w:proofErr w:type="spellEnd"/>
      <w:r w:rsidRPr="00434330">
        <w:rPr>
          <w:rFonts w:ascii="Arial" w:hAnsi="Arial" w:cs="Arial"/>
          <w:u w:val="single"/>
          <w:lang w:val="es-ES"/>
        </w:rPr>
        <w:t xml:space="preserve"> y familiares Vs. Argentina</w:t>
      </w:r>
      <w:r w:rsidRPr="00434330">
        <w:rPr>
          <w:rFonts w:ascii="Arial" w:hAnsi="Arial" w:cs="Arial"/>
          <w:lang w:val="es-ES"/>
        </w:rPr>
        <w:t>, Sentencia de 31 de</w:t>
      </w:r>
      <w:r>
        <w:rPr>
          <w:rFonts w:ascii="Arial" w:hAnsi="Arial" w:cs="Arial"/>
          <w:lang w:val="es-ES"/>
        </w:rPr>
        <w:t xml:space="preserve"> agosto de 2012. (Excepciones Preliminares, Fondo, Reparaciones y Costas), </w:t>
      </w:r>
      <w:r w:rsidRPr="00CA2E8C">
        <w:rPr>
          <w:rFonts w:ascii="Arial" w:hAnsi="Arial" w:cs="Arial"/>
          <w:lang w:val="es-ES"/>
        </w:rPr>
        <w:t>párr. 282</w:t>
      </w:r>
      <w:r>
        <w:rPr>
          <w:rFonts w:ascii="Arial" w:hAnsi="Arial" w:cs="Arial"/>
          <w:lang w:val="es-ES"/>
        </w:rPr>
        <w:t>.</w:t>
      </w:r>
    </w:p>
  </w:footnote>
  <w:footnote w:id="102">
    <w:p w:rsidR="00205D3D" w:rsidRPr="00CA2E8C" w:rsidRDefault="00205D3D">
      <w:pPr>
        <w:pStyle w:val="Textonotapie"/>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proofErr w:type="spellStart"/>
      <w:r w:rsidRPr="00CA2E8C">
        <w:rPr>
          <w:rFonts w:ascii="Arial" w:hAnsi="Arial" w:cs="Arial"/>
          <w:lang w:val="es-ES"/>
        </w:rPr>
        <w:t>Ibid</w:t>
      </w:r>
      <w:proofErr w:type="spellEnd"/>
      <w:r w:rsidRPr="00CA2E8C">
        <w:rPr>
          <w:rFonts w:ascii="Arial" w:hAnsi="Arial" w:cs="Arial"/>
          <w:lang w:val="es-ES"/>
        </w:rPr>
        <w:t xml:space="preserve">. párr. 283 </w:t>
      </w:r>
    </w:p>
  </w:footnote>
  <w:footnote w:id="103">
    <w:p w:rsidR="00205D3D" w:rsidRPr="00CA2E8C" w:rsidRDefault="00205D3D">
      <w:pPr>
        <w:pStyle w:val="Textonotapie"/>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proofErr w:type="spellStart"/>
      <w:r w:rsidRPr="00CA2E8C">
        <w:rPr>
          <w:rFonts w:ascii="Arial" w:hAnsi="Arial" w:cs="Arial"/>
          <w:lang w:val="es-ES"/>
        </w:rPr>
        <w:t>Ibid</w:t>
      </w:r>
      <w:proofErr w:type="spellEnd"/>
      <w:r w:rsidRPr="00CA2E8C">
        <w:rPr>
          <w:rFonts w:ascii="Arial" w:hAnsi="Arial" w:cs="Arial"/>
          <w:lang w:val="es-ES"/>
        </w:rPr>
        <w:t>. párr. 284</w:t>
      </w:r>
    </w:p>
  </w:footnote>
  <w:footnote w:id="104">
    <w:p w:rsidR="00205D3D" w:rsidRPr="00CA2E8C" w:rsidRDefault="00205D3D">
      <w:pPr>
        <w:pStyle w:val="Textonotapie"/>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Ver</w:t>
      </w:r>
      <w:r>
        <w:rPr>
          <w:rFonts w:ascii="Arial" w:hAnsi="Arial" w:cs="Arial"/>
          <w:lang w:val="es-ES"/>
        </w:rPr>
        <w:t xml:space="preserve"> por ejemplo los casos de la Corte Interamericana de Derechos Humanos;</w:t>
      </w:r>
      <w:r w:rsidRPr="00CA2E8C">
        <w:rPr>
          <w:rFonts w:ascii="Arial" w:hAnsi="Arial" w:cs="Arial"/>
          <w:lang w:val="es-ES"/>
        </w:rPr>
        <w:t xml:space="preserve"> Gutiérrez Soler</w:t>
      </w:r>
      <w:r>
        <w:rPr>
          <w:rFonts w:ascii="Arial" w:hAnsi="Arial" w:cs="Arial"/>
          <w:lang w:val="es-ES"/>
        </w:rPr>
        <w:t xml:space="preserve"> Vs. Colombia, párr. 42</w:t>
      </w:r>
      <w:r w:rsidRPr="00CA2E8C">
        <w:rPr>
          <w:rFonts w:ascii="Arial" w:hAnsi="Arial" w:cs="Arial"/>
          <w:lang w:val="es-ES"/>
        </w:rPr>
        <w:t xml:space="preserve">; </w:t>
      </w:r>
      <w:r>
        <w:rPr>
          <w:rFonts w:ascii="Arial" w:hAnsi="Arial" w:cs="Arial"/>
          <w:lang w:val="es-ES"/>
        </w:rPr>
        <w:t>Plan de Sánchez Vs. Guatemala (Reparaciones), párr. 38.</w:t>
      </w:r>
    </w:p>
  </w:footnote>
  <w:footnote w:id="105">
    <w:p w:rsidR="00205D3D" w:rsidRPr="004E173E" w:rsidRDefault="00205D3D" w:rsidP="004E173E">
      <w:pPr>
        <w:pStyle w:val="Textonotapie"/>
        <w:jc w:val="both"/>
        <w:rPr>
          <w:rFonts w:ascii="Arial" w:hAnsi="Arial" w:cs="Arial"/>
          <w:lang w:val="es-ES"/>
        </w:rPr>
      </w:pPr>
      <w:r w:rsidRPr="004E173E">
        <w:rPr>
          <w:rStyle w:val="Refdenotaalpie"/>
          <w:rFonts w:ascii="Arial" w:hAnsi="Arial" w:cs="Arial"/>
        </w:rPr>
        <w:footnoteRef/>
      </w:r>
      <w:r w:rsidRPr="004E173E">
        <w:rPr>
          <w:rFonts w:ascii="Arial" w:hAnsi="Arial" w:cs="Arial"/>
          <w:lang w:val="es-ES"/>
        </w:rPr>
        <w:t xml:space="preserve"> Principios y directrices básicos sobre el derecho de las víctimas de violaciones manifiestas de las normas internacionales de derechos humanos y de violaciones graves del derecho internacional humanitario a interponer recursos y obtener reparaciones. Principio 22. </w:t>
      </w:r>
    </w:p>
  </w:footnote>
  <w:footnote w:id="106">
    <w:p w:rsidR="00205D3D" w:rsidRPr="004E173E" w:rsidRDefault="00205D3D" w:rsidP="004E173E">
      <w:pPr>
        <w:pStyle w:val="Body1"/>
        <w:jc w:val="both"/>
        <w:rPr>
          <w:rFonts w:ascii="Arial" w:eastAsia="Times New Roman" w:hAnsi="Arial" w:cs="Arial"/>
          <w:color w:val="auto"/>
          <w:sz w:val="20"/>
        </w:rPr>
      </w:pPr>
      <w:r w:rsidRPr="004E173E">
        <w:rPr>
          <w:rFonts w:ascii="Arial" w:hAnsi="Arial" w:cs="Arial"/>
          <w:sz w:val="20"/>
          <w:vertAlign w:val="superscript"/>
        </w:rPr>
        <w:footnoteRef/>
      </w:r>
      <w:r w:rsidRPr="004E173E">
        <w:rPr>
          <w:rFonts w:ascii="Arial" w:hAnsi="Arial" w:cs="Arial"/>
          <w:sz w:val="20"/>
        </w:rPr>
        <w:t xml:space="preserve"> Por ejemplo, ver el caso de la Corte Interamericana de Derechos Humanos de los Hermanos Gómez </w:t>
      </w:r>
      <w:proofErr w:type="spellStart"/>
      <w:r w:rsidRPr="004E173E">
        <w:rPr>
          <w:rFonts w:ascii="Arial" w:hAnsi="Arial" w:cs="Arial"/>
          <w:sz w:val="20"/>
        </w:rPr>
        <w:t>Paquiyauri</w:t>
      </w:r>
      <w:proofErr w:type="spellEnd"/>
      <w:r w:rsidRPr="004E173E">
        <w:rPr>
          <w:rFonts w:ascii="Arial" w:hAnsi="Arial" w:cs="Arial"/>
          <w:sz w:val="20"/>
        </w:rPr>
        <w:t xml:space="preserve"> Vs. Perú, </w:t>
      </w:r>
      <w:proofErr w:type="spellStart"/>
      <w:r w:rsidRPr="004E173E">
        <w:rPr>
          <w:rFonts w:ascii="Arial" w:hAnsi="Arial" w:cs="Arial"/>
          <w:sz w:val="20"/>
        </w:rPr>
        <w:t>párrs</w:t>
      </w:r>
      <w:proofErr w:type="spellEnd"/>
      <w:r w:rsidRPr="004E173E">
        <w:rPr>
          <w:rFonts w:ascii="Arial" w:hAnsi="Arial" w:cs="Arial"/>
          <w:sz w:val="20"/>
        </w:rPr>
        <w:t>. 73. 226.</w:t>
      </w:r>
    </w:p>
  </w:footnote>
  <w:footnote w:id="107">
    <w:p w:rsidR="00205D3D" w:rsidRPr="004E173E" w:rsidRDefault="00205D3D" w:rsidP="004E173E">
      <w:pPr>
        <w:pStyle w:val="Textonotapie"/>
        <w:jc w:val="both"/>
        <w:rPr>
          <w:rFonts w:ascii="Arial" w:hAnsi="Arial" w:cs="Arial"/>
          <w:lang w:val="es-ES"/>
        </w:rPr>
      </w:pPr>
      <w:r w:rsidRPr="004E173E">
        <w:rPr>
          <w:rStyle w:val="Refdenotaalpie"/>
          <w:rFonts w:ascii="Arial" w:hAnsi="Arial" w:cs="Arial"/>
        </w:rPr>
        <w:footnoteRef/>
      </w:r>
      <w:r w:rsidRPr="004E173E">
        <w:rPr>
          <w:rFonts w:ascii="Arial" w:hAnsi="Arial" w:cs="Arial"/>
          <w:lang w:val="es-ES"/>
        </w:rPr>
        <w:t xml:space="preserve"> Corte Interamericana de Derechos Humanos, </w:t>
      </w:r>
      <w:r>
        <w:rPr>
          <w:rFonts w:ascii="Arial" w:hAnsi="Arial" w:cs="Arial"/>
          <w:u w:val="single"/>
          <w:lang w:val="es-ES"/>
        </w:rPr>
        <w:t>Caso de las Hermanas Serrano Cruz Vs. El Salvador</w:t>
      </w:r>
      <w:r>
        <w:rPr>
          <w:rFonts w:ascii="Arial" w:hAnsi="Arial" w:cs="Arial"/>
          <w:lang w:val="es-ES"/>
        </w:rPr>
        <w:t>, Sentencia de 1 de marzo de 2005</w:t>
      </w:r>
      <w:r w:rsidRPr="004E173E">
        <w:rPr>
          <w:rFonts w:ascii="Arial" w:hAnsi="Arial" w:cs="Arial"/>
          <w:lang w:val="es-ES"/>
        </w:rPr>
        <w:t>. (Fondo</w:t>
      </w:r>
      <w:r>
        <w:rPr>
          <w:rFonts w:ascii="Arial" w:hAnsi="Arial" w:cs="Arial"/>
          <w:lang w:val="es-ES"/>
        </w:rPr>
        <w:t>, Reparaciones</w:t>
      </w:r>
      <w:r w:rsidRPr="004E173E">
        <w:rPr>
          <w:rFonts w:ascii="Arial" w:hAnsi="Arial" w:cs="Arial"/>
          <w:lang w:val="es-ES"/>
        </w:rPr>
        <w:t xml:space="preserve">), </w:t>
      </w:r>
      <w:r>
        <w:rPr>
          <w:rFonts w:ascii="Arial" w:hAnsi="Arial" w:cs="Arial"/>
          <w:lang w:val="es-ES"/>
        </w:rPr>
        <w:t>puntos resolutivos, párr. 7</w:t>
      </w:r>
      <w:r w:rsidRPr="004E173E">
        <w:rPr>
          <w:rFonts w:ascii="Arial" w:hAnsi="Arial" w:cs="Arial"/>
          <w:lang w:val="es-ES"/>
        </w:rPr>
        <w:t>.</w:t>
      </w:r>
    </w:p>
  </w:footnote>
  <w:footnote w:id="108">
    <w:p w:rsidR="00205D3D" w:rsidRPr="00CA2E8C" w:rsidRDefault="00205D3D" w:rsidP="009903F8">
      <w:pPr>
        <w:pStyle w:val="Textonotapie"/>
        <w:jc w:val="both"/>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r>
        <w:rPr>
          <w:rFonts w:ascii="Arial" w:hAnsi="Arial" w:cs="Arial"/>
          <w:lang w:val="es-ES"/>
        </w:rPr>
        <w:t xml:space="preserve">Corte Interamericana de Derechos Humanos, </w:t>
      </w:r>
      <w:r w:rsidRPr="00C52130">
        <w:rPr>
          <w:rFonts w:ascii="Arial" w:hAnsi="Arial" w:cs="Arial"/>
          <w:u w:val="single"/>
          <w:lang w:val="es-ES"/>
        </w:rPr>
        <w:t>Caso Blanco Romero y otros vs. Venezuela</w:t>
      </w:r>
      <w:r w:rsidRPr="00CA2E8C">
        <w:rPr>
          <w:rFonts w:ascii="Arial" w:hAnsi="Arial" w:cs="Arial"/>
          <w:lang w:val="es-ES"/>
        </w:rPr>
        <w:t>, Sente</w:t>
      </w:r>
      <w:r>
        <w:rPr>
          <w:rFonts w:ascii="Arial" w:hAnsi="Arial" w:cs="Arial"/>
          <w:lang w:val="es-ES"/>
        </w:rPr>
        <w:t>ncia de 28 de Noviembre de 2005, párr. 125.</w:t>
      </w:r>
    </w:p>
  </w:footnote>
  <w:footnote w:id="109">
    <w:p w:rsidR="00205D3D" w:rsidRPr="00CA2E8C" w:rsidRDefault="00205D3D">
      <w:pPr>
        <w:pStyle w:val="Textonotapie"/>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r>
        <w:rPr>
          <w:rFonts w:ascii="Arial" w:hAnsi="Arial" w:cs="Arial"/>
          <w:lang w:val="es-ES"/>
        </w:rPr>
        <w:t xml:space="preserve">Por ejemplo ver los casos de la Corte Interamericana de Derechos Humanos; </w:t>
      </w:r>
      <w:r w:rsidRPr="00CA2E8C">
        <w:rPr>
          <w:rFonts w:ascii="Arial" w:hAnsi="Arial" w:cs="Arial"/>
          <w:lang w:val="es-ES"/>
        </w:rPr>
        <w:t>de la Cruz Flores</w:t>
      </w:r>
      <w:r>
        <w:rPr>
          <w:rFonts w:ascii="Arial" w:hAnsi="Arial" w:cs="Arial"/>
          <w:lang w:val="es-ES"/>
        </w:rPr>
        <w:t xml:space="preserve"> Vs. Perú, párr. 159</w:t>
      </w:r>
      <w:r w:rsidRPr="00CA2E8C">
        <w:rPr>
          <w:rFonts w:ascii="Arial" w:hAnsi="Arial" w:cs="Arial"/>
          <w:lang w:val="es-ES"/>
        </w:rPr>
        <w:t xml:space="preserve">; </w:t>
      </w:r>
      <w:proofErr w:type="spellStart"/>
      <w:r>
        <w:rPr>
          <w:rFonts w:ascii="Arial" w:hAnsi="Arial" w:cs="Arial"/>
          <w:lang w:val="es-ES"/>
        </w:rPr>
        <w:t>Caesar</w:t>
      </w:r>
      <w:proofErr w:type="spellEnd"/>
      <w:r>
        <w:rPr>
          <w:rFonts w:ascii="Arial" w:hAnsi="Arial" w:cs="Arial"/>
          <w:lang w:val="es-ES"/>
        </w:rPr>
        <w:t xml:space="preserve"> Vs. Trinidad y Tobago, párr. 126.</w:t>
      </w:r>
      <w:r w:rsidRPr="00CA2E8C">
        <w:rPr>
          <w:rFonts w:ascii="Arial" w:hAnsi="Arial" w:cs="Arial"/>
          <w:lang w:val="es-ES"/>
        </w:rPr>
        <w:t xml:space="preserve"> </w:t>
      </w:r>
    </w:p>
  </w:footnote>
  <w:footnote w:id="110">
    <w:p w:rsidR="00205D3D" w:rsidRPr="00CA2E8C" w:rsidRDefault="00205D3D" w:rsidP="00A25820">
      <w:pPr>
        <w:pStyle w:val="Textonotapie"/>
        <w:jc w:val="both"/>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r>
        <w:rPr>
          <w:rFonts w:ascii="Arial" w:hAnsi="Arial" w:cs="Arial"/>
          <w:lang w:val="es-ES"/>
        </w:rPr>
        <w:t xml:space="preserve">Por ejemplo ver los casos de las Corte Interamericana de Derechos Humanos; </w:t>
      </w:r>
      <w:r w:rsidRPr="00CA2E8C">
        <w:rPr>
          <w:rFonts w:ascii="Arial" w:hAnsi="Arial" w:cs="Arial"/>
          <w:lang w:val="es-ES"/>
        </w:rPr>
        <w:t>Cantoral Benavides vs. Perú</w:t>
      </w:r>
      <w:r>
        <w:rPr>
          <w:rFonts w:ascii="Arial" w:hAnsi="Arial" w:cs="Arial"/>
          <w:lang w:val="es-ES"/>
        </w:rPr>
        <w:t>, párr. 65</w:t>
      </w:r>
      <w:r w:rsidRPr="00CA2E8C">
        <w:rPr>
          <w:rFonts w:ascii="Arial" w:hAnsi="Arial" w:cs="Arial"/>
          <w:lang w:val="es-ES"/>
        </w:rPr>
        <w:t>; Caso Zambrano Vélez</w:t>
      </w:r>
      <w:r>
        <w:rPr>
          <w:rFonts w:ascii="Arial" w:hAnsi="Arial" w:cs="Arial"/>
          <w:lang w:val="es-ES"/>
        </w:rPr>
        <w:t xml:space="preserve"> Vs. Ecuador, párr. 151</w:t>
      </w:r>
      <w:r w:rsidRPr="00CA2E8C">
        <w:rPr>
          <w:rFonts w:ascii="Arial" w:hAnsi="Arial" w:cs="Arial"/>
          <w:lang w:val="es-ES"/>
        </w:rPr>
        <w:t>; Caso C</w:t>
      </w:r>
      <w:r>
        <w:rPr>
          <w:rFonts w:ascii="Arial" w:hAnsi="Arial" w:cs="Arial"/>
          <w:lang w:val="es-ES"/>
        </w:rPr>
        <w:t>haparro Álvarez y Lapo Iñiguez Vs. Ecuador, párr. 262.</w:t>
      </w:r>
    </w:p>
  </w:footnote>
  <w:footnote w:id="111">
    <w:p w:rsidR="00205D3D" w:rsidRPr="00CA2E8C" w:rsidRDefault="00205D3D" w:rsidP="00A25820">
      <w:pPr>
        <w:pStyle w:val="Textonotapie"/>
        <w:jc w:val="both"/>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r>
        <w:rPr>
          <w:rFonts w:ascii="Arial" w:hAnsi="Arial" w:cs="Arial"/>
          <w:lang w:val="es-ES"/>
        </w:rPr>
        <w:t xml:space="preserve">Corte Interamericana de Derechos Humanos, </w:t>
      </w:r>
      <w:r>
        <w:rPr>
          <w:rFonts w:ascii="Arial" w:hAnsi="Arial" w:cs="Arial"/>
          <w:u w:val="single"/>
          <w:lang w:val="es-ES"/>
        </w:rPr>
        <w:t>Caso Niños de la Calle</w:t>
      </w:r>
      <w:r w:rsidRPr="00216746">
        <w:rPr>
          <w:rFonts w:ascii="Arial" w:hAnsi="Arial" w:cs="Arial"/>
          <w:u w:val="single"/>
          <w:lang w:val="es-ES"/>
        </w:rPr>
        <w:t xml:space="preserve"> (Villagrán Morales y otros) vs. Guatemala</w:t>
      </w:r>
      <w:r w:rsidRPr="00CA2E8C">
        <w:rPr>
          <w:rFonts w:ascii="Arial" w:hAnsi="Arial" w:cs="Arial"/>
          <w:lang w:val="es-ES"/>
        </w:rPr>
        <w:t>, Sentencia de 26 de mayo de 2001</w:t>
      </w:r>
      <w:r>
        <w:rPr>
          <w:rFonts w:ascii="Arial" w:hAnsi="Arial" w:cs="Arial"/>
          <w:lang w:val="es-ES"/>
        </w:rPr>
        <w:t>.</w:t>
      </w:r>
      <w:r w:rsidRPr="00CA2E8C">
        <w:rPr>
          <w:rFonts w:ascii="Arial" w:hAnsi="Arial" w:cs="Arial"/>
          <w:lang w:val="es-ES"/>
        </w:rPr>
        <w:t xml:space="preserve"> (Reparaciones y Costas)</w:t>
      </w:r>
      <w:r>
        <w:rPr>
          <w:rFonts w:ascii="Arial" w:hAnsi="Arial" w:cs="Arial"/>
          <w:lang w:val="es-ES"/>
        </w:rPr>
        <w:t>, párr. 103.</w:t>
      </w:r>
      <w:r w:rsidRPr="00CA2E8C">
        <w:rPr>
          <w:rFonts w:ascii="Arial" w:hAnsi="Arial" w:cs="Arial"/>
          <w:lang w:val="es-ES"/>
        </w:rPr>
        <w:t xml:space="preserve">   </w:t>
      </w:r>
    </w:p>
  </w:footnote>
  <w:footnote w:id="112">
    <w:p w:rsidR="00205D3D" w:rsidRPr="00CA2E8C" w:rsidRDefault="00205D3D" w:rsidP="00216746">
      <w:pPr>
        <w:pStyle w:val="Textonotapie"/>
        <w:jc w:val="both"/>
        <w:rPr>
          <w:rFonts w:ascii="Arial" w:hAnsi="Arial" w:cs="Arial"/>
          <w:lang w:val="es-ES"/>
        </w:rPr>
      </w:pPr>
      <w:r w:rsidRPr="00CA2E8C">
        <w:rPr>
          <w:rStyle w:val="Refdenotaalpie"/>
          <w:rFonts w:ascii="Arial" w:hAnsi="Arial" w:cs="Arial"/>
        </w:rPr>
        <w:footnoteRef/>
      </w:r>
      <w:r>
        <w:rPr>
          <w:rFonts w:ascii="Arial" w:hAnsi="Arial" w:cs="Arial"/>
          <w:lang w:val="es-ES"/>
        </w:rPr>
        <w:t xml:space="preserve"> </w:t>
      </w:r>
      <w:r w:rsidRPr="002F24FA">
        <w:rPr>
          <w:rFonts w:ascii="Arial" w:hAnsi="Arial" w:cs="Arial"/>
          <w:lang w:val="es-ES"/>
        </w:rPr>
        <w:t>Principios y directrices básicos sobre el derecho de las víctimas de violaciones manifiestas de las normas internacionales de derechos humanos y de violaciones graves del derecho internacional humanitario a interponer recursos y obtener reparaciones</w:t>
      </w:r>
      <w:r>
        <w:rPr>
          <w:rFonts w:ascii="Arial" w:hAnsi="Arial" w:cs="Arial"/>
          <w:lang w:val="es-ES"/>
        </w:rPr>
        <w:t>. P</w:t>
      </w:r>
      <w:r w:rsidRPr="00CA2E8C">
        <w:rPr>
          <w:rFonts w:ascii="Arial" w:hAnsi="Arial" w:cs="Arial"/>
          <w:lang w:val="es-ES"/>
        </w:rPr>
        <w:t>rincipio 23</w:t>
      </w:r>
      <w:r>
        <w:rPr>
          <w:rFonts w:ascii="Arial" w:hAnsi="Arial" w:cs="Arial"/>
          <w:lang w:val="es-ES"/>
        </w:rPr>
        <w:t>.</w:t>
      </w:r>
    </w:p>
  </w:footnote>
  <w:footnote w:id="113">
    <w:p w:rsidR="00205D3D" w:rsidRPr="00CA2E8C" w:rsidRDefault="00205D3D" w:rsidP="00216746">
      <w:pPr>
        <w:pStyle w:val="Textonotapie"/>
        <w:jc w:val="both"/>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r>
        <w:rPr>
          <w:rFonts w:ascii="Arial" w:hAnsi="Arial" w:cs="Arial"/>
          <w:lang w:val="es-ES"/>
        </w:rPr>
        <w:t xml:space="preserve">Corte Interamericana de Derechos Humanos, </w:t>
      </w:r>
      <w:r w:rsidRPr="00216746">
        <w:rPr>
          <w:rFonts w:ascii="Arial" w:hAnsi="Arial" w:cs="Arial"/>
          <w:u w:val="single"/>
          <w:lang w:val="es-ES"/>
        </w:rPr>
        <w:t>Caso Instituto de Reeducación del Menor vs. Paraguay</w:t>
      </w:r>
      <w:r w:rsidRPr="00CA2E8C">
        <w:rPr>
          <w:rFonts w:ascii="Arial" w:hAnsi="Arial" w:cs="Arial"/>
          <w:lang w:val="es-ES"/>
        </w:rPr>
        <w:t xml:space="preserve">, Sentencia </w:t>
      </w:r>
      <w:r>
        <w:rPr>
          <w:rFonts w:ascii="Arial" w:hAnsi="Arial" w:cs="Arial"/>
          <w:lang w:val="es-ES"/>
        </w:rPr>
        <w:t xml:space="preserve">de </w:t>
      </w:r>
      <w:r w:rsidRPr="00CA2E8C">
        <w:rPr>
          <w:rFonts w:ascii="Arial" w:hAnsi="Arial" w:cs="Arial"/>
          <w:lang w:val="es-ES"/>
        </w:rPr>
        <w:t>2 de septiembre del 2004</w:t>
      </w:r>
      <w:r>
        <w:rPr>
          <w:rFonts w:ascii="Arial" w:hAnsi="Arial" w:cs="Arial"/>
          <w:lang w:val="es-ES"/>
        </w:rPr>
        <w:t>. (Excepciones Preliminares, Fondo, Reparaciones y Costas)</w:t>
      </w:r>
      <w:r w:rsidRPr="00CA2E8C">
        <w:rPr>
          <w:rFonts w:ascii="Arial" w:hAnsi="Arial" w:cs="Arial"/>
          <w:lang w:val="es-ES"/>
        </w:rPr>
        <w:t xml:space="preserve">, </w:t>
      </w:r>
      <w:proofErr w:type="spellStart"/>
      <w:r w:rsidRPr="00CA2E8C">
        <w:rPr>
          <w:rFonts w:ascii="Arial" w:hAnsi="Arial" w:cs="Arial"/>
          <w:lang w:val="es-ES"/>
        </w:rPr>
        <w:t>párrs</w:t>
      </w:r>
      <w:proofErr w:type="spellEnd"/>
      <w:r w:rsidRPr="00CA2E8C">
        <w:rPr>
          <w:rFonts w:ascii="Arial" w:hAnsi="Arial" w:cs="Arial"/>
          <w:lang w:val="es-ES"/>
        </w:rPr>
        <w:t>. 316, 317</w:t>
      </w:r>
      <w:r>
        <w:rPr>
          <w:rFonts w:ascii="Arial" w:hAnsi="Arial" w:cs="Arial"/>
          <w:lang w:val="es-ES"/>
        </w:rPr>
        <w:t>.</w:t>
      </w:r>
    </w:p>
  </w:footnote>
  <w:footnote w:id="114">
    <w:p w:rsidR="00205D3D" w:rsidRPr="00CA2E8C" w:rsidRDefault="00205D3D" w:rsidP="004E24DA">
      <w:pPr>
        <w:pStyle w:val="Textonotapie"/>
        <w:jc w:val="both"/>
        <w:rPr>
          <w:rFonts w:ascii="Arial" w:hAnsi="Arial" w:cs="Arial"/>
          <w:lang w:val="es-ES"/>
        </w:rPr>
      </w:pPr>
      <w:r w:rsidRPr="00CA2E8C">
        <w:rPr>
          <w:rStyle w:val="Refdenotaalpie"/>
          <w:rFonts w:ascii="Arial" w:hAnsi="Arial" w:cs="Arial"/>
        </w:rPr>
        <w:footnoteRef/>
      </w:r>
      <w:r w:rsidRPr="00CA2E8C">
        <w:rPr>
          <w:rFonts w:ascii="Arial" w:hAnsi="Arial" w:cs="Arial"/>
          <w:lang w:val="es-ES"/>
        </w:rPr>
        <w:t xml:space="preserve"> </w:t>
      </w:r>
      <w:r>
        <w:rPr>
          <w:rFonts w:ascii="Arial" w:hAnsi="Arial" w:cs="Arial"/>
          <w:lang w:val="es-ES"/>
        </w:rPr>
        <w:t xml:space="preserve">Corte Interamericana de Derechos Humanos, </w:t>
      </w:r>
      <w:r w:rsidRPr="00216746">
        <w:rPr>
          <w:rFonts w:ascii="Arial" w:hAnsi="Arial" w:cs="Arial"/>
          <w:u w:val="single"/>
          <w:lang w:val="es-ES"/>
        </w:rPr>
        <w:t xml:space="preserve">Caso </w:t>
      </w:r>
      <w:proofErr w:type="spellStart"/>
      <w:r w:rsidRPr="00216746">
        <w:rPr>
          <w:rFonts w:ascii="Arial" w:hAnsi="Arial" w:cs="Arial"/>
          <w:u w:val="single"/>
          <w:lang w:val="es-ES"/>
        </w:rPr>
        <w:t>Caesar</w:t>
      </w:r>
      <w:proofErr w:type="spellEnd"/>
      <w:r w:rsidRPr="00216746">
        <w:rPr>
          <w:rFonts w:ascii="Arial" w:hAnsi="Arial" w:cs="Arial"/>
          <w:u w:val="single"/>
          <w:lang w:val="es-ES"/>
        </w:rPr>
        <w:t xml:space="preserve"> vs. Trinidad y Tobago</w:t>
      </w:r>
      <w:r w:rsidRPr="00CA2E8C">
        <w:rPr>
          <w:rFonts w:ascii="Arial" w:hAnsi="Arial" w:cs="Arial"/>
          <w:lang w:val="es-ES"/>
        </w:rPr>
        <w:t>, S</w:t>
      </w:r>
      <w:r>
        <w:rPr>
          <w:rFonts w:ascii="Arial" w:hAnsi="Arial" w:cs="Arial"/>
          <w:lang w:val="es-ES"/>
        </w:rPr>
        <w:t>entencia de 11 de marzo de 2005. (Fondo, Reparaciones y Costas), párr. 132.</w:t>
      </w:r>
    </w:p>
  </w:footnote>
  <w:footnote w:id="115">
    <w:p w:rsidR="00205D3D" w:rsidRPr="00FF247F" w:rsidRDefault="00205D3D" w:rsidP="004E24DA">
      <w:pPr>
        <w:pStyle w:val="Textonotapie"/>
        <w:jc w:val="both"/>
        <w:rPr>
          <w:rFonts w:ascii="Arial" w:hAnsi="Arial" w:cs="Arial"/>
          <w:lang w:val="es-ES"/>
        </w:rPr>
      </w:pPr>
      <w:r w:rsidRPr="00FF247F">
        <w:rPr>
          <w:rStyle w:val="Refdenotaalpie"/>
          <w:rFonts w:ascii="Arial" w:hAnsi="Arial" w:cs="Arial"/>
        </w:rPr>
        <w:footnoteRef/>
      </w:r>
      <w:r w:rsidRPr="00FF247F">
        <w:rPr>
          <w:rFonts w:ascii="Arial" w:hAnsi="Arial" w:cs="Arial"/>
          <w:lang w:val="es-ES"/>
        </w:rPr>
        <w:t xml:space="preserve"> </w:t>
      </w:r>
      <w:r>
        <w:rPr>
          <w:rFonts w:ascii="Arial" w:hAnsi="Arial" w:cs="Arial"/>
          <w:lang w:val="es-ES"/>
        </w:rPr>
        <w:t xml:space="preserve">Corte Interamericana de Derechos Humanos, </w:t>
      </w:r>
      <w:r w:rsidRPr="004E24DA">
        <w:rPr>
          <w:rFonts w:ascii="Arial" w:hAnsi="Arial" w:cs="Arial"/>
          <w:u w:val="single"/>
          <w:lang w:val="es-ES"/>
        </w:rPr>
        <w:t>Caso Chaparro Álvarez y Lapo Íñiguez vs. Ecuador</w:t>
      </w:r>
      <w:r w:rsidRPr="00FF247F">
        <w:rPr>
          <w:rFonts w:ascii="Arial" w:hAnsi="Arial" w:cs="Arial"/>
          <w:lang w:val="es-ES"/>
        </w:rPr>
        <w:t>, Sentencia de 21 de noviembre de 2007.</w:t>
      </w:r>
      <w:r>
        <w:rPr>
          <w:rFonts w:ascii="Arial" w:hAnsi="Arial" w:cs="Arial"/>
          <w:lang w:val="es-ES"/>
        </w:rPr>
        <w:t xml:space="preserve"> (Excepciones Preliminares, Fondo, Reparaciones y Costas), párr. 268.</w:t>
      </w:r>
    </w:p>
  </w:footnote>
  <w:footnote w:id="116">
    <w:p w:rsidR="00205D3D" w:rsidRPr="00DE664D" w:rsidRDefault="00205D3D" w:rsidP="00B3754D">
      <w:pPr>
        <w:pStyle w:val="Textonotapie"/>
        <w:jc w:val="both"/>
        <w:rPr>
          <w:rFonts w:ascii="Arial" w:hAnsi="Arial" w:cs="Arial"/>
          <w:lang w:val="es-ES"/>
        </w:rPr>
      </w:pPr>
      <w:r w:rsidRPr="00DE664D">
        <w:rPr>
          <w:rStyle w:val="Refdenotaalpie"/>
          <w:rFonts w:ascii="Arial" w:hAnsi="Arial" w:cs="Arial"/>
        </w:rPr>
        <w:footnoteRef/>
      </w:r>
      <w:r w:rsidRPr="00DE664D">
        <w:rPr>
          <w:rFonts w:ascii="Arial" w:hAnsi="Arial" w:cs="Arial"/>
          <w:lang w:val="es-ES"/>
        </w:rPr>
        <w:t xml:space="preserve">Claudio Grossman, citado por Carlos Martín </w:t>
      </w:r>
      <w:proofErr w:type="spellStart"/>
      <w:r w:rsidRPr="00DE664D">
        <w:rPr>
          <w:rFonts w:ascii="Arial" w:hAnsi="Arial" w:cs="Arial"/>
          <w:lang w:val="es-ES"/>
        </w:rPr>
        <w:t>Beristain</w:t>
      </w:r>
      <w:proofErr w:type="spellEnd"/>
      <w:r w:rsidRPr="00DE664D">
        <w:rPr>
          <w:rFonts w:ascii="Arial" w:hAnsi="Arial" w:cs="Arial"/>
          <w:lang w:val="es-ES"/>
        </w:rPr>
        <w:t xml:space="preserve">, </w:t>
      </w:r>
      <w:r w:rsidRPr="00DE664D">
        <w:rPr>
          <w:rFonts w:ascii="Arial" w:hAnsi="Arial" w:cs="Arial"/>
          <w:u w:val="single"/>
          <w:lang w:val="es-ES"/>
        </w:rPr>
        <w:t>Diálogos sobre la Reparación</w:t>
      </w:r>
      <w:r w:rsidRPr="00DE664D">
        <w:rPr>
          <w:rFonts w:ascii="Arial" w:hAnsi="Arial" w:cs="Arial"/>
          <w:lang w:val="es-ES"/>
        </w:rPr>
        <w:t>, Ministerio de Justicia y Derechos Humanos, Quito, 2009. p. 83.</w:t>
      </w:r>
    </w:p>
  </w:footnote>
  <w:footnote w:id="117">
    <w:p w:rsidR="00205D3D" w:rsidRPr="00DE664D" w:rsidRDefault="00205D3D" w:rsidP="00B3754D">
      <w:pPr>
        <w:pStyle w:val="Textonotapie"/>
        <w:jc w:val="both"/>
        <w:rPr>
          <w:rFonts w:ascii="Arial" w:hAnsi="Arial" w:cs="Arial"/>
          <w:lang w:val="es-ES"/>
        </w:rPr>
      </w:pPr>
      <w:r w:rsidRPr="00DE664D">
        <w:rPr>
          <w:rStyle w:val="Refdenotaalpie"/>
          <w:rFonts w:ascii="Arial" w:hAnsi="Arial" w:cs="Arial"/>
        </w:rPr>
        <w:footnoteRef/>
      </w:r>
      <w:r w:rsidRPr="00DE664D">
        <w:rPr>
          <w:rFonts w:ascii="Arial" w:hAnsi="Arial" w:cs="Arial"/>
          <w:lang w:val="es-ES"/>
        </w:rPr>
        <w:t xml:space="preserve"> </w:t>
      </w:r>
      <w:proofErr w:type="spellStart"/>
      <w:r w:rsidRPr="00DE664D">
        <w:rPr>
          <w:rFonts w:ascii="Arial" w:hAnsi="Arial" w:cs="Arial"/>
          <w:lang w:val="es-ES"/>
        </w:rPr>
        <w:t>Ibid</w:t>
      </w:r>
      <w:proofErr w:type="spellEnd"/>
      <w:r w:rsidRPr="00DE664D">
        <w:rPr>
          <w:rFonts w:ascii="Arial" w:hAnsi="Arial" w:cs="Arial"/>
          <w:lang w:val="es-ES"/>
        </w:rPr>
        <w:t>., pp. 83, 84.</w:t>
      </w:r>
    </w:p>
  </w:footnote>
  <w:footnote w:id="118">
    <w:p w:rsidR="00205D3D" w:rsidRPr="00FF247F" w:rsidRDefault="00205D3D" w:rsidP="00223803">
      <w:pPr>
        <w:pStyle w:val="Textonotapie"/>
        <w:jc w:val="both"/>
        <w:rPr>
          <w:rFonts w:ascii="Arial" w:hAnsi="Arial" w:cs="Arial"/>
          <w:lang w:val="es-ES"/>
        </w:rPr>
      </w:pPr>
      <w:r w:rsidRPr="00FF247F">
        <w:rPr>
          <w:rStyle w:val="Refdenotaalpie"/>
          <w:rFonts w:ascii="Arial" w:hAnsi="Arial" w:cs="Arial"/>
        </w:rPr>
        <w:footnoteRef/>
      </w:r>
      <w:r w:rsidRPr="00FF247F">
        <w:rPr>
          <w:rFonts w:ascii="Arial" w:hAnsi="Arial" w:cs="Arial"/>
          <w:lang w:val="es-ES"/>
        </w:rPr>
        <w:t xml:space="preserve"> </w:t>
      </w:r>
      <w:r>
        <w:rPr>
          <w:rFonts w:ascii="Arial" w:hAnsi="Arial" w:cs="Arial"/>
          <w:lang w:val="es-ES"/>
        </w:rPr>
        <w:t>Para ampliar v</w:t>
      </w:r>
      <w:r w:rsidRPr="00FF247F">
        <w:rPr>
          <w:rFonts w:ascii="Arial" w:hAnsi="Arial" w:cs="Arial"/>
          <w:lang w:val="es-ES"/>
        </w:rPr>
        <w:t xml:space="preserve">er </w:t>
      </w:r>
      <w:r>
        <w:rPr>
          <w:rFonts w:ascii="Arial" w:hAnsi="Arial" w:cs="Arial"/>
          <w:lang w:val="es-ES"/>
        </w:rPr>
        <w:t>la sentencia</w:t>
      </w:r>
      <w:r w:rsidRPr="00FF247F">
        <w:rPr>
          <w:rFonts w:ascii="Arial" w:hAnsi="Arial" w:cs="Arial"/>
          <w:lang w:val="es-ES"/>
        </w:rPr>
        <w:t xml:space="preserve"> </w:t>
      </w:r>
      <w:r>
        <w:rPr>
          <w:rFonts w:ascii="Arial" w:hAnsi="Arial" w:cs="Arial"/>
          <w:lang w:val="es-ES"/>
        </w:rPr>
        <w:t xml:space="preserve">de la Corte Interamericana de Derechos Humanos en el caso </w:t>
      </w:r>
      <w:proofErr w:type="spellStart"/>
      <w:r w:rsidRPr="00223803">
        <w:rPr>
          <w:rFonts w:ascii="Arial" w:hAnsi="Arial" w:cs="Arial"/>
          <w:lang w:val="es-ES"/>
        </w:rPr>
        <w:t>Bulacio</w:t>
      </w:r>
      <w:proofErr w:type="spellEnd"/>
      <w:r w:rsidRPr="00223803">
        <w:rPr>
          <w:rFonts w:ascii="Arial" w:hAnsi="Arial" w:cs="Arial"/>
          <w:lang w:val="es-ES"/>
        </w:rPr>
        <w:t xml:space="preserve"> vs Argentina</w:t>
      </w:r>
      <w:r>
        <w:rPr>
          <w:rFonts w:ascii="Arial" w:hAnsi="Arial" w:cs="Arial"/>
          <w:lang w:val="es-ES"/>
        </w:rPr>
        <w:t xml:space="preserve"> de</w:t>
      </w:r>
      <w:r w:rsidRPr="00FF247F">
        <w:rPr>
          <w:rFonts w:ascii="Arial" w:hAnsi="Arial" w:cs="Arial"/>
          <w:lang w:val="es-ES"/>
        </w:rPr>
        <w:t xml:space="preserve"> </w:t>
      </w:r>
      <w:r>
        <w:rPr>
          <w:rFonts w:ascii="Arial" w:hAnsi="Arial" w:cs="Arial"/>
          <w:lang w:val="es-ES"/>
        </w:rPr>
        <w:t>1</w:t>
      </w:r>
      <w:r w:rsidRPr="00FF247F">
        <w:rPr>
          <w:rFonts w:ascii="Arial" w:hAnsi="Arial" w:cs="Arial"/>
          <w:lang w:val="es-ES"/>
        </w:rPr>
        <w:t>8 de septiembre de 2003</w:t>
      </w:r>
      <w:r>
        <w:rPr>
          <w:rFonts w:ascii="Arial" w:hAnsi="Arial" w:cs="Arial"/>
          <w:lang w:val="es-ES"/>
        </w:rPr>
        <w:t>. (Fondo, Reparaciones y Costas)</w:t>
      </w:r>
      <w:r w:rsidRPr="00FF247F">
        <w:rPr>
          <w:rFonts w:ascii="Arial" w:hAnsi="Arial" w:cs="Arial"/>
          <w:lang w:val="es-ES"/>
        </w:rPr>
        <w:t>, párr. 88</w:t>
      </w:r>
      <w:r>
        <w:rPr>
          <w:rFonts w:ascii="Arial" w:hAnsi="Arial" w:cs="Arial"/>
          <w:lang w:val="es-ES"/>
        </w:rPr>
        <w:t>.</w:t>
      </w:r>
    </w:p>
  </w:footnote>
  <w:footnote w:id="119">
    <w:p w:rsidR="00205D3D" w:rsidRPr="00FF247F" w:rsidRDefault="00205D3D" w:rsidP="00223803">
      <w:pPr>
        <w:pStyle w:val="Textonotapie"/>
        <w:jc w:val="both"/>
        <w:rPr>
          <w:rFonts w:ascii="Arial" w:hAnsi="Arial" w:cs="Arial"/>
          <w:lang w:val="es-ES"/>
        </w:rPr>
      </w:pPr>
      <w:r w:rsidRPr="00FF247F">
        <w:rPr>
          <w:rStyle w:val="Refdenotaalpie"/>
          <w:rFonts w:ascii="Arial" w:hAnsi="Arial" w:cs="Arial"/>
        </w:rPr>
        <w:footnoteRef/>
      </w:r>
      <w:r w:rsidRPr="00FF247F">
        <w:rPr>
          <w:rFonts w:ascii="Arial" w:hAnsi="Arial" w:cs="Arial"/>
          <w:lang w:val="es-ES"/>
        </w:rPr>
        <w:t xml:space="preserve"> </w:t>
      </w:r>
      <w:r>
        <w:rPr>
          <w:rFonts w:ascii="Arial" w:hAnsi="Arial" w:cs="Arial"/>
          <w:lang w:val="es-ES"/>
        </w:rPr>
        <w:t xml:space="preserve">Para ampliar ver la sentencia de la Corte Interamericana de Derechos Humanos en el caso Loayza Tamayo vs Perú de </w:t>
      </w:r>
      <w:r w:rsidRPr="00FF247F">
        <w:rPr>
          <w:rFonts w:ascii="Arial" w:hAnsi="Arial" w:cs="Arial"/>
          <w:lang w:val="es-ES"/>
        </w:rPr>
        <w:t>27 de noviembre de 1998</w:t>
      </w:r>
      <w:r>
        <w:rPr>
          <w:rFonts w:ascii="Arial" w:hAnsi="Arial" w:cs="Arial"/>
          <w:lang w:val="es-ES"/>
        </w:rPr>
        <w:t>.</w:t>
      </w:r>
      <w:r w:rsidRPr="00FF247F">
        <w:rPr>
          <w:rFonts w:ascii="Arial" w:hAnsi="Arial" w:cs="Arial"/>
          <w:lang w:val="es-ES"/>
        </w:rPr>
        <w:t xml:space="preserve"> </w:t>
      </w:r>
      <w:r>
        <w:rPr>
          <w:rFonts w:ascii="Arial" w:hAnsi="Arial" w:cs="Arial"/>
          <w:lang w:val="es-ES"/>
        </w:rPr>
        <w:t>(</w:t>
      </w:r>
      <w:r w:rsidRPr="00FF247F">
        <w:rPr>
          <w:rFonts w:ascii="Arial" w:hAnsi="Arial" w:cs="Arial"/>
          <w:lang w:val="es-ES"/>
        </w:rPr>
        <w:t>Reparaciones</w:t>
      </w:r>
      <w:r>
        <w:rPr>
          <w:rFonts w:ascii="Arial" w:hAnsi="Arial" w:cs="Arial"/>
          <w:lang w:val="es-ES"/>
        </w:rPr>
        <w:t>),</w:t>
      </w:r>
      <w:r w:rsidRPr="00FF247F">
        <w:rPr>
          <w:rFonts w:ascii="Arial" w:hAnsi="Arial" w:cs="Arial"/>
          <w:lang w:val="es-ES"/>
        </w:rPr>
        <w:t xml:space="preserve"> </w:t>
      </w:r>
      <w:proofErr w:type="spellStart"/>
      <w:r>
        <w:rPr>
          <w:rFonts w:ascii="Arial" w:hAnsi="Arial" w:cs="Arial"/>
          <w:lang w:val="es-ES"/>
        </w:rPr>
        <w:t>párrs</w:t>
      </w:r>
      <w:proofErr w:type="spellEnd"/>
      <w:r>
        <w:rPr>
          <w:rFonts w:ascii="Arial" w:hAnsi="Arial" w:cs="Arial"/>
          <w:lang w:val="es-ES"/>
        </w:rPr>
        <w:t xml:space="preserve">. 144-154. </w:t>
      </w:r>
    </w:p>
  </w:footnote>
  <w:footnote w:id="120">
    <w:p w:rsidR="00205D3D" w:rsidRPr="00FF247F" w:rsidRDefault="00205D3D" w:rsidP="00223803">
      <w:pPr>
        <w:pStyle w:val="Textonotapie"/>
        <w:jc w:val="both"/>
        <w:rPr>
          <w:rFonts w:ascii="Arial" w:hAnsi="Arial" w:cs="Arial"/>
          <w:lang w:val="es-ES"/>
        </w:rPr>
      </w:pPr>
      <w:r w:rsidRPr="00FF247F">
        <w:rPr>
          <w:rStyle w:val="Refdenotaalpie"/>
          <w:rFonts w:ascii="Arial" w:hAnsi="Arial" w:cs="Arial"/>
        </w:rPr>
        <w:footnoteRef/>
      </w:r>
      <w:r>
        <w:rPr>
          <w:rFonts w:ascii="Arial" w:hAnsi="Arial" w:cs="Arial"/>
          <w:lang w:val="es-ES"/>
        </w:rPr>
        <w:t xml:space="preserve"> Supra pág. 37.</w:t>
      </w:r>
      <w:r w:rsidRPr="00FF247F">
        <w:rPr>
          <w:rFonts w:ascii="Arial" w:hAnsi="Arial" w:cs="Arial"/>
          <w:lang w:val="es-ES"/>
        </w:rPr>
        <w:t xml:space="preserve"> </w:t>
      </w:r>
    </w:p>
  </w:footnote>
  <w:footnote w:id="121">
    <w:p w:rsidR="00205D3D" w:rsidRPr="00881637" w:rsidRDefault="00205D3D" w:rsidP="008F2951">
      <w:pPr>
        <w:pStyle w:val="Body1"/>
        <w:jc w:val="both"/>
        <w:rPr>
          <w:rFonts w:ascii="Arial" w:hAnsi="Arial" w:cs="Arial"/>
          <w:sz w:val="20"/>
        </w:rPr>
      </w:pPr>
      <w:r w:rsidRPr="00881637">
        <w:rPr>
          <w:rFonts w:ascii="Arial" w:hAnsi="Arial" w:cs="Arial"/>
          <w:sz w:val="20"/>
          <w:vertAlign w:val="superscript"/>
        </w:rPr>
        <w:footnoteRef/>
      </w:r>
      <w:r w:rsidRPr="00881637">
        <w:rPr>
          <w:rFonts w:ascii="Arial" w:hAnsi="Arial" w:cs="Arial"/>
          <w:sz w:val="20"/>
        </w:rPr>
        <w:t xml:space="preserve"> Ver por ejemplo los casos de la Corte Interamericana de Derechos Humanos; Comunidad Indígena </w:t>
      </w:r>
      <w:proofErr w:type="spellStart"/>
      <w:r w:rsidRPr="00881637">
        <w:rPr>
          <w:rFonts w:ascii="Arial" w:hAnsi="Arial" w:cs="Arial"/>
          <w:sz w:val="20"/>
        </w:rPr>
        <w:t>Sawhoyamaxa</w:t>
      </w:r>
      <w:proofErr w:type="spellEnd"/>
      <w:r w:rsidRPr="00881637">
        <w:rPr>
          <w:rFonts w:ascii="Arial" w:hAnsi="Arial" w:cs="Arial"/>
          <w:sz w:val="20"/>
        </w:rPr>
        <w:t xml:space="preserve"> Vs. Paraguay, párr. 197; Acevedo Jaramillo y otros Vs. Perú, párr. 296.</w:t>
      </w:r>
    </w:p>
  </w:footnote>
  <w:footnote w:id="122">
    <w:p w:rsidR="00205D3D" w:rsidRPr="00881637" w:rsidRDefault="00205D3D" w:rsidP="00D34475">
      <w:pPr>
        <w:pStyle w:val="Textonotapie"/>
        <w:jc w:val="both"/>
        <w:rPr>
          <w:rFonts w:ascii="Arial" w:hAnsi="Arial" w:cs="Arial"/>
          <w:lang w:val="es-ES"/>
        </w:rPr>
      </w:pPr>
      <w:r w:rsidRPr="00881637">
        <w:rPr>
          <w:rStyle w:val="Refdenotaalpie"/>
          <w:rFonts w:ascii="Arial" w:hAnsi="Arial" w:cs="Arial"/>
        </w:rPr>
        <w:footnoteRef/>
      </w:r>
      <w:r w:rsidRPr="00881637">
        <w:rPr>
          <w:rFonts w:ascii="Arial" w:hAnsi="Arial" w:cs="Arial"/>
          <w:lang w:val="es-ES"/>
        </w:rPr>
        <w:t xml:space="preserve"> Corte Interamericana de Derechos Humanos, </w:t>
      </w:r>
      <w:r w:rsidRPr="00881637">
        <w:rPr>
          <w:rFonts w:ascii="Arial" w:hAnsi="Arial" w:cs="Arial"/>
          <w:u w:val="single"/>
          <w:lang w:val="es-ES"/>
        </w:rPr>
        <w:t xml:space="preserve">Caso de las Masacres de Masacres de </w:t>
      </w:r>
      <w:proofErr w:type="spellStart"/>
      <w:r w:rsidRPr="00881637">
        <w:rPr>
          <w:rFonts w:ascii="Arial" w:hAnsi="Arial" w:cs="Arial"/>
          <w:u w:val="single"/>
          <w:lang w:val="es-ES"/>
        </w:rPr>
        <w:t>Ituango</w:t>
      </w:r>
      <w:proofErr w:type="spellEnd"/>
      <w:r w:rsidRPr="00881637">
        <w:rPr>
          <w:rFonts w:ascii="Arial" w:hAnsi="Arial" w:cs="Arial"/>
          <w:u w:val="single"/>
          <w:lang w:val="es-ES"/>
        </w:rPr>
        <w:t xml:space="preserve"> vs Colombia</w:t>
      </w:r>
      <w:r>
        <w:rPr>
          <w:rFonts w:ascii="Arial" w:hAnsi="Arial" w:cs="Arial"/>
          <w:lang w:val="es-ES"/>
        </w:rPr>
        <w:t>, S</w:t>
      </w:r>
      <w:r w:rsidRPr="00881637">
        <w:rPr>
          <w:rFonts w:ascii="Arial" w:hAnsi="Arial" w:cs="Arial"/>
          <w:lang w:val="es-ES"/>
        </w:rPr>
        <w:t xml:space="preserve">entencia de 1 de julio del 2006. </w:t>
      </w:r>
      <w:proofErr w:type="spellStart"/>
      <w:r w:rsidRPr="00881637">
        <w:rPr>
          <w:rFonts w:ascii="Arial" w:hAnsi="Arial" w:cs="Arial"/>
          <w:lang w:val="es-ES"/>
        </w:rPr>
        <w:t>párrs</w:t>
      </w:r>
      <w:proofErr w:type="spellEnd"/>
      <w:r w:rsidRPr="00881637">
        <w:rPr>
          <w:rFonts w:ascii="Arial" w:hAnsi="Arial" w:cs="Arial"/>
          <w:lang w:val="es-ES"/>
        </w:rPr>
        <w:t xml:space="preserve">. 347 y 349. </w:t>
      </w:r>
    </w:p>
  </w:footnote>
  <w:footnote w:id="123">
    <w:p w:rsidR="00205D3D" w:rsidRPr="00881637" w:rsidRDefault="00205D3D" w:rsidP="00D34475">
      <w:pPr>
        <w:pStyle w:val="Textonotapie"/>
        <w:jc w:val="both"/>
        <w:rPr>
          <w:rFonts w:ascii="Arial" w:hAnsi="Arial" w:cs="Arial"/>
          <w:lang w:val="es-ES"/>
        </w:rPr>
      </w:pPr>
      <w:r w:rsidRPr="00881637">
        <w:rPr>
          <w:rStyle w:val="Refdenotaalpie"/>
          <w:rFonts w:ascii="Arial" w:hAnsi="Arial" w:cs="Arial"/>
        </w:rPr>
        <w:footnoteRef/>
      </w:r>
      <w:r w:rsidRPr="00881637">
        <w:rPr>
          <w:rFonts w:ascii="Arial" w:hAnsi="Arial" w:cs="Arial"/>
          <w:lang w:val="es-ES"/>
        </w:rPr>
        <w:t xml:space="preserve"> </w:t>
      </w:r>
      <w:proofErr w:type="spellStart"/>
      <w:r w:rsidRPr="00881637">
        <w:rPr>
          <w:rFonts w:ascii="Arial" w:hAnsi="Arial" w:cs="Arial"/>
          <w:lang w:val="es-ES"/>
        </w:rPr>
        <w:t>Ibid</w:t>
      </w:r>
      <w:proofErr w:type="spellEnd"/>
      <w:r w:rsidRPr="00881637">
        <w:rPr>
          <w:rFonts w:ascii="Arial" w:hAnsi="Arial" w:cs="Arial"/>
          <w:lang w:val="es-ES"/>
        </w:rPr>
        <w:t>., párr. 399.</w:t>
      </w:r>
    </w:p>
  </w:footnote>
  <w:footnote w:id="124">
    <w:p w:rsidR="00205D3D" w:rsidRPr="00D34475" w:rsidRDefault="00205D3D" w:rsidP="00D34475">
      <w:pPr>
        <w:pStyle w:val="Textonotapie"/>
        <w:jc w:val="both"/>
        <w:rPr>
          <w:rFonts w:ascii="Arial" w:hAnsi="Arial" w:cs="Arial"/>
          <w:lang w:val="es-ES"/>
        </w:rPr>
      </w:pPr>
      <w:r w:rsidRPr="00D34475">
        <w:rPr>
          <w:rStyle w:val="Refdenotaalpie"/>
          <w:rFonts w:ascii="Arial" w:hAnsi="Arial" w:cs="Arial"/>
        </w:rPr>
        <w:footnoteRef/>
      </w:r>
      <w:r w:rsidRPr="00D34475">
        <w:rPr>
          <w:rFonts w:ascii="Arial" w:hAnsi="Arial" w:cs="Arial"/>
          <w:lang w:val="es-ES"/>
        </w:rPr>
        <w:t xml:space="preserve"> </w:t>
      </w:r>
      <w:proofErr w:type="spellStart"/>
      <w:r w:rsidRPr="00D34475">
        <w:rPr>
          <w:rFonts w:ascii="Arial" w:hAnsi="Arial" w:cs="Arial"/>
          <w:lang w:val="es-ES"/>
        </w:rPr>
        <w:t>Ibid</w:t>
      </w:r>
      <w:proofErr w:type="spellEnd"/>
      <w:r w:rsidRPr="00D34475">
        <w:rPr>
          <w:rFonts w:ascii="Arial" w:hAnsi="Arial" w:cs="Arial"/>
          <w:lang w:val="es-ES"/>
        </w:rPr>
        <w:t xml:space="preserve">., párr. 407. </w:t>
      </w:r>
    </w:p>
  </w:footnote>
  <w:footnote w:id="125">
    <w:p w:rsidR="00205D3D" w:rsidRPr="00D34475" w:rsidRDefault="00205D3D">
      <w:pPr>
        <w:pStyle w:val="Textonotapie"/>
        <w:rPr>
          <w:rFonts w:ascii="Arial" w:hAnsi="Arial" w:cs="Arial"/>
          <w:lang w:val="es-ES"/>
        </w:rPr>
      </w:pPr>
      <w:r w:rsidRPr="00D34475">
        <w:rPr>
          <w:rStyle w:val="Refdenotaalpie"/>
          <w:rFonts w:ascii="Arial" w:hAnsi="Arial" w:cs="Arial"/>
        </w:rPr>
        <w:footnoteRef/>
      </w:r>
      <w:r w:rsidRPr="00D34475">
        <w:rPr>
          <w:rFonts w:ascii="Arial" w:hAnsi="Arial" w:cs="Arial"/>
          <w:lang w:val="es-ES"/>
        </w:rPr>
        <w:t xml:space="preserve"> </w:t>
      </w:r>
      <w:r>
        <w:rPr>
          <w:rFonts w:ascii="Arial" w:hAnsi="Arial" w:cs="Arial"/>
          <w:lang w:val="es-ES"/>
        </w:rPr>
        <w:t xml:space="preserve">Corte Interamericana de Derechos Humanos, </w:t>
      </w:r>
      <w:r>
        <w:rPr>
          <w:rFonts w:ascii="Arial" w:hAnsi="Arial" w:cs="Arial"/>
          <w:u w:val="single"/>
          <w:lang w:val="es-ES"/>
        </w:rPr>
        <w:t xml:space="preserve">Caso </w:t>
      </w:r>
      <w:proofErr w:type="spellStart"/>
      <w:r>
        <w:rPr>
          <w:rFonts w:ascii="Arial" w:hAnsi="Arial" w:cs="Arial"/>
          <w:u w:val="single"/>
          <w:lang w:val="es-ES"/>
        </w:rPr>
        <w:t>Baldeón</w:t>
      </w:r>
      <w:proofErr w:type="spellEnd"/>
      <w:r>
        <w:rPr>
          <w:rFonts w:ascii="Arial" w:hAnsi="Arial" w:cs="Arial"/>
          <w:u w:val="single"/>
          <w:lang w:val="es-ES"/>
        </w:rPr>
        <w:t xml:space="preserve"> García Vs. Perú</w:t>
      </w:r>
      <w:r>
        <w:rPr>
          <w:rFonts w:ascii="Arial" w:hAnsi="Arial" w:cs="Arial"/>
          <w:lang w:val="es-ES"/>
        </w:rPr>
        <w:t xml:space="preserve">, Sentencia de 6 </w:t>
      </w:r>
      <w:r w:rsidRPr="00D34475">
        <w:rPr>
          <w:rFonts w:ascii="Arial" w:hAnsi="Arial" w:cs="Arial"/>
          <w:lang w:val="es-ES"/>
        </w:rPr>
        <w:t>de Abril de 2006. (Fondo, Reparaciones y Costas), párr. 176.</w:t>
      </w:r>
    </w:p>
  </w:footnote>
  <w:footnote w:id="126">
    <w:p w:rsidR="00205D3D" w:rsidRPr="00D34475" w:rsidRDefault="00205D3D">
      <w:pPr>
        <w:pStyle w:val="Textonotapie"/>
        <w:rPr>
          <w:rFonts w:ascii="Arial" w:hAnsi="Arial" w:cs="Arial"/>
          <w:lang w:val="es-ES"/>
        </w:rPr>
      </w:pPr>
      <w:r w:rsidRPr="00D34475">
        <w:rPr>
          <w:rStyle w:val="Refdenotaalpie"/>
          <w:rFonts w:ascii="Arial" w:hAnsi="Arial" w:cs="Arial"/>
        </w:rPr>
        <w:footnoteRef/>
      </w:r>
      <w:r w:rsidRPr="00D34475">
        <w:rPr>
          <w:rFonts w:ascii="Arial" w:hAnsi="Arial" w:cs="Arial"/>
          <w:lang w:val="es-ES"/>
        </w:rPr>
        <w:t xml:space="preserve"> </w:t>
      </w:r>
      <w:proofErr w:type="spellStart"/>
      <w:r>
        <w:rPr>
          <w:rFonts w:ascii="Arial" w:hAnsi="Arial" w:cs="Arial"/>
          <w:lang w:val="es-ES"/>
        </w:rPr>
        <w:t>Ibid</w:t>
      </w:r>
      <w:proofErr w:type="spellEnd"/>
      <w:r>
        <w:rPr>
          <w:rFonts w:ascii="Arial" w:hAnsi="Arial" w:cs="Arial"/>
          <w:lang w:val="es-ES"/>
        </w:rPr>
        <w:t>., párr. 218.</w:t>
      </w:r>
    </w:p>
  </w:footnote>
  <w:footnote w:id="127">
    <w:p w:rsidR="00205D3D" w:rsidRPr="007641D6" w:rsidRDefault="00205D3D" w:rsidP="008F2951">
      <w:pPr>
        <w:pStyle w:val="Body1"/>
        <w:jc w:val="both"/>
        <w:rPr>
          <w:rFonts w:ascii="Arial" w:eastAsia="Times New Roman" w:hAnsi="Arial" w:cs="Arial"/>
          <w:color w:val="auto"/>
          <w:sz w:val="20"/>
        </w:rPr>
      </w:pPr>
      <w:r w:rsidRPr="007641D6">
        <w:rPr>
          <w:rFonts w:ascii="Arial" w:hAnsi="Arial" w:cs="Arial"/>
          <w:sz w:val="20"/>
          <w:vertAlign w:val="superscript"/>
        </w:rPr>
        <w:footnoteRef/>
      </w:r>
      <w:r w:rsidRPr="007641D6">
        <w:rPr>
          <w:rFonts w:ascii="Arial" w:hAnsi="Arial" w:cs="Arial"/>
          <w:sz w:val="20"/>
        </w:rPr>
        <w:t xml:space="preserve"> Enrique Gil Botero, </w:t>
      </w:r>
      <w:r w:rsidRPr="004A05F0">
        <w:rPr>
          <w:rFonts w:ascii="Arial" w:hAnsi="Arial" w:cs="Arial"/>
          <w:sz w:val="20"/>
          <w:u w:val="single"/>
        </w:rPr>
        <w:t>El principio de reparación integral en Colombia a la luz del sistema interamericano de derechos humanos</w:t>
      </w:r>
      <w:r>
        <w:rPr>
          <w:rFonts w:ascii="Arial" w:hAnsi="Arial" w:cs="Arial"/>
          <w:sz w:val="20"/>
        </w:rPr>
        <w:t>, articulo d</w:t>
      </w:r>
      <w:r w:rsidRPr="007641D6">
        <w:rPr>
          <w:rFonts w:ascii="Arial" w:hAnsi="Arial" w:cs="Arial"/>
          <w:sz w:val="20"/>
        </w:rPr>
        <w:t>el libr</w:t>
      </w:r>
      <w:r>
        <w:rPr>
          <w:rFonts w:ascii="Arial" w:hAnsi="Arial" w:cs="Arial"/>
          <w:sz w:val="20"/>
        </w:rPr>
        <w:t>o: Realidades y Tendencias del Derecho en el siglo XXI, Pontificia Universidad J</w:t>
      </w:r>
      <w:r w:rsidRPr="007641D6">
        <w:rPr>
          <w:rFonts w:ascii="Arial" w:hAnsi="Arial" w:cs="Arial"/>
          <w:sz w:val="20"/>
        </w:rPr>
        <w:t>averiana, Bogotá</w:t>
      </w:r>
      <w:r>
        <w:rPr>
          <w:rFonts w:ascii="Arial" w:hAnsi="Arial" w:cs="Arial"/>
          <w:sz w:val="20"/>
        </w:rPr>
        <w:t>,</w:t>
      </w:r>
      <w:r w:rsidRPr="007641D6">
        <w:rPr>
          <w:rFonts w:ascii="Arial" w:hAnsi="Arial" w:cs="Arial"/>
          <w:sz w:val="20"/>
        </w:rPr>
        <w:t xml:space="preserve"> editorial TEMIS</w:t>
      </w:r>
      <w:r>
        <w:rPr>
          <w:rFonts w:ascii="Arial" w:hAnsi="Arial" w:cs="Arial"/>
          <w:sz w:val="20"/>
        </w:rPr>
        <w:t>, 2010.</w:t>
      </w:r>
      <w:r w:rsidRPr="007641D6">
        <w:rPr>
          <w:rFonts w:ascii="Arial" w:hAnsi="Arial" w:cs="Arial"/>
          <w:sz w:val="20"/>
        </w:rPr>
        <w:t xml:space="preserve"> p.625</w:t>
      </w:r>
    </w:p>
  </w:footnote>
  <w:footnote w:id="128">
    <w:p w:rsidR="00205D3D" w:rsidRPr="007641D6" w:rsidRDefault="00205D3D" w:rsidP="002473BA">
      <w:pPr>
        <w:pStyle w:val="Textonotapie"/>
        <w:jc w:val="both"/>
        <w:rPr>
          <w:rFonts w:ascii="Arial" w:hAnsi="Arial" w:cs="Arial"/>
          <w:lang w:val="es-ES"/>
        </w:rPr>
      </w:pPr>
      <w:r w:rsidRPr="007641D6">
        <w:rPr>
          <w:rStyle w:val="Refdenotaalpie"/>
          <w:rFonts w:ascii="Arial" w:hAnsi="Arial" w:cs="Arial"/>
        </w:rPr>
        <w:footnoteRef/>
      </w:r>
      <w:r w:rsidRPr="007641D6">
        <w:rPr>
          <w:rFonts w:ascii="Arial" w:hAnsi="Arial" w:cs="Arial"/>
          <w:lang w:val="es-ES"/>
        </w:rPr>
        <w:t xml:space="preserve"> </w:t>
      </w:r>
      <w:r>
        <w:rPr>
          <w:rFonts w:ascii="Arial" w:hAnsi="Arial" w:cs="Arial"/>
          <w:lang w:val="es-ES"/>
        </w:rPr>
        <w:t xml:space="preserve">Corte Interamericana de Derechos Humanos, Resolución de </w:t>
      </w:r>
      <w:r w:rsidRPr="007641D6">
        <w:rPr>
          <w:rFonts w:ascii="Arial" w:hAnsi="Arial" w:cs="Arial"/>
          <w:lang w:val="es-ES"/>
        </w:rPr>
        <w:t xml:space="preserve">supervisión de cumplimiento </w:t>
      </w:r>
      <w:r>
        <w:rPr>
          <w:rFonts w:ascii="Arial" w:hAnsi="Arial" w:cs="Arial"/>
          <w:lang w:val="es-ES"/>
        </w:rPr>
        <w:t xml:space="preserve">de sentencia, </w:t>
      </w:r>
      <w:r w:rsidRPr="007641D6">
        <w:rPr>
          <w:rFonts w:ascii="Arial" w:hAnsi="Arial" w:cs="Arial"/>
          <w:lang w:val="es-ES"/>
        </w:rPr>
        <w:t>4 de agosto de 2008</w:t>
      </w:r>
      <w:r>
        <w:rPr>
          <w:rFonts w:ascii="Arial" w:hAnsi="Arial" w:cs="Arial"/>
          <w:lang w:val="es-ES"/>
        </w:rPr>
        <w:t xml:space="preserve">, </w:t>
      </w:r>
      <w:r w:rsidRPr="003B6227">
        <w:rPr>
          <w:rFonts w:ascii="Arial" w:hAnsi="Arial" w:cs="Arial"/>
          <w:u w:val="single"/>
          <w:lang w:val="es-ES"/>
        </w:rPr>
        <w:t>Caso Las Palmeras Vs. Colombia</w:t>
      </w:r>
      <w:r>
        <w:rPr>
          <w:rFonts w:ascii="Arial" w:hAnsi="Arial" w:cs="Arial"/>
          <w:lang w:val="es-ES"/>
        </w:rPr>
        <w:t>, punto 3 de la parte declarativa. En el mismo sentido ver también</w:t>
      </w:r>
      <w:r w:rsidRPr="007641D6">
        <w:rPr>
          <w:rFonts w:ascii="Arial" w:hAnsi="Arial" w:cs="Arial"/>
          <w:lang w:val="es-ES"/>
        </w:rPr>
        <w:t xml:space="preserve"> </w:t>
      </w:r>
      <w:r>
        <w:rPr>
          <w:rFonts w:ascii="Arial" w:hAnsi="Arial" w:cs="Arial"/>
          <w:lang w:val="es-ES"/>
        </w:rPr>
        <w:t xml:space="preserve">Resolución de </w:t>
      </w:r>
      <w:r w:rsidRPr="007641D6">
        <w:rPr>
          <w:rFonts w:ascii="Arial" w:hAnsi="Arial" w:cs="Arial"/>
          <w:lang w:val="es-ES"/>
        </w:rPr>
        <w:t xml:space="preserve">supervisión de cumplimiento </w:t>
      </w:r>
      <w:r>
        <w:rPr>
          <w:rFonts w:ascii="Arial" w:hAnsi="Arial" w:cs="Arial"/>
          <w:lang w:val="es-ES"/>
        </w:rPr>
        <w:t xml:space="preserve">de sentencia, </w:t>
      </w:r>
      <w:r w:rsidRPr="007641D6">
        <w:rPr>
          <w:rFonts w:ascii="Arial" w:hAnsi="Arial" w:cs="Arial"/>
          <w:lang w:val="es-ES"/>
        </w:rPr>
        <w:t>17 de noviembre de 2004</w:t>
      </w:r>
      <w:r>
        <w:rPr>
          <w:rFonts w:ascii="Arial" w:hAnsi="Arial" w:cs="Arial"/>
          <w:lang w:val="es-ES"/>
        </w:rPr>
        <w:t xml:space="preserve">, </w:t>
      </w:r>
      <w:r w:rsidRPr="002473BA">
        <w:rPr>
          <w:rFonts w:ascii="Arial" w:hAnsi="Arial" w:cs="Arial"/>
          <w:u w:val="single"/>
          <w:lang w:val="es-ES"/>
        </w:rPr>
        <w:t xml:space="preserve">Caso </w:t>
      </w:r>
      <w:proofErr w:type="spellStart"/>
      <w:r w:rsidRPr="002473BA">
        <w:rPr>
          <w:rFonts w:ascii="Arial" w:hAnsi="Arial" w:cs="Arial"/>
          <w:u w:val="single"/>
          <w:lang w:val="es-ES"/>
        </w:rPr>
        <w:t>Bulacio</w:t>
      </w:r>
      <w:proofErr w:type="spellEnd"/>
      <w:r w:rsidRPr="002473BA">
        <w:rPr>
          <w:rFonts w:ascii="Arial" w:hAnsi="Arial" w:cs="Arial"/>
          <w:u w:val="single"/>
          <w:lang w:val="es-ES"/>
        </w:rPr>
        <w:t xml:space="preserve"> vs Argentina</w:t>
      </w:r>
      <w:r>
        <w:rPr>
          <w:rFonts w:ascii="Arial" w:hAnsi="Arial" w:cs="Arial"/>
          <w:lang w:val="es-ES"/>
        </w:rPr>
        <w:t>, punto 2 de la parte declarativa.</w:t>
      </w:r>
      <w:r w:rsidRPr="007641D6">
        <w:rPr>
          <w:rFonts w:ascii="Arial" w:hAnsi="Arial" w:cs="Arial"/>
          <w:lang w:val="es-ES"/>
        </w:rPr>
        <w:t xml:space="preserve"> </w:t>
      </w:r>
    </w:p>
  </w:footnote>
  <w:footnote w:id="129">
    <w:p w:rsidR="00205D3D" w:rsidRPr="0037320C" w:rsidRDefault="00205D3D" w:rsidP="0037320C">
      <w:pPr>
        <w:pStyle w:val="Textonotapie"/>
        <w:jc w:val="both"/>
        <w:rPr>
          <w:rFonts w:ascii="Arial" w:hAnsi="Arial" w:cs="Arial"/>
          <w:lang w:val="es-ES"/>
        </w:rPr>
      </w:pPr>
      <w:r w:rsidRPr="0037320C">
        <w:rPr>
          <w:rStyle w:val="Refdenotaalpie"/>
          <w:rFonts w:ascii="Arial" w:hAnsi="Arial" w:cs="Arial"/>
        </w:rPr>
        <w:footnoteRef/>
      </w:r>
      <w:r w:rsidRPr="0037320C">
        <w:rPr>
          <w:rFonts w:ascii="Arial" w:hAnsi="Arial" w:cs="Arial"/>
          <w:lang w:val="es-ES"/>
        </w:rPr>
        <w:t xml:space="preserve"> Corte Interamericana de Derechos Humanos, Resolución de supervisión de cumplimiento de sentencia 2 de febrero de 2006, </w:t>
      </w:r>
      <w:r w:rsidRPr="0037320C">
        <w:rPr>
          <w:rFonts w:ascii="Arial" w:hAnsi="Arial" w:cs="Arial"/>
          <w:u w:val="single"/>
          <w:lang w:val="es-ES"/>
        </w:rPr>
        <w:t>Caso 19 comerciantes Vs. Colombia</w:t>
      </w:r>
      <w:r w:rsidRPr="0037320C">
        <w:rPr>
          <w:rFonts w:ascii="Arial" w:hAnsi="Arial" w:cs="Arial"/>
          <w:lang w:val="es-ES"/>
        </w:rPr>
        <w:t xml:space="preserve">, párr. 5. </w:t>
      </w:r>
    </w:p>
  </w:footnote>
  <w:footnote w:id="130">
    <w:p w:rsidR="00205D3D" w:rsidRPr="00246C81" w:rsidRDefault="00205D3D" w:rsidP="0037320C">
      <w:pPr>
        <w:pStyle w:val="Body1"/>
        <w:jc w:val="both"/>
        <w:rPr>
          <w:rFonts w:ascii="Arial" w:eastAsia="Times New Roman" w:hAnsi="Arial" w:cs="Arial"/>
          <w:color w:val="auto"/>
          <w:sz w:val="20"/>
        </w:rPr>
      </w:pPr>
      <w:r w:rsidRPr="00246C81">
        <w:rPr>
          <w:rFonts w:ascii="Arial" w:hAnsi="Arial" w:cs="Arial"/>
          <w:sz w:val="20"/>
          <w:vertAlign w:val="superscript"/>
        </w:rPr>
        <w:footnoteRef/>
      </w:r>
      <w:r>
        <w:rPr>
          <w:rFonts w:ascii="Arial" w:hAnsi="Arial" w:cs="Arial"/>
          <w:sz w:val="20"/>
        </w:rPr>
        <w:t xml:space="preserve">Carlos Martín </w:t>
      </w:r>
      <w:proofErr w:type="spellStart"/>
      <w:r>
        <w:rPr>
          <w:rFonts w:ascii="Arial" w:hAnsi="Arial" w:cs="Arial"/>
          <w:sz w:val="20"/>
        </w:rPr>
        <w:t>Beristain</w:t>
      </w:r>
      <w:proofErr w:type="spellEnd"/>
      <w:r>
        <w:rPr>
          <w:rFonts w:ascii="Arial" w:hAnsi="Arial" w:cs="Arial"/>
          <w:sz w:val="20"/>
        </w:rPr>
        <w:t xml:space="preserve">. </w:t>
      </w:r>
      <w:r>
        <w:rPr>
          <w:rFonts w:ascii="Arial" w:hAnsi="Arial" w:cs="Arial"/>
          <w:sz w:val="20"/>
          <w:u w:val="single"/>
        </w:rPr>
        <w:t>Manual sobre perspectiva psicosocial en la investigación de derechos humanos</w:t>
      </w:r>
      <w:r>
        <w:rPr>
          <w:rFonts w:ascii="Arial" w:hAnsi="Arial" w:cs="Arial"/>
          <w:sz w:val="20"/>
        </w:rPr>
        <w:t>.</w:t>
      </w:r>
      <w:r w:rsidRPr="00246C81">
        <w:rPr>
          <w:rFonts w:ascii="Arial" w:hAnsi="Arial" w:cs="Arial"/>
          <w:sz w:val="20"/>
        </w:rPr>
        <w:t xml:space="preserve"> </w:t>
      </w:r>
      <w:r>
        <w:rPr>
          <w:rFonts w:ascii="Arial" w:hAnsi="Arial" w:cs="Arial"/>
          <w:sz w:val="20"/>
        </w:rPr>
        <w:t>Bilbao, Universidad del País Vasco</w:t>
      </w:r>
      <w:r w:rsidRPr="00246C81">
        <w:rPr>
          <w:rFonts w:ascii="Arial" w:hAnsi="Arial" w:cs="Arial"/>
          <w:sz w:val="20"/>
        </w:rPr>
        <w:t xml:space="preserve">, </w:t>
      </w:r>
      <w:r>
        <w:rPr>
          <w:rFonts w:ascii="Arial" w:hAnsi="Arial" w:cs="Arial"/>
          <w:sz w:val="20"/>
        </w:rPr>
        <w:t>2010.</w:t>
      </w:r>
      <w:r w:rsidRPr="00246C81">
        <w:rPr>
          <w:rFonts w:ascii="Arial" w:hAnsi="Arial" w:cs="Arial"/>
          <w:sz w:val="20"/>
        </w:rPr>
        <w:t xml:space="preserve"> p</w:t>
      </w:r>
      <w:r>
        <w:rPr>
          <w:rFonts w:ascii="Arial" w:hAnsi="Arial" w:cs="Arial"/>
          <w:sz w:val="20"/>
        </w:rPr>
        <w:t>p</w:t>
      </w:r>
      <w:r w:rsidRPr="00246C81">
        <w:rPr>
          <w:rFonts w:ascii="Arial" w:hAnsi="Arial" w:cs="Arial"/>
          <w:sz w:val="20"/>
        </w:rPr>
        <w:t>.</w:t>
      </w:r>
      <w:r>
        <w:rPr>
          <w:rFonts w:ascii="Arial" w:hAnsi="Arial" w:cs="Arial"/>
          <w:sz w:val="20"/>
        </w:rPr>
        <w:t xml:space="preserve"> 129, 130.</w:t>
      </w:r>
    </w:p>
    <w:p w:rsidR="00205D3D" w:rsidRPr="0037320C" w:rsidRDefault="00205D3D" w:rsidP="0037320C">
      <w:pPr>
        <w:pStyle w:val="Textonotapie"/>
        <w:jc w:val="both"/>
        <w:rPr>
          <w:rFonts w:ascii="Arial" w:hAnsi="Arial" w:cs="Arial"/>
          <w:lang w:val="es-ES"/>
        </w:rPr>
      </w:pPr>
    </w:p>
  </w:footnote>
  <w:footnote w:id="131">
    <w:p w:rsidR="00205D3D" w:rsidRPr="007641D6" w:rsidRDefault="00205D3D" w:rsidP="00B3601B">
      <w:pPr>
        <w:pStyle w:val="Textonotapie"/>
        <w:jc w:val="both"/>
        <w:rPr>
          <w:rFonts w:ascii="Arial" w:hAnsi="Arial" w:cs="Arial"/>
          <w:lang w:val="es-ES"/>
        </w:rPr>
      </w:pPr>
      <w:r w:rsidRPr="007641D6">
        <w:rPr>
          <w:rStyle w:val="Refdenotaalpie"/>
          <w:rFonts w:ascii="Arial" w:hAnsi="Arial" w:cs="Arial"/>
        </w:rPr>
        <w:footnoteRef/>
      </w:r>
      <w:r w:rsidRPr="007641D6">
        <w:rPr>
          <w:rFonts w:ascii="Arial" w:hAnsi="Arial" w:cs="Arial"/>
          <w:lang w:val="es-ES"/>
        </w:rPr>
        <w:t xml:space="preserve"> </w:t>
      </w:r>
      <w:r w:rsidRPr="00B3601B">
        <w:rPr>
          <w:rFonts w:ascii="Arial" w:hAnsi="Arial" w:cs="Arial"/>
          <w:lang w:val="es-ES"/>
        </w:rPr>
        <w:t>Corte Interamericana de Derechos Humanos, Resolución de supervisión de cumplimiento de sentencia</w:t>
      </w:r>
      <w:r>
        <w:rPr>
          <w:rFonts w:ascii="Arial" w:hAnsi="Arial" w:cs="Arial"/>
          <w:lang w:val="es-ES"/>
        </w:rPr>
        <w:t>,</w:t>
      </w:r>
      <w:r w:rsidRPr="00B3601B">
        <w:rPr>
          <w:rFonts w:ascii="Arial" w:hAnsi="Arial" w:cs="Arial"/>
          <w:lang w:val="es-ES"/>
        </w:rPr>
        <w:t xml:space="preserve"> </w:t>
      </w:r>
      <w:r>
        <w:rPr>
          <w:rFonts w:ascii="Arial" w:hAnsi="Arial" w:cs="Arial"/>
          <w:lang w:val="es-ES"/>
        </w:rPr>
        <w:t xml:space="preserve">03 de febrero de 2010, </w:t>
      </w:r>
      <w:r w:rsidRPr="00B3601B">
        <w:rPr>
          <w:rFonts w:ascii="Arial" w:hAnsi="Arial" w:cs="Arial"/>
          <w:u w:val="single"/>
          <w:lang w:val="es-ES"/>
        </w:rPr>
        <w:t>Caso de las Hermanas Serrano Cruz Vs. El Salvador</w:t>
      </w:r>
      <w:r w:rsidRPr="007641D6">
        <w:rPr>
          <w:rFonts w:ascii="Arial" w:hAnsi="Arial" w:cs="Arial"/>
          <w:lang w:val="es-ES"/>
        </w:rPr>
        <w:t>,</w:t>
      </w:r>
      <w:r>
        <w:rPr>
          <w:rFonts w:ascii="Arial" w:hAnsi="Arial" w:cs="Arial"/>
          <w:lang w:val="es-ES"/>
        </w:rPr>
        <w:t xml:space="preserve"> punto 2</w:t>
      </w:r>
      <w:r w:rsidRPr="00B3601B">
        <w:rPr>
          <w:rFonts w:ascii="Arial" w:hAnsi="Arial" w:cs="Arial"/>
          <w:lang w:val="es-ES"/>
        </w:rPr>
        <w:t xml:space="preserve"> de la parte declarativa</w:t>
      </w:r>
      <w:r>
        <w:rPr>
          <w:rFonts w:ascii="Arial" w:hAnsi="Arial" w:cs="Arial"/>
          <w:lang w:val="es-ES"/>
        </w:rPr>
        <w:t>.</w:t>
      </w:r>
      <w:r w:rsidRPr="007641D6">
        <w:rPr>
          <w:rFonts w:ascii="Arial" w:hAnsi="Arial" w:cs="Arial"/>
          <w:lang w:val="es-ES"/>
        </w:rPr>
        <w:t xml:space="preserve">  </w:t>
      </w:r>
    </w:p>
  </w:footnote>
  <w:footnote w:id="132">
    <w:p w:rsidR="00205D3D" w:rsidRPr="00267743" w:rsidRDefault="00205D3D" w:rsidP="00267743">
      <w:pPr>
        <w:pStyle w:val="Body1"/>
        <w:jc w:val="both"/>
        <w:rPr>
          <w:rFonts w:ascii="Arial" w:eastAsia="Times New Roman" w:hAnsi="Arial" w:cs="Arial"/>
          <w:color w:val="auto"/>
          <w:sz w:val="20"/>
        </w:rPr>
      </w:pPr>
      <w:r w:rsidRPr="00267743">
        <w:rPr>
          <w:rFonts w:ascii="Arial" w:hAnsi="Arial" w:cs="Arial"/>
          <w:sz w:val="20"/>
          <w:vertAlign w:val="superscript"/>
        </w:rPr>
        <w:footnoteRef/>
      </w:r>
      <w:r w:rsidRPr="00267743">
        <w:rPr>
          <w:rFonts w:ascii="Arial" w:hAnsi="Arial" w:cs="Arial"/>
          <w:sz w:val="20"/>
        </w:rPr>
        <w:t xml:space="preserve"> Viviana </w:t>
      </w:r>
      <w:proofErr w:type="spellStart"/>
      <w:r w:rsidRPr="00267743">
        <w:rPr>
          <w:rFonts w:ascii="Arial" w:hAnsi="Arial" w:cs="Arial"/>
          <w:sz w:val="20"/>
        </w:rPr>
        <w:t>Krsticevic</w:t>
      </w:r>
      <w:proofErr w:type="spellEnd"/>
      <w:r w:rsidRPr="00267743">
        <w:rPr>
          <w:rFonts w:ascii="Arial" w:hAnsi="Arial" w:cs="Arial"/>
          <w:sz w:val="20"/>
        </w:rPr>
        <w:t xml:space="preserve">. “Reflexiones sobre la ejecución de las decisiones del Sistema Interamericano de Protección de DDHH”, en </w:t>
      </w:r>
      <w:r w:rsidRPr="00267743">
        <w:rPr>
          <w:rFonts w:ascii="Arial" w:hAnsi="Arial" w:cs="Arial"/>
          <w:sz w:val="20"/>
          <w:u w:val="single"/>
        </w:rPr>
        <w:t>Implementación de las decisiones del Sistema Interamericano de Derechos Humanos</w:t>
      </w:r>
      <w:r w:rsidRPr="00267743">
        <w:rPr>
          <w:rFonts w:ascii="Arial" w:hAnsi="Arial" w:cs="Arial"/>
          <w:sz w:val="20"/>
        </w:rPr>
        <w:t>. San José, Centro por la Justicia y el Derecho Internacional CEJIL, 2007. pp. 25, 26.</w:t>
      </w:r>
    </w:p>
  </w:footnote>
  <w:footnote w:id="133">
    <w:p w:rsidR="00205D3D" w:rsidRPr="00267743" w:rsidRDefault="00205D3D" w:rsidP="00267743">
      <w:pPr>
        <w:pStyle w:val="Textonotapie"/>
        <w:jc w:val="both"/>
        <w:rPr>
          <w:rFonts w:ascii="Arial" w:hAnsi="Arial" w:cs="Arial"/>
          <w:lang w:val="es-ES"/>
        </w:rPr>
      </w:pPr>
      <w:r w:rsidRPr="00267743">
        <w:rPr>
          <w:rStyle w:val="Refdenotaalpie"/>
          <w:rFonts w:ascii="Arial" w:hAnsi="Arial" w:cs="Arial"/>
        </w:rPr>
        <w:footnoteRef/>
      </w:r>
      <w:r w:rsidRPr="00267743">
        <w:rPr>
          <w:rFonts w:ascii="Arial" w:hAnsi="Arial" w:cs="Arial"/>
          <w:lang w:val="es-ES"/>
        </w:rPr>
        <w:t xml:space="preserve"> Carlos Martín </w:t>
      </w:r>
      <w:proofErr w:type="spellStart"/>
      <w:r w:rsidRPr="00267743">
        <w:rPr>
          <w:rFonts w:ascii="Arial" w:hAnsi="Arial" w:cs="Arial"/>
          <w:lang w:val="es-ES"/>
        </w:rPr>
        <w:t>Beristain</w:t>
      </w:r>
      <w:proofErr w:type="spellEnd"/>
      <w:r w:rsidRPr="00267743">
        <w:rPr>
          <w:rFonts w:ascii="Arial" w:hAnsi="Arial" w:cs="Arial"/>
          <w:lang w:val="es-ES"/>
        </w:rPr>
        <w:t xml:space="preserve">. </w:t>
      </w:r>
      <w:r w:rsidRPr="00267743">
        <w:rPr>
          <w:rFonts w:ascii="Arial" w:hAnsi="Arial" w:cs="Arial"/>
          <w:u w:val="single"/>
          <w:lang w:val="es-ES"/>
        </w:rPr>
        <w:t>Manual sobre perspectiva psicosocial en la investigación de derechos humanos</w:t>
      </w:r>
      <w:r>
        <w:rPr>
          <w:rFonts w:ascii="Arial" w:hAnsi="Arial" w:cs="Arial"/>
          <w:lang w:val="es-ES"/>
        </w:rPr>
        <w:t xml:space="preserve">, </w:t>
      </w:r>
      <w:proofErr w:type="spellStart"/>
      <w:r>
        <w:rPr>
          <w:rFonts w:ascii="Arial" w:hAnsi="Arial" w:cs="Arial"/>
          <w:lang w:val="es-ES"/>
        </w:rPr>
        <w:t>op</w:t>
      </w:r>
      <w:proofErr w:type="spellEnd"/>
      <w:r>
        <w:rPr>
          <w:rFonts w:ascii="Arial" w:hAnsi="Arial" w:cs="Arial"/>
          <w:lang w:val="es-ES"/>
        </w:rPr>
        <w:t>. cit. pp. 157, 158.</w:t>
      </w:r>
    </w:p>
  </w:footnote>
  <w:footnote w:id="134">
    <w:p w:rsidR="00205D3D" w:rsidRPr="007641D6" w:rsidRDefault="00205D3D" w:rsidP="007641D6">
      <w:pPr>
        <w:pStyle w:val="Textonotapie"/>
        <w:jc w:val="both"/>
        <w:rPr>
          <w:rFonts w:ascii="Arial" w:hAnsi="Arial" w:cs="Arial"/>
          <w:lang w:val="es-ES"/>
        </w:rPr>
      </w:pPr>
      <w:r w:rsidRPr="007641D6">
        <w:rPr>
          <w:rStyle w:val="Refdenotaalpie"/>
          <w:rFonts w:ascii="Arial" w:hAnsi="Arial" w:cs="Arial"/>
        </w:rPr>
        <w:footnoteRef/>
      </w:r>
      <w:r w:rsidRPr="007641D6">
        <w:rPr>
          <w:rFonts w:ascii="Arial" w:hAnsi="Arial" w:cs="Arial"/>
          <w:lang w:val="es-ES"/>
        </w:rPr>
        <w:t xml:space="preserve"> </w:t>
      </w:r>
      <w:r>
        <w:rPr>
          <w:rFonts w:ascii="Arial" w:hAnsi="Arial" w:cs="Arial"/>
          <w:lang w:val="es-ES"/>
        </w:rPr>
        <w:t xml:space="preserve">Por ejemplo, Casos de la Corte Interamericana de Derechos Humanos donde se ha solicitado a la interpretación de determinada sentencia; </w:t>
      </w:r>
      <w:r w:rsidRPr="007641D6">
        <w:rPr>
          <w:rFonts w:ascii="Arial" w:hAnsi="Arial" w:cs="Arial"/>
          <w:lang w:val="es-ES"/>
        </w:rPr>
        <w:t>Caso</w:t>
      </w:r>
      <w:r>
        <w:rPr>
          <w:rFonts w:ascii="Arial" w:hAnsi="Arial" w:cs="Arial"/>
          <w:lang w:val="es-ES"/>
        </w:rPr>
        <w:t xml:space="preserve"> de la Masacre de Pueblo Bello V</w:t>
      </w:r>
      <w:r w:rsidRPr="007641D6">
        <w:rPr>
          <w:rFonts w:ascii="Arial" w:hAnsi="Arial" w:cs="Arial"/>
          <w:lang w:val="es-ES"/>
        </w:rPr>
        <w:t>s</w:t>
      </w:r>
      <w:r>
        <w:rPr>
          <w:rFonts w:ascii="Arial" w:hAnsi="Arial" w:cs="Arial"/>
          <w:lang w:val="es-ES"/>
        </w:rPr>
        <w:t>.</w:t>
      </w:r>
      <w:r w:rsidRPr="007641D6">
        <w:rPr>
          <w:rFonts w:ascii="Arial" w:hAnsi="Arial" w:cs="Arial"/>
          <w:lang w:val="es-ES"/>
        </w:rPr>
        <w:t xml:space="preserve"> Colombia, int</w:t>
      </w:r>
      <w:r>
        <w:rPr>
          <w:rFonts w:ascii="Arial" w:hAnsi="Arial" w:cs="Arial"/>
          <w:lang w:val="es-ES"/>
        </w:rPr>
        <w:t>erpretación de la Sentencia de Fondo, 25 de noviembre de 2006;</w:t>
      </w:r>
      <w:r w:rsidRPr="007641D6">
        <w:rPr>
          <w:rFonts w:ascii="Arial" w:hAnsi="Arial" w:cs="Arial"/>
          <w:lang w:val="es-ES"/>
        </w:rPr>
        <w:t xml:space="preserve"> ca</w:t>
      </w:r>
      <w:r>
        <w:rPr>
          <w:rFonts w:ascii="Arial" w:hAnsi="Arial" w:cs="Arial"/>
          <w:lang w:val="es-ES"/>
        </w:rPr>
        <w:t>so de la Masacre de la Rochela V</w:t>
      </w:r>
      <w:r w:rsidRPr="007641D6">
        <w:rPr>
          <w:rFonts w:ascii="Arial" w:hAnsi="Arial" w:cs="Arial"/>
          <w:lang w:val="es-ES"/>
        </w:rPr>
        <w:t>s</w:t>
      </w:r>
      <w:r>
        <w:rPr>
          <w:rFonts w:ascii="Arial" w:hAnsi="Arial" w:cs="Arial"/>
          <w:lang w:val="es-ES"/>
        </w:rPr>
        <w:t>.</w:t>
      </w:r>
      <w:r w:rsidRPr="007641D6">
        <w:rPr>
          <w:rFonts w:ascii="Arial" w:hAnsi="Arial" w:cs="Arial"/>
          <w:lang w:val="es-ES"/>
        </w:rPr>
        <w:t xml:space="preserve"> </w:t>
      </w:r>
      <w:r>
        <w:rPr>
          <w:rFonts w:ascii="Arial" w:hAnsi="Arial" w:cs="Arial"/>
          <w:lang w:val="es-ES"/>
        </w:rPr>
        <w:t>Colombia, interpretación de la Sentencia de F</w:t>
      </w:r>
      <w:r w:rsidRPr="007641D6">
        <w:rPr>
          <w:rFonts w:ascii="Arial" w:hAnsi="Arial" w:cs="Arial"/>
          <w:lang w:val="es-ES"/>
        </w:rPr>
        <w:t>ondo</w:t>
      </w:r>
      <w:r>
        <w:rPr>
          <w:rFonts w:ascii="Arial" w:hAnsi="Arial" w:cs="Arial"/>
          <w:lang w:val="es-ES"/>
        </w:rPr>
        <w:t>,</w:t>
      </w:r>
      <w:r w:rsidRPr="007641D6">
        <w:rPr>
          <w:rFonts w:ascii="Arial" w:hAnsi="Arial" w:cs="Arial"/>
          <w:lang w:val="es-ES"/>
        </w:rPr>
        <w:t xml:space="preserve"> 28 de enero de 2008</w:t>
      </w:r>
      <w:r>
        <w:rPr>
          <w:rFonts w:ascii="Arial" w:hAnsi="Arial" w:cs="Arial"/>
          <w:lang w:val="es-ES"/>
        </w:rPr>
        <w:t>.</w:t>
      </w:r>
      <w:r w:rsidRPr="007641D6">
        <w:rPr>
          <w:rFonts w:ascii="Arial" w:hAnsi="Arial" w:cs="Arial"/>
          <w:lang w:val="es-ES"/>
        </w:rPr>
        <w:t xml:space="preserve"> </w:t>
      </w:r>
    </w:p>
  </w:footnote>
  <w:footnote w:id="135">
    <w:p w:rsidR="00205D3D" w:rsidRPr="007641D6" w:rsidRDefault="00205D3D" w:rsidP="008F2951">
      <w:pPr>
        <w:pStyle w:val="Body1"/>
        <w:jc w:val="both"/>
        <w:rPr>
          <w:rFonts w:ascii="Arial" w:eastAsia="Times New Roman" w:hAnsi="Arial" w:cs="Arial"/>
          <w:color w:val="auto"/>
          <w:sz w:val="20"/>
        </w:rPr>
      </w:pPr>
      <w:r w:rsidRPr="007641D6">
        <w:rPr>
          <w:rFonts w:ascii="Arial" w:hAnsi="Arial" w:cs="Arial"/>
          <w:sz w:val="20"/>
          <w:vertAlign w:val="superscript"/>
        </w:rPr>
        <w:footnoteRef/>
      </w:r>
      <w:r w:rsidRPr="007641D6">
        <w:rPr>
          <w:rFonts w:ascii="Arial" w:hAnsi="Arial" w:cs="Arial"/>
          <w:sz w:val="20"/>
        </w:rPr>
        <w:t xml:space="preserve"> Enrique Gil Botero, </w:t>
      </w:r>
      <w:proofErr w:type="spellStart"/>
      <w:r>
        <w:rPr>
          <w:rFonts w:ascii="Arial" w:hAnsi="Arial" w:cs="Arial"/>
          <w:sz w:val="20"/>
        </w:rPr>
        <w:t>op</w:t>
      </w:r>
      <w:proofErr w:type="spellEnd"/>
      <w:r>
        <w:rPr>
          <w:rFonts w:ascii="Arial" w:hAnsi="Arial" w:cs="Arial"/>
          <w:sz w:val="20"/>
        </w:rPr>
        <w:t xml:space="preserve">. cit. </w:t>
      </w:r>
      <w:r w:rsidRPr="007641D6">
        <w:rPr>
          <w:rFonts w:ascii="Arial" w:hAnsi="Arial" w:cs="Arial"/>
          <w:sz w:val="20"/>
        </w:rPr>
        <w:t>p. 645</w:t>
      </w:r>
      <w:r>
        <w:rPr>
          <w:rFonts w:ascii="Arial" w:hAnsi="Arial" w:cs="Arial"/>
          <w:sz w:val="20"/>
        </w:rPr>
        <w:t>.</w:t>
      </w:r>
    </w:p>
  </w:footnote>
  <w:footnote w:id="136">
    <w:p w:rsidR="00205D3D" w:rsidRPr="00E2653E" w:rsidRDefault="00205D3D" w:rsidP="003477B3">
      <w:pPr>
        <w:pStyle w:val="Textonotapie"/>
        <w:jc w:val="both"/>
        <w:rPr>
          <w:rFonts w:ascii="Arial" w:hAnsi="Arial" w:cs="Arial"/>
          <w:lang w:val="es-ES"/>
        </w:rPr>
      </w:pPr>
      <w:r w:rsidRPr="00E2653E">
        <w:rPr>
          <w:rStyle w:val="Refdenotaalpie"/>
          <w:rFonts w:ascii="Arial" w:hAnsi="Arial" w:cs="Arial"/>
        </w:rPr>
        <w:footnoteRef/>
      </w:r>
      <w:r w:rsidRPr="00E2653E">
        <w:rPr>
          <w:rFonts w:ascii="Arial" w:hAnsi="Arial" w:cs="Arial"/>
          <w:lang w:val="es-ES"/>
        </w:rPr>
        <w:t xml:space="preserve"> </w:t>
      </w:r>
      <w:r>
        <w:rPr>
          <w:rFonts w:ascii="Arial" w:hAnsi="Arial" w:cs="Arial"/>
          <w:lang w:val="es-ES"/>
        </w:rPr>
        <w:t xml:space="preserve">Corte Interamericana de Derechos Humanos, </w:t>
      </w:r>
      <w:r w:rsidRPr="003477B3">
        <w:rPr>
          <w:rFonts w:ascii="Arial" w:hAnsi="Arial" w:cs="Arial"/>
          <w:u w:val="single"/>
          <w:lang w:val="es-ES"/>
        </w:rPr>
        <w:t>C</w:t>
      </w:r>
      <w:r>
        <w:rPr>
          <w:rFonts w:ascii="Arial" w:hAnsi="Arial" w:cs="Arial"/>
          <w:u w:val="single"/>
          <w:lang w:val="es-ES"/>
        </w:rPr>
        <w:t xml:space="preserve">aso de las Masacres de </w:t>
      </w:r>
      <w:proofErr w:type="spellStart"/>
      <w:r>
        <w:rPr>
          <w:rFonts w:ascii="Arial" w:hAnsi="Arial" w:cs="Arial"/>
          <w:u w:val="single"/>
          <w:lang w:val="es-ES"/>
        </w:rPr>
        <w:t>Ituango</w:t>
      </w:r>
      <w:proofErr w:type="spellEnd"/>
      <w:r>
        <w:rPr>
          <w:rFonts w:ascii="Arial" w:hAnsi="Arial" w:cs="Arial"/>
          <w:u w:val="single"/>
          <w:lang w:val="es-ES"/>
        </w:rPr>
        <w:t xml:space="preserve"> V</w:t>
      </w:r>
      <w:r w:rsidRPr="003477B3">
        <w:rPr>
          <w:rFonts w:ascii="Arial" w:hAnsi="Arial" w:cs="Arial"/>
          <w:u w:val="single"/>
          <w:lang w:val="es-ES"/>
        </w:rPr>
        <w:t>s</w:t>
      </w:r>
      <w:r>
        <w:rPr>
          <w:rFonts w:ascii="Arial" w:hAnsi="Arial" w:cs="Arial"/>
          <w:u w:val="single"/>
          <w:lang w:val="es-ES"/>
        </w:rPr>
        <w:t>.</w:t>
      </w:r>
      <w:r w:rsidRPr="003477B3">
        <w:rPr>
          <w:rFonts w:ascii="Arial" w:hAnsi="Arial" w:cs="Arial"/>
          <w:u w:val="single"/>
          <w:lang w:val="es-ES"/>
        </w:rPr>
        <w:t xml:space="preserve"> Colombia</w:t>
      </w:r>
      <w:r w:rsidRPr="00E2653E">
        <w:rPr>
          <w:rFonts w:ascii="Arial" w:hAnsi="Arial" w:cs="Arial"/>
          <w:lang w:val="es-ES"/>
        </w:rPr>
        <w:t xml:space="preserve">, sentencia </w:t>
      </w:r>
      <w:r>
        <w:rPr>
          <w:rFonts w:ascii="Arial" w:hAnsi="Arial" w:cs="Arial"/>
          <w:lang w:val="es-ES"/>
        </w:rPr>
        <w:t xml:space="preserve">de </w:t>
      </w:r>
      <w:r w:rsidRPr="00E2653E">
        <w:rPr>
          <w:rFonts w:ascii="Arial" w:hAnsi="Arial" w:cs="Arial"/>
          <w:lang w:val="es-ES"/>
        </w:rPr>
        <w:t>1 de julio de 2006.</w:t>
      </w:r>
      <w:r>
        <w:rPr>
          <w:rFonts w:ascii="Arial" w:hAnsi="Arial" w:cs="Arial"/>
          <w:lang w:val="es-ES"/>
        </w:rPr>
        <w:t xml:space="preserve"> párr. 404.</w:t>
      </w:r>
    </w:p>
  </w:footnote>
  <w:footnote w:id="137">
    <w:p w:rsidR="00205D3D" w:rsidRPr="00E2653E" w:rsidRDefault="00205D3D" w:rsidP="007C124D">
      <w:pPr>
        <w:pStyle w:val="Textonotapie"/>
        <w:jc w:val="both"/>
        <w:rPr>
          <w:rFonts w:ascii="Arial" w:hAnsi="Arial" w:cs="Arial"/>
          <w:lang w:val="es-ES"/>
        </w:rPr>
      </w:pPr>
      <w:r w:rsidRPr="00E2653E">
        <w:rPr>
          <w:rStyle w:val="Refdenotaalpie"/>
          <w:rFonts w:ascii="Arial" w:hAnsi="Arial" w:cs="Arial"/>
        </w:rPr>
        <w:footnoteRef/>
      </w:r>
      <w:r w:rsidRPr="00E2653E">
        <w:rPr>
          <w:rFonts w:ascii="Arial" w:hAnsi="Arial" w:cs="Arial"/>
          <w:lang w:val="es-ES"/>
        </w:rPr>
        <w:t xml:space="preserve"> Revis</w:t>
      </w:r>
      <w:r>
        <w:rPr>
          <w:rFonts w:ascii="Arial" w:hAnsi="Arial" w:cs="Arial"/>
          <w:lang w:val="es-ES"/>
        </w:rPr>
        <w:t>ar, Convención Americana sobre Derechos H</w:t>
      </w:r>
      <w:r w:rsidRPr="00E2653E">
        <w:rPr>
          <w:rFonts w:ascii="Arial" w:hAnsi="Arial" w:cs="Arial"/>
          <w:lang w:val="es-ES"/>
        </w:rPr>
        <w:t>umanos</w:t>
      </w:r>
      <w:r>
        <w:rPr>
          <w:rFonts w:ascii="Arial" w:hAnsi="Arial" w:cs="Arial"/>
          <w:lang w:val="es-ES"/>
        </w:rPr>
        <w:t>,</w:t>
      </w:r>
      <w:r w:rsidRPr="00E2653E">
        <w:rPr>
          <w:rFonts w:ascii="Arial" w:hAnsi="Arial" w:cs="Arial"/>
          <w:lang w:val="es-ES"/>
        </w:rPr>
        <w:t xml:space="preserve"> articulo 68.1</w:t>
      </w:r>
    </w:p>
  </w:footnote>
  <w:footnote w:id="138">
    <w:p w:rsidR="00205D3D" w:rsidRPr="00E2653E" w:rsidRDefault="00205D3D" w:rsidP="007C124D">
      <w:pPr>
        <w:pStyle w:val="Textonotapie"/>
        <w:jc w:val="both"/>
        <w:rPr>
          <w:rFonts w:ascii="Arial" w:hAnsi="Arial" w:cs="Arial"/>
          <w:lang w:val="es-ES"/>
        </w:rPr>
      </w:pPr>
      <w:r w:rsidRPr="00E2653E">
        <w:rPr>
          <w:rStyle w:val="Refdenotaalpie"/>
          <w:rFonts w:ascii="Arial" w:hAnsi="Arial" w:cs="Arial"/>
        </w:rPr>
        <w:footnoteRef/>
      </w:r>
      <w:r>
        <w:rPr>
          <w:rFonts w:ascii="Arial" w:hAnsi="Arial" w:cs="Arial"/>
          <w:lang w:val="es-ES"/>
        </w:rPr>
        <w:t xml:space="preserve"> María Carmelina Londoño Lázaro.</w:t>
      </w:r>
      <w:r w:rsidRPr="00E2653E">
        <w:rPr>
          <w:rFonts w:ascii="Arial" w:hAnsi="Arial" w:cs="Arial"/>
          <w:lang w:val="es-ES"/>
        </w:rPr>
        <w:t xml:space="preserve"> </w:t>
      </w:r>
      <w:r w:rsidRPr="007C124D">
        <w:rPr>
          <w:rFonts w:ascii="Arial" w:hAnsi="Arial" w:cs="Arial"/>
          <w:u w:val="single"/>
          <w:lang w:val="es-ES"/>
        </w:rPr>
        <w:t>El cumplimiento de las sentencias de la Corte Interamericana: dilemas y retos</w:t>
      </w:r>
      <w:r w:rsidRPr="00E2653E">
        <w:rPr>
          <w:rFonts w:ascii="Arial" w:hAnsi="Arial" w:cs="Arial"/>
          <w:lang w:val="es-ES"/>
        </w:rPr>
        <w:t>. (IV Curso Andino de Derechos Humanos</w:t>
      </w:r>
      <w:r>
        <w:rPr>
          <w:rFonts w:ascii="Arial" w:hAnsi="Arial" w:cs="Arial"/>
          <w:lang w:val="es-ES"/>
        </w:rPr>
        <w:t>)</w:t>
      </w:r>
      <w:r w:rsidRPr="00E2653E">
        <w:rPr>
          <w:rFonts w:ascii="Arial" w:hAnsi="Arial" w:cs="Arial"/>
          <w:lang w:val="es-ES"/>
        </w:rPr>
        <w:t>.</w:t>
      </w:r>
      <w:r>
        <w:rPr>
          <w:rFonts w:ascii="Arial" w:hAnsi="Arial" w:cs="Arial"/>
          <w:lang w:val="es-ES"/>
        </w:rPr>
        <w:t xml:space="preserve"> 2006.</w:t>
      </w:r>
      <w:r w:rsidRPr="00E2653E">
        <w:rPr>
          <w:rFonts w:ascii="Arial" w:hAnsi="Arial" w:cs="Arial"/>
          <w:lang w:val="es-ES"/>
        </w:rPr>
        <w:t xml:space="preserve">  </w:t>
      </w:r>
    </w:p>
  </w:footnote>
  <w:footnote w:id="139">
    <w:p w:rsidR="00205D3D" w:rsidRPr="00E2653E" w:rsidRDefault="00205D3D" w:rsidP="00F6613F">
      <w:pPr>
        <w:pStyle w:val="Textonotapie"/>
        <w:jc w:val="both"/>
        <w:rPr>
          <w:rFonts w:ascii="Arial" w:hAnsi="Arial" w:cs="Arial"/>
          <w:lang w:val="es-ES"/>
        </w:rPr>
      </w:pPr>
      <w:r w:rsidRPr="00E2653E">
        <w:rPr>
          <w:rStyle w:val="Refdenotaalpie"/>
          <w:rFonts w:ascii="Arial" w:hAnsi="Arial" w:cs="Arial"/>
        </w:rPr>
        <w:footnoteRef/>
      </w:r>
      <w:r w:rsidRPr="00E2653E">
        <w:rPr>
          <w:rFonts w:ascii="Arial" w:hAnsi="Arial" w:cs="Arial"/>
          <w:lang w:val="es-ES"/>
        </w:rPr>
        <w:t xml:space="preserve"> Carlos Martin </w:t>
      </w:r>
      <w:proofErr w:type="spellStart"/>
      <w:r w:rsidRPr="00E2653E">
        <w:rPr>
          <w:rFonts w:ascii="Arial" w:hAnsi="Arial" w:cs="Arial"/>
          <w:lang w:val="es-ES"/>
        </w:rPr>
        <w:t>Beristain</w:t>
      </w:r>
      <w:proofErr w:type="spellEnd"/>
      <w:r w:rsidRPr="00E2653E">
        <w:rPr>
          <w:rFonts w:ascii="Arial" w:hAnsi="Arial" w:cs="Arial"/>
          <w:lang w:val="es-ES"/>
        </w:rPr>
        <w:t xml:space="preserve">, Diálogos sobre la reparación, Qué reparar en los casos de violaciones de derechos humanos, serie justicia y derechos humanos, </w:t>
      </w:r>
      <w:proofErr w:type="spellStart"/>
      <w:r w:rsidRPr="00E2653E">
        <w:rPr>
          <w:rFonts w:ascii="Arial" w:hAnsi="Arial" w:cs="Arial"/>
          <w:lang w:val="es-ES"/>
        </w:rPr>
        <w:t>neoconstiticionalismo</w:t>
      </w:r>
      <w:proofErr w:type="spellEnd"/>
      <w:r w:rsidRPr="00E2653E">
        <w:rPr>
          <w:rFonts w:ascii="Arial" w:hAnsi="Arial" w:cs="Arial"/>
          <w:lang w:val="es-ES"/>
        </w:rPr>
        <w:t xml:space="preserve"> y sociedad, ministerio de justicia y derechos humanos, Quito-Ecuador, 2009, p. 132.  </w:t>
      </w:r>
    </w:p>
  </w:footnote>
  <w:footnote w:id="140">
    <w:p w:rsidR="00205D3D" w:rsidRPr="00E2653E" w:rsidRDefault="00205D3D" w:rsidP="00E2653E">
      <w:pPr>
        <w:pStyle w:val="Textonotapie"/>
        <w:jc w:val="both"/>
        <w:rPr>
          <w:rFonts w:ascii="Arial" w:hAnsi="Arial" w:cs="Arial"/>
          <w:lang w:val="es-ES"/>
        </w:rPr>
      </w:pPr>
      <w:r w:rsidRPr="00E2653E">
        <w:rPr>
          <w:rStyle w:val="Refdenotaalpie"/>
          <w:rFonts w:ascii="Arial" w:hAnsi="Arial" w:cs="Arial"/>
        </w:rPr>
        <w:footnoteRef/>
      </w:r>
      <w:r w:rsidRPr="00E2653E">
        <w:rPr>
          <w:rFonts w:ascii="Arial" w:hAnsi="Arial" w:cs="Arial"/>
          <w:lang w:val="es-ES"/>
        </w:rPr>
        <w:t xml:space="preserve"> Voto Razonado del Juez Manuel Ventura Robles </w:t>
      </w:r>
      <w:r>
        <w:rPr>
          <w:rFonts w:ascii="Arial" w:hAnsi="Arial" w:cs="Arial"/>
          <w:lang w:val="es-ES"/>
        </w:rPr>
        <w:t xml:space="preserve">en el </w:t>
      </w:r>
      <w:r w:rsidRPr="00E2653E">
        <w:rPr>
          <w:rFonts w:ascii="Arial" w:hAnsi="Arial" w:cs="Arial"/>
          <w:lang w:val="es-ES"/>
        </w:rPr>
        <w:t xml:space="preserve">Caso </w:t>
      </w:r>
      <w:proofErr w:type="spellStart"/>
      <w:r w:rsidRPr="00E2653E">
        <w:rPr>
          <w:rFonts w:ascii="Arial" w:hAnsi="Arial" w:cs="Arial"/>
          <w:lang w:val="es-ES"/>
        </w:rPr>
        <w:t>Caesar</w:t>
      </w:r>
      <w:proofErr w:type="spellEnd"/>
      <w:r w:rsidRPr="00E2653E">
        <w:rPr>
          <w:rFonts w:ascii="Arial" w:hAnsi="Arial" w:cs="Arial"/>
          <w:lang w:val="es-ES"/>
        </w:rPr>
        <w:t xml:space="preserve"> vs Trinidad y Tobago,</w:t>
      </w:r>
      <w:r>
        <w:rPr>
          <w:rFonts w:ascii="Arial" w:hAnsi="Arial" w:cs="Arial"/>
          <w:lang w:val="es-ES"/>
        </w:rPr>
        <w:t xml:space="preserve"> Sentencia 11 de marzo del 2005.</w:t>
      </w:r>
      <w:r w:rsidRPr="00E2653E">
        <w:rPr>
          <w:rFonts w:ascii="Arial" w:hAnsi="Arial" w:cs="Arial"/>
          <w:lang w:val="es-ES"/>
        </w:rPr>
        <w:t xml:space="preserve"> </w:t>
      </w:r>
    </w:p>
  </w:footnote>
  <w:footnote w:id="141">
    <w:p w:rsidR="00205D3D" w:rsidRPr="00E2653E" w:rsidRDefault="00205D3D" w:rsidP="00E2653E">
      <w:pPr>
        <w:pStyle w:val="Textonotapie"/>
        <w:jc w:val="both"/>
        <w:rPr>
          <w:rFonts w:ascii="Arial" w:hAnsi="Arial" w:cs="Arial"/>
          <w:lang w:val="es-ES"/>
        </w:rPr>
      </w:pPr>
      <w:r w:rsidRPr="00E2653E">
        <w:rPr>
          <w:rStyle w:val="Refdenotaalpie"/>
          <w:rFonts w:ascii="Arial" w:hAnsi="Arial" w:cs="Arial"/>
        </w:rPr>
        <w:footnoteRef/>
      </w:r>
      <w:r>
        <w:rPr>
          <w:rFonts w:ascii="Arial" w:hAnsi="Arial" w:cs="Arial"/>
          <w:lang w:val="es-ES"/>
        </w:rPr>
        <w:t xml:space="preserve"> Carlos Villán Durán.</w:t>
      </w:r>
      <w:r w:rsidRPr="00E2653E">
        <w:rPr>
          <w:rFonts w:ascii="Arial" w:hAnsi="Arial" w:cs="Arial"/>
          <w:lang w:val="es-ES"/>
        </w:rPr>
        <w:t xml:space="preserve"> </w:t>
      </w:r>
      <w:r w:rsidRPr="000E5AF9">
        <w:rPr>
          <w:rFonts w:ascii="Arial" w:hAnsi="Arial" w:cs="Arial"/>
          <w:u w:val="single"/>
          <w:lang w:val="es-ES"/>
        </w:rPr>
        <w:t>Curso de Derecho Internacional de los Derechos Humanos</w:t>
      </w:r>
      <w:r>
        <w:rPr>
          <w:rFonts w:ascii="Arial" w:hAnsi="Arial" w:cs="Arial"/>
          <w:lang w:val="es-ES"/>
        </w:rPr>
        <w:t>.</w:t>
      </w:r>
      <w:r w:rsidRPr="00E2653E">
        <w:rPr>
          <w:rFonts w:ascii="Arial" w:hAnsi="Arial" w:cs="Arial"/>
          <w:lang w:val="es-ES"/>
        </w:rPr>
        <w:t xml:space="preserve"> Madrid</w:t>
      </w:r>
      <w:r>
        <w:rPr>
          <w:rFonts w:ascii="Arial" w:hAnsi="Arial" w:cs="Arial"/>
          <w:lang w:val="es-ES"/>
        </w:rPr>
        <w:t>,</w:t>
      </w:r>
      <w:r w:rsidRPr="00E2653E">
        <w:rPr>
          <w:rFonts w:ascii="Arial" w:hAnsi="Arial" w:cs="Arial"/>
          <w:lang w:val="es-ES"/>
        </w:rPr>
        <w:t xml:space="preserve"> </w:t>
      </w:r>
      <w:r>
        <w:rPr>
          <w:rFonts w:ascii="Arial" w:hAnsi="Arial" w:cs="Arial"/>
          <w:lang w:val="es-ES"/>
        </w:rPr>
        <w:t xml:space="preserve">ed. </w:t>
      </w:r>
      <w:proofErr w:type="spellStart"/>
      <w:r>
        <w:rPr>
          <w:rFonts w:ascii="Arial" w:hAnsi="Arial" w:cs="Arial"/>
          <w:lang w:val="es-ES"/>
        </w:rPr>
        <w:t>Trotta</w:t>
      </w:r>
      <w:proofErr w:type="spellEnd"/>
      <w:r>
        <w:rPr>
          <w:rFonts w:ascii="Arial" w:hAnsi="Arial" w:cs="Arial"/>
          <w:lang w:val="es-ES"/>
        </w:rPr>
        <w:t>, 2002.</w:t>
      </w:r>
      <w:r w:rsidRPr="00E2653E">
        <w:rPr>
          <w:rFonts w:ascii="Arial" w:hAnsi="Arial" w:cs="Arial"/>
          <w:lang w:val="es-ES"/>
        </w:rPr>
        <w:t xml:space="preserve"> p. 239. </w:t>
      </w:r>
    </w:p>
  </w:footnote>
  <w:footnote w:id="142">
    <w:p w:rsidR="00205D3D" w:rsidRPr="00DE664D" w:rsidRDefault="00205D3D" w:rsidP="00934502">
      <w:pPr>
        <w:pStyle w:val="Textonotapie"/>
        <w:jc w:val="both"/>
        <w:rPr>
          <w:rFonts w:ascii="Arial" w:hAnsi="Arial" w:cs="Arial"/>
          <w:lang w:val="es-ES"/>
        </w:rPr>
      </w:pPr>
      <w:r w:rsidRPr="00DE664D">
        <w:rPr>
          <w:rStyle w:val="Refdenotaalpie"/>
          <w:rFonts w:ascii="Arial" w:hAnsi="Arial" w:cs="Arial"/>
        </w:rPr>
        <w:footnoteRef/>
      </w:r>
      <w:r>
        <w:rPr>
          <w:rFonts w:ascii="Arial" w:hAnsi="Arial" w:cs="Arial"/>
          <w:lang w:val="es-ES"/>
        </w:rPr>
        <w:t xml:space="preserve"> </w:t>
      </w:r>
      <w:r w:rsidRPr="00DE664D">
        <w:rPr>
          <w:rFonts w:ascii="Arial" w:hAnsi="Arial" w:cs="Arial"/>
          <w:lang w:val="es-ES"/>
        </w:rPr>
        <w:t xml:space="preserve">Claudio Grossman, citado por Carlos Martín </w:t>
      </w:r>
      <w:proofErr w:type="spellStart"/>
      <w:r w:rsidRPr="00DE664D">
        <w:rPr>
          <w:rFonts w:ascii="Arial" w:hAnsi="Arial" w:cs="Arial"/>
          <w:lang w:val="es-ES"/>
        </w:rPr>
        <w:t>Beristain</w:t>
      </w:r>
      <w:proofErr w:type="spellEnd"/>
      <w:r w:rsidRPr="00DE664D">
        <w:rPr>
          <w:rFonts w:ascii="Arial" w:hAnsi="Arial" w:cs="Arial"/>
          <w:lang w:val="es-ES"/>
        </w:rPr>
        <w:t xml:space="preserve">, </w:t>
      </w:r>
      <w:r w:rsidRPr="00DE664D">
        <w:rPr>
          <w:rFonts w:ascii="Arial" w:hAnsi="Arial" w:cs="Arial"/>
          <w:u w:val="single"/>
          <w:lang w:val="es-ES"/>
        </w:rPr>
        <w:t>Diálogos sobre la Reparación</w:t>
      </w:r>
      <w:r w:rsidRPr="00DE664D">
        <w:rPr>
          <w:rFonts w:ascii="Arial" w:hAnsi="Arial" w:cs="Arial"/>
          <w:lang w:val="es-ES"/>
        </w:rPr>
        <w:t>, Ministerio de Justicia y Dere</w:t>
      </w:r>
      <w:r>
        <w:rPr>
          <w:rFonts w:ascii="Arial" w:hAnsi="Arial" w:cs="Arial"/>
          <w:lang w:val="es-ES"/>
        </w:rPr>
        <w:t>chos Humanos, Quito, 2009. p. 85</w:t>
      </w:r>
      <w:r w:rsidRPr="00DE664D">
        <w:rPr>
          <w:rFonts w:ascii="Arial" w:hAnsi="Arial" w:cs="Arial"/>
          <w:lang w:val="es-ES"/>
        </w:rPr>
        <w:t>.</w:t>
      </w:r>
    </w:p>
    <w:p w:rsidR="00205D3D" w:rsidRPr="00934502" w:rsidRDefault="00205D3D">
      <w:pPr>
        <w:pStyle w:val="Textonotapie"/>
        <w:rPr>
          <w:rFonts w:ascii="Arial" w:hAnsi="Arial" w:cs="Arial"/>
          <w:lang w:val="es-ES"/>
        </w:rPr>
      </w:pPr>
    </w:p>
  </w:footnote>
  <w:footnote w:id="143">
    <w:p w:rsidR="00205D3D" w:rsidRPr="00E2653E" w:rsidRDefault="00205D3D" w:rsidP="00F137F5">
      <w:pPr>
        <w:pStyle w:val="Textonotapie"/>
        <w:jc w:val="both"/>
        <w:rPr>
          <w:rFonts w:ascii="Arial" w:hAnsi="Arial" w:cs="Arial"/>
          <w:lang w:val="es-ES"/>
        </w:rPr>
      </w:pPr>
      <w:r w:rsidRPr="00E2653E">
        <w:rPr>
          <w:rStyle w:val="Refdenotaalpie"/>
          <w:rFonts w:ascii="Arial" w:hAnsi="Arial" w:cs="Arial"/>
        </w:rPr>
        <w:footnoteRef/>
      </w:r>
      <w:r w:rsidRPr="00E2653E">
        <w:rPr>
          <w:rFonts w:ascii="Arial" w:hAnsi="Arial" w:cs="Arial"/>
          <w:lang w:val="es-ES"/>
        </w:rPr>
        <w:t xml:space="preserve"> </w:t>
      </w:r>
      <w:r w:rsidRPr="00086600">
        <w:rPr>
          <w:rFonts w:ascii="Arial" w:hAnsi="Arial" w:cs="Arial"/>
          <w:lang w:val="es-ES"/>
        </w:rPr>
        <w:t>Corte Interamericana de Derechos Humanos, Resolución de supervisión de cumplimiento de sentencia</w:t>
      </w:r>
      <w:r>
        <w:rPr>
          <w:rFonts w:ascii="Arial" w:hAnsi="Arial" w:cs="Arial"/>
          <w:lang w:val="es-ES"/>
        </w:rPr>
        <w:t>,</w:t>
      </w:r>
      <w:r w:rsidRPr="00086600">
        <w:rPr>
          <w:rFonts w:ascii="Arial" w:hAnsi="Arial" w:cs="Arial"/>
          <w:lang w:val="es-ES"/>
        </w:rPr>
        <w:t xml:space="preserve"> </w:t>
      </w:r>
      <w:r>
        <w:rPr>
          <w:rFonts w:ascii="Arial" w:hAnsi="Arial" w:cs="Arial"/>
          <w:lang w:val="es-ES"/>
        </w:rPr>
        <w:t xml:space="preserve">5 de febrero del 2013, </w:t>
      </w:r>
      <w:r>
        <w:rPr>
          <w:rFonts w:ascii="Arial" w:hAnsi="Arial" w:cs="Arial"/>
          <w:u w:val="single"/>
          <w:lang w:val="es-ES"/>
        </w:rPr>
        <w:t xml:space="preserve">Caso </w:t>
      </w:r>
      <w:proofErr w:type="spellStart"/>
      <w:r>
        <w:rPr>
          <w:rFonts w:ascii="Arial" w:hAnsi="Arial" w:cs="Arial"/>
          <w:u w:val="single"/>
          <w:lang w:val="es-ES"/>
        </w:rPr>
        <w:t>Kimel</w:t>
      </w:r>
      <w:proofErr w:type="spellEnd"/>
      <w:r>
        <w:rPr>
          <w:rFonts w:ascii="Arial" w:hAnsi="Arial" w:cs="Arial"/>
          <w:u w:val="single"/>
          <w:lang w:val="es-ES"/>
        </w:rPr>
        <w:t xml:space="preserve"> V</w:t>
      </w:r>
      <w:r w:rsidRPr="00F137F5">
        <w:rPr>
          <w:rFonts w:ascii="Arial" w:hAnsi="Arial" w:cs="Arial"/>
          <w:u w:val="single"/>
          <w:lang w:val="es-ES"/>
        </w:rPr>
        <w:t>s Argentina</w:t>
      </w:r>
      <w:r w:rsidRPr="00E2653E">
        <w:rPr>
          <w:rFonts w:ascii="Arial" w:hAnsi="Arial" w:cs="Arial"/>
          <w:lang w:val="es-ES"/>
        </w:rPr>
        <w:t>,</w:t>
      </w:r>
      <w:r>
        <w:rPr>
          <w:rFonts w:ascii="Arial" w:hAnsi="Arial" w:cs="Arial"/>
          <w:lang w:val="es-ES"/>
        </w:rPr>
        <w:t xml:space="preserve"> punto 1 de la parte declarativa.</w:t>
      </w:r>
      <w:r w:rsidRPr="00E2653E">
        <w:rPr>
          <w:rFonts w:ascii="Arial" w:hAnsi="Arial" w:cs="Arial"/>
          <w:lang w:val="es-ES"/>
        </w:rPr>
        <w:t xml:space="preserve">  </w:t>
      </w:r>
    </w:p>
  </w:footnote>
  <w:footnote w:id="144">
    <w:p w:rsidR="00205D3D" w:rsidRPr="00E2653E" w:rsidRDefault="00205D3D" w:rsidP="004E5A0C">
      <w:pPr>
        <w:pStyle w:val="Textonotapie"/>
        <w:jc w:val="both"/>
        <w:rPr>
          <w:rFonts w:ascii="Arial" w:hAnsi="Arial" w:cs="Arial"/>
          <w:lang w:val="es-ES"/>
        </w:rPr>
      </w:pPr>
      <w:r w:rsidRPr="00E2653E">
        <w:rPr>
          <w:rStyle w:val="Refdenotaalpie"/>
          <w:rFonts w:ascii="Arial" w:hAnsi="Arial" w:cs="Arial"/>
        </w:rPr>
        <w:footnoteRef/>
      </w:r>
      <w:r w:rsidRPr="00E2653E">
        <w:rPr>
          <w:rFonts w:ascii="Arial" w:hAnsi="Arial" w:cs="Arial"/>
          <w:lang w:val="es-ES"/>
        </w:rPr>
        <w:t xml:space="preserve"> Corte I</w:t>
      </w:r>
      <w:r>
        <w:rPr>
          <w:rFonts w:ascii="Arial" w:hAnsi="Arial" w:cs="Arial"/>
          <w:lang w:val="es-ES"/>
        </w:rPr>
        <w:t xml:space="preserve">nteramericana de </w:t>
      </w:r>
      <w:r w:rsidRPr="00E2653E">
        <w:rPr>
          <w:rFonts w:ascii="Arial" w:hAnsi="Arial" w:cs="Arial"/>
          <w:lang w:val="es-ES"/>
        </w:rPr>
        <w:t>D</w:t>
      </w:r>
      <w:r>
        <w:rPr>
          <w:rFonts w:ascii="Arial" w:hAnsi="Arial" w:cs="Arial"/>
          <w:lang w:val="es-ES"/>
        </w:rPr>
        <w:t xml:space="preserve">erechos </w:t>
      </w:r>
      <w:r w:rsidRPr="00E2653E">
        <w:rPr>
          <w:rFonts w:ascii="Arial" w:hAnsi="Arial" w:cs="Arial"/>
          <w:lang w:val="es-ES"/>
        </w:rPr>
        <w:t>H</w:t>
      </w:r>
      <w:r>
        <w:rPr>
          <w:rFonts w:ascii="Arial" w:hAnsi="Arial" w:cs="Arial"/>
          <w:lang w:val="es-ES"/>
        </w:rPr>
        <w:t>umanos</w:t>
      </w:r>
      <w:r w:rsidRPr="00E2653E">
        <w:rPr>
          <w:rFonts w:ascii="Arial" w:hAnsi="Arial" w:cs="Arial"/>
          <w:lang w:val="es-ES"/>
        </w:rPr>
        <w:t xml:space="preserve">, </w:t>
      </w:r>
      <w:r w:rsidRPr="004E5A0C">
        <w:rPr>
          <w:rFonts w:ascii="Arial" w:hAnsi="Arial" w:cs="Arial"/>
          <w:u w:val="single"/>
          <w:lang w:val="es-ES"/>
        </w:rPr>
        <w:t>Caso Baena Ricardo y otros Vs. Panamá</w:t>
      </w:r>
      <w:r>
        <w:rPr>
          <w:rFonts w:ascii="Arial" w:hAnsi="Arial" w:cs="Arial"/>
          <w:lang w:val="es-ES"/>
        </w:rPr>
        <w:t>,</w:t>
      </w:r>
      <w:r w:rsidRPr="00E2653E">
        <w:rPr>
          <w:rFonts w:ascii="Arial" w:hAnsi="Arial" w:cs="Arial"/>
          <w:lang w:val="es-ES"/>
        </w:rPr>
        <w:t xml:space="preserve"> Sentencia de 28 de noviembre de 2003</w:t>
      </w:r>
      <w:r>
        <w:rPr>
          <w:rFonts w:ascii="Arial" w:hAnsi="Arial" w:cs="Arial"/>
          <w:lang w:val="es-ES"/>
        </w:rPr>
        <w:t>. (</w:t>
      </w:r>
      <w:r w:rsidRPr="00E2653E">
        <w:rPr>
          <w:rFonts w:ascii="Arial" w:hAnsi="Arial" w:cs="Arial"/>
          <w:lang w:val="es-ES"/>
        </w:rPr>
        <w:t>Competencia</w:t>
      </w:r>
      <w:r>
        <w:rPr>
          <w:rFonts w:ascii="Arial" w:hAnsi="Arial" w:cs="Arial"/>
          <w:lang w:val="es-ES"/>
        </w:rPr>
        <w:t>), párr. 54.</w:t>
      </w:r>
    </w:p>
  </w:footnote>
  <w:footnote w:id="145">
    <w:p w:rsidR="00205D3D" w:rsidRPr="00921AE1" w:rsidRDefault="00205D3D" w:rsidP="00921AE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María Carmelina Londoño Lázaro, </w:t>
      </w:r>
      <w:r w:rsidRPr="0037092D">
        <w:rPr>
          <w:rFonts w:ascii="Arial" w:hAnsi="Arial" w:cs="Arial"/>
          <w:u w:val="single"/>
          <w:lang w:val="es-ES"/>
        </w:rPr>
        <w:t>El cumplimiento de las sentencias de la Corte Interamericana: dilemas y retos</w:t>
      </w:r>
      <w:r>
        <w:rPr>
          <w:rFonts w:ascii="Arial" w:hAnsi="Arial" w:cs="Arial"/>
          <w:lang w:val="es-ES"/>
        </w:rPr>
        <w:t>, (IV Curso Andino de D</w:t>
      </w:r>
      <w:r w:rsidRPr="00921AE1">
        <w:rPr>
          <w:rFonts w:ascii="Arial" w:hAnsi="Arial" w:cs="Arial"/>
          <w:lang w:val="es-ES"/>
        </w:rPr>
        <w:t>erechos Humanos</w:t>
      </w:r>
      <w:r>
        <w:rPr>
          <w:rFonts w:ascii="Arial" w:hAnsi="Arial" w:cs="Arial"/>
          <w:lang w:val="es-ES"/>
        </w:rPr>
        <w:t>), 2006.</w:t>
      </w:r>
      <w:r w:rsidRPr="00921AE1">
        <w:rPr>
          <w:rFonts w:ascii="Arial" w:hAnsi="Arial" w:cs="Arial"/>
          <w:lang w:val="es-ES"/>
        </w:rPr>
        <w:t xml:space="preserve">  </w:t>
      </w:r>
    </w:p>
  </w:footnote>
  <w:footnote w:id="146">
    <w:p w:rsidR="00205D3D" w:rsidRPr="0037092D" w:rsidRDefault="00205D3D" w:rsidP="00921AE1">
      <w:pPr>
        <w:pStyle w:val="Textonotapie"/>
        <w:jc w:val="both"/>
        <w:rPr>
          <w:rFonts w:ascii="Arial" w:hAnsi="Arial" w:cs="Arial"/>
          <w:lang w:val="es-ES"/>
        </w:rPr>
      </w:pPr>
      <w:r w:rsidRPr="0037092D">
        <w:rPr>
          <w:rStyle w:val="Refdenotaalpie"/>
          <w:rFonts w:ascii="Arial" w:hAnsi="Arial" w:cs="Arial"/>
        </w:rPr>
        <w:footnoteRef/>
      </w:r>
      <w:r w:rsidRPr="0037092D">
        <w:rPr>
          <w:rFonts w:ascii="Arial" w:hAnsi="Arial" w:cs="Arial"/>
          <w:lang w:val="es-ES"/>
        </w:rPr>
        <w:t xml:space="preserve"> Corte Interamericana de Derechos Humanos. </w:t>
      </w:r>
      <w:r w:rsidRPr="0037092D">
        <w:rPr>
          <w:rFonts w:ascii="Arial" w:hAnsi="Arial" w:cs="Arial"/>
          <w:u w:val="single"/>
          <w:lang w:val="es-ES"/>
        </w:rPr>
        <w:t>El Sistema Interamericano de Protección de los Derechos Humanos en el Umbral del Siglo XXI</w:t>
      </w:r>
      <w:r w:rsidRPr="0037092D">
        <w:rPr>
          <w:rFonts w:ascii="Arial" w:hAnsi="Arial" w:cs="Arial"/>
          <w:lang w:val="es-ES"/>
        </w:rPr>
        <w:t>, informe: Bases para un Proyecto de Protocolo a la Convención Americana sobre Derechos Humanos para Fortalecer su Mecanismo de Protección, Tomo II, 2ª Edición, Mayo de 2003.</w:t>
      </w:r>
    </w:p>
  </w:footnote>
  <w:footnote w:id="147">
    <w:p w:rsidR="00205D3D" w:rsidRPr="0037092D" w:rsidRDefault="00205D3D" w:rsidP="00921AE1">
      <w:pPr>
        <w:pStyle w:val="Textonotapie"/>
        <w:jc w:val="both"/>
        <w:rPr>
          <w:rFonts w:ascii="Arial" w:hAnsi="Arial" w:cs="Arial"/>
          <w:lang w:val="es-ES"/>
        </w:rPr>
      </w:pPr>
      <w:r w:rsidRPr="0037092D">
        <w:rPr>
          <w:rStyle w:val="Refdenotaalpie"/>
          <w:rFonts w:ascii="Arial" w:hAnsi="Arial" w:cs="Arial"/>
        </w:rPr>
        <w:footnoteRef/>
      </w:r>
      <w:r w:rsidRPr="0037092D">
        <w:rPr>
          <w:rFonts w:ascii="Arial" w:hAnsi="Arial" w:cs="Arial"/>
          <w:lang w:val="es-ES"/>
        </w:rPr>
        <w:t xml:space="preserve"> </w:t>
      </w:r>
      <w:r>
        <w:rPr>
          <w:rFonts w:ascii="Arial" w:hAnsi="Arial" w:cs="Arial"/>
          <w:lang w:val="es-ES"/>
        </w:rPr>
        <w:t>V</w:t>
      </w:r>
      <w:r w:rsidRPr="0037092D">
        <w:rPr>
          <w:rFonts w:ascii="Arial" w:hAnsi="Arial" w:cs="Arial"/>
          <w:lang w:val="es-ES"/>
        </w:rPr>
        <w:t xml:space="preserve">oto Razonado </w:t>
      </w:r>
      <w:r>
        <w:rPr>
          <w:rFonts w:ascii="Arial" w:hAnsi="Arial" w:cs="Arial"/>
          <w:lang w:val="es-ES"/>
        </w:rPr>
        <w:t>del Juez Manuel Ventura Robles en el</w:t>
      </w:r>
      <w:r w:rsidRPr="0037092D">
        <w:rPr>
          <w:rFonts w:ascii="Arial" w:hAnsi="Arial" w:cs="Arial"/>
          <w:lang w:val="es-ES"/>
        </w:rPr>
        <w:t xml:space="preserve"> </w:t>
      </w:r>
      <w:r>
        <w:rPr>
          <w:rFonts w:ascii="Arial" w:hAnsi="Arial" w:cs="Arial"/>
          <w:lang w:val="es-ES"/>
        </w:rPr>
        <w:t xml:space="preserve">Caso </w:t>
      </w:r>
      <w:proofErr w:type="spellStart"/>
      <w:r>
        <w:rPr>
          <w:rFonts w:ascii="Arial" w:hAnsi="Arial" w:cs="Arial"/>
          <w:lang w:val="es-ES"/>
        </w:rPr>
        <w:t>Caesar</w:t>
      </w:r>
      <w:proofErr w:type="spellEnd"/>
      <w:r>
        <w:rPr>
          <w:rFonts w:ascii="Arial" w:hAnsi="Arial" w:cs="Arial"/>
          <w:lang w:val="es-ES"/>
        </w:rPr>
        <w:t xml:space="preserve"> V</w:t>
      </w:r>
      <w:r w:rsidRPr="0037092D">
        <w:rPr>
          <w:rFonts w:ascii="Arial" w:hAnsi="Arial" w:cs="Arial"/>
          <w:lang w:val="es-ES"/>
        </w:rPr>
        <w:t>s</w:t>
      </w:r>
      <w:r>
        <w:rPr>
          <w:rFonts w:ascii="Arial" w:hAnsi="Arial" w:cs="Arial"/>
          <w:lang w:val="es-ES"/>
        </w:rPr>
        <w:t>.</w:t>
      </w:r>
      <w:r w:rsidRPr="0037092D">
        <w:rPr>
          <w:rFonts w:ascii="Arial" w:hAnsi="Arial" w:cs="Arial"/>
          <w:lang w:val="es-ES"/>
        </w:rPr>
        <w:t xml:space="preserve"> T</w:t>
      </w:r>
      <w:r>
        <w:rPr>
          <w:rFonts w:ascii="Arial" w:hAnsi="Arial" w:cs="Arial"/>
          <w:lang w:val="es-ES"/>
        </w:rPr>
        <w:t>rinidad y Tobago, Sentencia de 11 de marzo de 2005.</w:t>
      </w:r>
    </w:p>
  </w:footnote>
  <w:footnote w:id="148">
    <w:p w:rsidR="00205D3D" w:rsidRPr="00921AE1" w:rsidRDefault="00205D3D" w:rsidP="00921AE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Estatuto del Consejo de Europa, </w:t>
      </w:r>
      <w:r w:rsidRPr="00751534">
        <w:rPr>
          <w:rFonts w:ascii="Arial" w:hAnsi="Arial" w:cs="Arial"/>
          <w:lang w:val="es-ES"/>
        </w:rPr>
        <w:t>aprobado por el</w:t>
      </w:r>
      <w:r>
        <w:rPr>
          <w:rFonts w:ascii="Arial" w:hAnsi="Arial" w:cs="Arial"/>
          <w:lang w:val="es-ES"/>
        </w:rPr>
        <w:t xml:space="preserve"> Tratado fundacional de Londres</w:t>
      </w:r>
      <w:r w:rsidRPr="00751534">
        <w:rPr>
          <w:rFonts w:ascii="Arial" w:hAnsi="Arial" w:cs="Arial"/>
          <w:lang w:val="es-ES"/>
        </w:rPr>
        <w:t xml:space="preserve"> de 1949</w:t>
      </w:r>
      <w:r>
        <w:rPr>
          <w:rFonts w:ascii="Arial" w:hAnsi="Arial" w:cs="Arial"/>
          <w:lang w:val="es-ES"/>
        </w:rPr>
        <w:t>,</w:t>
      </w:r>
      <w:r w:rsidRPr="00751534">
        <w:rPr>
          <w:rFonts w:ascii="Arial" w:hAnsi="Arial" w:cs="Arial"/>
          <w:lang w:val="es-ES"/>
        </w:rPr>
        <w:t xml:space="preserve"> </w:t>
      </w:r>
      <w:r w:rsidRPr="00921AE1">
        <w:rPr>
          <w:rFonts w:ascii="Arial" w:hAnsi="Arial" w:cs="Arial"/>
          <w:lang w:val="es-ES"/>
        </w:rPr>
        <w:t xml:space="preserve">artículos del 13 al 21. </w:t>
      </w:r>
    </w:p>
  </w:footnote>
  <w:footnote w:id="149">
    <w:p w:rsidR="00205D3D" w:rsidRPr="00921AE1" w:rsidRDefault="00205D3D" w:rsidP="00751534">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Estatuto del Consejo de Europa, articulo 8</w:t>
      </w:r>
      <w:r>
        <w:rPr>
          <w:rFonts w:ascii="Arial" w:hAnsi="Arial" w:cs="Arial"/>
          <w:lang w:val="es-ES"/>
        </w:rPr>
        <w:t>.</w:t>
      </w:r>
      <w:r w:rsidRPr="00921AE1">
        <w:rPr>
          <w:rFonts w:ascii="Arial" w:hAnsi="Arial" w:cs="Arial"/>
          <w:lang w:val="es-ES"/>
        </w:rPr>
        <w:t xml:space="preserve"> </w:t>
      </w:r>
    </w:p>
  </w:footnote>
  <w:footnote w:id="150">
    <w:p w:rsidR="00205D3D" w:rsidRPr="00921AE1" w:rsidRDefault="00205D3D" w:rsidP="00751534">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Concepción </w:t>
      </w:r>
      <w:r>
        <w:rPr>
          <w:rFonts w:ascii="Arial" w:hAnsi="Arial" w:cs="Arial"/>
          <w:lang w:val="es-ES"/>
        </w:rPr>
        <w:t>Escobar Hernández.</w:t>
      </w:r>
      <w:r w:rsidRPr="00921AE1">
        <w:rPr>
          <w:rFonts w:ascii="Arial" w:hAnsi="Arial" w:cs="Arial"/>
          <w:lang w:val="es-ES"/>
        </w:rPr>
        <w:t xml:space="preserve"> </w:t>
      </w:r>
      <w:r w:rsidRPr="00751534">
        <w:rPr>
          <w:rFonts w:ascii="Arial" w:hAnsi="Arial" w:cs="Arial"/>
          <w:u w:val="single"/>
          <w:lang w:val="es-ES"/>
        </w:rPr>
        <w:t>Ejecución de sentencias del Tribunal Europeo de Derechos Humanos</w:t>
      </w:r>
      <w:r>
        <w:rPr>
          <w:rFonts w:ascii="Arial" w:hAnsi="Arial" w:cs="Arial"/>
          <w:lang w:val="es-ES"/>
        </w:rPr>
        <w:t>,</w:t>
      </w:r>
      <w:r w:rsidRPr="00921AE1">
        <w:rPr>
          <w:rFonts w:ascii="Arial" w:hAnsi="Arial" w:cs="Arial"/>
          <w:lang w:val="es-ES"/>
        </w:rPr>
        <w:t xml:space="preserve"> Revista Española de Derecho Inte</w:t>
      </w:r>
      <w:r>
        <w:rPr>
          <w:rFonts w:ascii="Arial" w:hAnsi="Arial" w:cs="Arial"/>
          <w:lang w:val="es-ES"/>
        </w:rPr>
        <w:t>rnacional (REDI) t. XLII, 1990.</w:t>
      </w:r>
      <w:r w:rsidRPr="00921AE1">
        <w:rPr>
          <w:rFonts w:ascii="Arial" w:hAnsi="Arial" w:cs="Arial"/>
          <w:lang w:val="es-ES"/>
        </w:rPr>
        <w:t xml:space="preserve"> p. 560</w:t>
      </w:r>
      <w:r>
        <w:rPr>
          <w:rFonts w:ascii="Arial" w:hAnsi="Arial" w:cs="Arial"/>
          <w:lang w:val="es-ES"/>
        </w:rPr>
        <w:t>.</w:t>
      </w:r>
      <w:r w:rsidRPr="00921AE1">
        <w:rPr>
          <w:rFonts w:ascii="Arial" w:hAnsi="Arial" w:cs="Arial"/>
          <w:lang w:val="es-ES"/>
        </w:rPr>
        <w:t xml:space="preserve">   </w:t>
      </w:r>
    </w:p>
  </w:footnote>
  <w:footnote w:id="151">
    <w:p w:rsidR="00205D3D" w:rsidRPr="00A555C2" w:rsidRDefault="00205D3D" w:rsidP="00A555C2">
      <w:pPr>
        <w:pStyle w:val="Textonotapie"/>
        <w:jc w:val="both"/>
        <w:rPr>
          <w:rFonts w:ascii="Arial" w:hAnsi="Arial" w:cs="Arial"/>
          <w:lang w:val="es-ES"/>
        </w:rPr>
      </w:pPr>
      <w:r w:rsidRPr="00610343">
        <w:rPr>
          <w:rStyle w:val="Refdenotaalpie"/>
          <w:rFonts w:ascii="Arial" w:hAnsi="Arial" w:cs="Arial"/>
        </w:rPr>
        <w:footnoteRef/>
      </w:r>
      <w:r w:rsidRPr="00610343">
        <w:rPr>
          <w:rFonts w:ascii="Arial" w:hAnsi="Arial" w:cs="Arial"/>
          <w:lang w:val="es-ES"/>
        </w:rPr>
        <w:t xml:space="preserve"> Viviana </w:t>
      </w:r>
      <w:proofErr w:type="spellStart"/>
      <w:r w:rsidRPr="00610343">
        <w:rPr>
          <w:rFonts w:ascii="Arial" w:hAnsi="Arial" w:cs="Arial"/>
          <w:lang w:val="es-ES"/>
        </w:rPr>
        <w:t>Krsticevic</w:t>
      </w:r>
      <w:proofErr w:type="spellEnd"/>
      <w:r w:rsidRPr="00610343">
        <w:rPr>
          <w:rFonts w:ascii="Arial" w:hAnsi="Arial" w:cs="Arial"/>
          <w:lang w:val="es-ES"/>
        </w:rPr>
        <w:t>. “Reflexiones sobre la ejecución de las decisiones del Sistema Interamericano de Protección de DDHH”, en Implementación de las decisiones del Sistema Interamericano de Derechos Humanos. San José, Centro por la Justicia y el Dere</w:t>
      </w:r>
      <w:r>
        <w:rPr>
          <w:rFonts w:ascii="Arial" w:hAnsi="Arial" w:cs="Arial"/>
          <w:lang w:val="es-ES"/>
        </w:rPr>
        <w:t>cho Internacional CEJIL, 2007. pp. 39, 40.</w:t>
      </w:r>
    </w:p>
  </w:footnote>
  <w:footnote w:id="152">
    <w:p w:rsidR="00205D3D" w:rsidRPr="00A555C2" w:rsidRDefault="00205D3D" w:rsidP="00A555C2">
      <w:pPr>
        <w:pStyle w:val="Textonotapie"/>
        <w:jc w:val="both"/>
        <w:rPr>
          <w:rFonts w:ascii="Arial" w:hAnsi="Arial" w:cs="Arial"/>
          <w:lang w:val="es-ES"/>
        </w:rPr>
      </w:pPr>
      <w:r w:rsidRPr="00A555C2">
        <w:rPr>
          <w:rStyle w:val="Refdenotaalpie"/>
          <w:rFonts w:ascii="Arial" w:hAnsi="Arial" w:cs="Arial"/>
        </w:rPr>
        <w:footnoteRef/>
      </w:r>
      <w:r w:rsidRPr="00A555C2">
        <w:rPr>
          <w:rFonts w:ascii="Arial" w:hAnsi="Arial" w:cs="Arial"/>
          <w:lang w:val="es-ES"/>
        </w:rPr>
        <w:t xml:space="preserve"> Carlos Ayala, citado por Carlos </w:t>
      </w:r>
      <w:proofErr w:type="spellStart"/>
      <w:r w:rsidRPr="00A555C2">
        <w:rPr>
          <w:rFonts w:ascii="Arial" w:hAnsi="Arial" w:cs="Arial"/>
          <w:lang w:val="es-ES"/>
        </w:rPr>
        <w:t>Matín</w:t>
      </w:r>
      <w:proofErr w:type="spellEnd"/>
      <w:r w:rsidRPr="00A555C2">
        <w:rPr>
          <w:rFonts w:ascii="Arial" w:hAnsi="Arial" w:cs="Arial"/>
          <w:lang w:val="es-ES"/>
        </w:rPr>
        <w:t xml:space="preserve"> </w:t>
      </w:r>
      <w:proofErr w:type="spellStart"/>
      <w:r w:rsidRPr="00A555C2">
        <w:rPr>
          <w:rFonts w:ascii="Arial" w:hAnsi="Arial" w:cs="Arial"/>
          <w:lang w:val="es-ES"/>
        </w:rPr>
        <w:t>Beristain</w:t>
      </w:r>
      <w:proofErr w:type="spellEnd"/>
      <w:r w:rsidRPr="00A555C2">
        <w:rPr>
          <w:rFonts w:ascii="Arial" w:hAnsi="Arial" w:cs="Arial"/>
          <w:lang w:val="es-ES"/>
        </w:rPr>
        <w:t xml:space="preserve">, </w:t>
      </w:r>
      <w:r w:rsidRPr="00A555C2">
        <w:rPr>
          <w:rFonts w:ascii="Arial" w:hAnsi="Arial" w:cs="Arial"/>
          <w:u w:val="single"/>
          <w:lang w:val="es-ES"/>
        </w:rPr>
        <w:t>Diálogos sobre la reparación</w:t>
      </w:r>
      <w:r>
        <w:rPr>
          <w:rFonts w:ascii="Arial" w:hAnsi="Arial" w:cs="Arial"/>
          <w:lang w:val="es-ES"/>
        </w:rPr>
        <w:t xml:space="preserve">, </w:t>
      </w:r>
      <w:proofErr w:type="spellStart"/>
      <w:r>
        <w:rPr>
          <w:rFonts w:ascii="Arial" w:hAnsi="Arial" w:cs="Arial"/>
          <w:lang w:val="es-ES"/>
        </w:rPr>
        <w:t>op</w:t>
      </w:r>
      <w:proofErr w:type="spellEnd"/>
      <w:r>
        <w:rPr>
          <w:rFonts w:ascii="Arial" w:hAnsi="Arial" w:cs="Arial"/>
          <w:lang w:val="es-ES"/>
        </w:rPr>
        <w:t xml:space="preserve">, </w:t>
      </w:r>
      <w:proofErr w:type="spellStart"/>
      <w:r>
        <w:rPr>
          <w:rFonts w:ascii="Arial" w:hAnsi="Arial" w:cs="Arial"/>
          <w:lang w:val="es-ES"/>
        </w:rPr>
        <w:t>cit</w:t>
      </w:r>
      <w:proofErr w:type="spellEnd"/>
      <w:r>
        <w:rPr>
          <w:rFonts w:ascii="Arial" w:hAnsi="Arial" w:cs="Arial"/>
          <w:lang w:val="es-ES"/>
        </w:rPr>
        <w:t>, pp. 115, 116.</w:t>
      </w:r>
    </w:p>
  </w:footnote>
  <w:footnote w:id="153">
    <w:p w:rsidR="00205D3D" w:rsidRPr="00921AE1" w:rsidRDefault="00205D3D" w:rsidP="00921AE1">
      <w:pPr>
        <w:pStyle w:val="Textonotapie"/>
        <w:jc w:val="both"/>
        <w:rPr>
          <w:rFonts w:ascii="Arial" w:hAnsi="Arial" w:cs="Arial"/>
          <w:lang w:val="es-ES"/>
        </w:rPr>
      </w:pPr>
      <w:r w:rsidRPr="00A555C2">
        <w:rPr>
          <w:rStyle w:val="Refdenotaalpie"/>
          <w:rFonts w:ascii="Arial" w:hAnsi="Arial" w:cs="Arial"/>
        </w:rPr>
        <w:footnoteRef/>
      </w:r>
      <w:r w:rsidRPr="00A555C2">
        <w:rPr>
          <w:rFonts w:ascii="Arial" w:hAnsi="Arial" w:cs="Arial"/>
          <w:lang w:val="es-ES"/>
        </w:rPr>
        <w:t xml:space="preserve"> Corte Interamericana de Derechos Humanos, </w:t>
      </w:r>
      <w:r w:rsidRPr="00A555C2">
        <w:rPr>
          <w:rFonts w:ascii="Arial" w:hAnsi="Arial" w:cs="Arial"/>
          <w:u w:val="single"/>
          <w:lang w:val="es-ES"/>
        </w:rPr>
        <w:t>Caso La Última Tentación de Cristo (Olmedo Bustos</w:t>
      </w:r>
      <w:r>
        <w:rPr>
          <w:rFonts w:ascii="Arial" w:hAnsi="Arial" w:cs="Arial"/>
          <w:u w:val="single"/>
          <w:lang w:val="es-ES"/>
        </w:rPr>
        <w:t xml:space="preserve"> y otros) V</w:t>
      </w:r>
      <w:r w:rsidRPr="0061360E">
        <w:rPr>
          <w:rFonts w:ascii="Arial" w:hAnsi="Arial" w:cs="Arial"/>
          <w:u w:val="single"/>
          <w:lang w:val="es-ES"/>
        </w:rPr>
        <w:t>s. Chile</w:t>
      </w:r>
      <w:r w:rsidRPr="00921AE1">
        <w:rPr>
          <w:rFonts w:ascii="Arial" w:hAnsi="Arial" w:cs="Arial"/>
          <w:lang w:val="es-ES"/>
        </w:rPr>
        <w:t>, Se</w:t>
      </w:r>
      <w:r>
        <w:rPr>
          <w:rFonts w:ascii="Arial" w:hAnsi="Arial" w:cs="Arial"/>
          <w:lang w:val="es-ES"/>
        </w:rPr>
        <w:t>ntencia de 5 de febrero de 2001.</w:t>
      </w:r>
      <w:r w:rsidRPr="00921AE1">
        <w:rPr>
          <w:rFonts w:ascii="Arial" w:hAnsi="Arial" w:cs="Arial"/>
          <w:lang w:val="es-ES"/>
        </w:rPr>
        <w:t xml:space="preserve"> </w:t>
      </w:r>
      <w:r>
        <w:rPr>
          <w:rFonts w:ascii="Arial" w:hAnsi="Arial" w:cs="Arial"/>
          <w:lang w:val="es-ES"/>
        </w:rPr>
        <w:t>(</w:t>
      </w:r>
      <w:r w:rsidRPr="00921AE1">
        <w:rPr>
          <w:rFonts w:ascii="Arial" w:hAnsi="Arial" w:cs="Arial"/>
          <w:lang w:val="es-ES"/>
        </w:rPr>
        <w:t>Fondo, Reparaciones y Costas</w:t>
      </w:r>
      <w:r>
        <w:rPr>
          <w:rFonts w:ascii="Arial" w:hAnsi="Arial" w:cs="Arial"/>
          <w:lang w:val="es-ES"/>
        </w:rPr>
        <w:t>), párr. 103.</w:t>
      </w:r>
      <w:r w:rsidRPr="00921AE1">
        <w:rPr>
          <w:rFonts w:ascii="Arial" w:hAnsi="Arial" w:cs="Arial"/>
          <w:lang w:val="es-ES"/>
        </w:rPr>
        <w:t xml:space="preserve">  </w:t>
      </w:r>
    </w:p>
  </w:footnote>
  <w:footnote w:id="154">
    <w:p w:rsidR="00205D3D" w:rsidRPr="00921AE1" w:rsidRDefault="00205D3D" w:rsidP="00921AE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sidRPr="00DB191C">
        <w:rPr>
          <w:rFonts w:ascii="Arial" w:hAnsi="Arial" w:cs="Arial"/>
          <w:lang w:val="es-ES"/>
        </w:rPr>
        <w:t>Corte Interamericana de Derechos Humanos, Resolución de supervisión de cumplimiento de sentencia</w:t>
      </w:r>
      <w:r>
        <w:rPr>
          <w:rFonts w:ascii="Arial" w:hAnsi="Arial" w:cs="Arial"/>
          <w:lang w:val="es-ES"/>
        </w:rPr>
        <w:t xml:space="preserve">, </w:t>
      </w:r>
      <w:r w:rsidRPr="00921AE1">
        <w:rPr>
          <w:rFonts w:ascii="Arial" w:hAnsi="Arial" w:cs="Arial"/>
          <w:lang w:val="es-ES"/>
        </w:rPr>
        <w:t xml:space="preserve">28 de noviembre de 2003, </w:t>
      </w:r>
      <w:r w:rsidRPr="00DB191C">
        <w:rPr>
          <w:rFonts w:ascii="Arial" w:hAnsi="Arial" w:cs="Arial"/>
          <w:u w:val="single"/>
          <w:lang w:val="es-ES"/>
        </w:rPr>
        <w:t xml:space="preserve">Caso “La </w:t>
      </w:r>
      <w:proofErr w:type="spellStart"/>
      <w:r w:rsidRPr="00DB191C">
        <w:rPr>
          <w:rFonts w:ascii="Arial" w:hAnsi="Arial" w:cs="Arial"/>
          <w:u w:val="single"/>
          <w:lang w:val="es-ES"/>
        </w:rPr>
        <w:t>Ultima</w:t>
      </w:r>
      <w:proofErr w:type="spellEnd"/>
      <w:r w:rsidRPr="00DB191C">
        <w:rPr>
          <w:rFonts w:ascii="Arial" w:hAnsi="Arial" w:cs="Arial"/>
          <w:u w:val="single"/>
          <w:lang w:val="es-ES"/>
        </w:rPr>
        <w:t xml:space="preserve"> Tentación de Cristo” (Olmedo Bustos Y Otros) Vs. Chile</w:t>
      </w:r>
      <w:r>
        <w:rPr>
          <w:rFonts w:ascii="Arial" w:hAnsi="Arial" w:cs="Arial"/>
          <w:lang w:val="es-ES"/>
        </w:rPr>
        <w:t>, puntos resolutivos 1 y 2</w:t>
      </w:r>
      <w:r w:rsidRPr="00921AE1">
        <w:rPr>
          <w:rFonts w:ascii="Arial" w:hAnsi="Arial" w:cs="Arial"/>
          <w:lang w:val="es-ES"/>
        </w:rPr>
        <w:t xml:space="preserve">. </w:t>
      </w:r>
    </w:p>
  </w:footnote>
  <w:footnote w:id="155">
    <w:p w:rsidR="00205D3D" w:rsidRPr="00921AE1" w:rsidRDefault="00205D3D" w:rsidP="00CB1907">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Pr>
          <w:rFonts w:ascii="Arial" w:hAnsi="Arial" w:cs="Arial"/>
          <w:lang w:val="es-ES"/>
        </w:rPr>
        <w:t xml:space="preserve">Corte Interamericana de Derechos Humanos, </w:t>
      </w:r>
      <w:r w:rsidRPr="00CB1907">
        <w:rPr>
          <w:rFonts w:ascii="Arial" w:hAnsi="Arial" w:cs="Arial"/>
          <w:u w:val="single"/>
          <w:lang w:val="es-ES"/>
        </w:rPr>
        <w:t>Caso Acosta Calderón vs. Ecuador</w:t>
      </w:r>
      <w:r w:rsidRPr="00921AE1">
        <w:rPr>
          <w:rFonts w:ascii="Arial" w:hAnsi="Arial" w:cs="Arial"/>
          <w:lang w:val="es-ES"/>
        </w:rPr>
        <w:t>, S</w:t>
      </w:r>
      <w:r>
        <w:rPr>
          <w:rFonts w:ascii="Arial" w:hAnsi="Arial" w:cs="Arial"/>
          <w:lang w:val="es-ES"/>
        </w:rPr>
        <w:t>entencia de 24 de junio de 2005.</w:t>
      </w:r>
      <w:r w:rsidRPr="00921AE1">
        <w:rPr>
          <w:rFonts w:ascii="Arial" w:hAnsi="Arial" w:cs="Arial"/>
          <w:lang w:val="es-ES"/>
        </w:rPr>
        <w:t xml:space="preserve"> </w:t>
      </w:r>
      <w:r>
        <w:rPr>
          <w:rFonts w:ascii="Arial" w:hAnsi="Arial" w:cs="Arial"/>
          <w:lang w:val="es-ES"/>
        </w:rPr>
        <w:t>(</w:t>
      </w:r>
      <w:r w:rsidRPr="00921AE1">
        <w:rPr>
          <w:rFonts w:ascii="Arial" w:hAnsi="Arial" w:cs="Arial"/>
          <w:lang w:val="es-ES"/>
        </w:rPr>
        <w:t>Fondo, Reparaciones y Costas</w:t>
      </w:r>
      <w:r>
        <w:rPr>
          <w:rFonts w:ascii="Arial" w:hAnsi="Arial" w:cs="Arial"/>
          <w:lang w:val="es-ES"/>
        </w:rPr>
        <w:t>) párr. 170</w:t>
      </w:r>
      <w:r w:rsidRPr="00921AE1">
        <w:rPr>
          <w:rFonts w:ascii="Arial" w:hAnsi="Arial" w:cs="Arial"/>
          <w:lang w:val="es-ES"/>
        </w:rPr>
        <w:t xml:space="preserve">. </w:t>
      </w:r>
    </w:p>
  </w:footnote>
  <w:footnote w:id="156">
    <w:p w:rsidR="00205D3D" w:rsidRPr="00921AE1" w:rsidRDefault="00205D3D" w:rsidP="00921AE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sidRPr="004635BF">
        <w:rPr>
          <w:rFonts w:ascii="Arial" w:hAnsi="Arial" w:cs="Arial"/>
          <w:lang w:val="es-ES"/>
        </w:rPr>
        <w:t>Corte Interamericana de Derechos Humanos, Resolución de supervisión de cumplimiento de sentencia</w:t>
      </w:r>
      <w:r>
        <w:rPr>
          <w:rFonts w:ascii="Arial" w:hAnsi="Arial" w:cs="Arial"/>
          <w:lang w:val="es-ES"/>
        </w:rPr>
        <w:t xml:space="preserve">, </w:t>
      </w:r>
      <w:r w:rsidRPr="00921AE1">
        <w:rPr>
          <w:rFonts w:ascii="Arial" w:hAnsi="Arial" w:cs="Arial"/>
          <w:lang w:val="es-ES"/>
        </w:rPr>
        <w:t xml:space="preserve">7 de febrero de 2008, </w:t>
      </w:r>
      <w:r w:rsidRPr="004635BF">
        <w:rPr>
          <w:rFonts w:ascii="Arial" w:hAnsi="Arial" w:cs="Arial"/>
          <w:u w:val="single"/>
          <w:lang w:val="es-ES"/>
        </w:rPr>
        <w:t>Caso Acosta Calderón Vs. Ecuador</w:t>
      </w:r>
      <w:r>
        <w:rPr>
          <w:rFonts w:ascii="Arial" w:hAnsi="Arial" w:cs="Arial"/>
          <w:lang w:val="es-ES"/>
        </w:rPr>
        <w:t>, puntos resolutivos 1 y 2.</w:t>
      </w:r>
      <w:r w:rsidRPr="00921AE1">
        <w:rPr>
          <w:rFonts w:ascii="Arial" w:hAnsi="Arial" w:cs="Arial"/>
          <w:lang w:val="es-ES"/>
        </w:rPr>
        <w:t xml:space="preserve"> </w:t>
      </w:r>
    </w:p>
  </w:footnote>
  <w:footnote w:id="157">
    <w:p w:rsidR="00205D3D" w:rsidRPr="00906750" w:rsidRDefault="00205D3D" w:rsidP="00906750">
      <w:pPr>
        <w:pStyle w:val="Textonotapie"/>
        <w:jc w:val="both"/>
        <w:rPr>
          <w:rFonts w:ascii="Arial" w:hAnsi="Arial" w:cs="Arial"/>
          <w:lang w:val="es-ES"/>
        </w:rPr>
      </w:pPr>
      <w:r w:rsidRPr="00906750">
        <w:rPr>
          <w:rStyle w:val="Refdenotaalpie"/>
          <w:rFonts w:ascii="Arial" w:hAnsi="Arial" w:cs="Arial"/>
        </w:rPr>
        <w:footnoteRef/>
      </w:r>
      <w:r w:rsidRPr="00906750">
        <w:rPr>
          <w:rFonts w:ascii="Arial" w:hAnsi="Arial" w:cs="Arial"/>
          <w:lang w:val="es-ES"/>
        </w:rPr>
        <w:t xml:space="preserve"> Viviana </w:t>
      </w:r>
      <w:proofErr w:type="spellStart"/>
      <w:r w:rsidRPr="00906750">
        <w:rPr>
          <w:rFonts w:ascii="Arial" w:hAnsi="Arial" w:cs="Arial"/>
          <w:lang w:val="es-ES"/>
        </w:rPr>
        <w:t>Krsticevic</w:t>
      </w:r>
      <w:proofErr w:type="spellEnd"/>
      <w:r w:rsidRPr="00906750">
        <w:rPr>
          <w:rFonts w:ascii="Arial" w:hAnsi="Arial" w:cs="Arial"/>
          <w:lang w:val="es-ES"/>
        </w:rPr>
        <w:t xml:space="preserve">. “Reflexiones sobre la ejecución de las decisiones del Sistema Interamericano de Protección de DDHH”, en </w:t>
      </w:r>
      <w:r w:rsidRPr="00906750">
        <w:rPr>
          <w:rFonts w:ascii="Arial" w:hAnsi="Arial" w:cs="Arial"/>
          <w:u w:val="single"/>
          <w:lang w:val="es-ES"/>
        </w:rPr>
        <w:t>Implementación de las decisiones del Sistema Interamericano de Derechos Humanos</w:t>
      </w:r>
      <w:r w:rsidRPr="00906750">
        <w:rPr>
          <w:rFonts w:ascii="Arial" w:hAnsi="Arial" w:cs="Arial"/>
          <w:lang w:val="es-ES"/>
        </w:rPr>
        <w:t>. San José, Centro por la Justicia y el Derecho Internacional CEJIL, 2007. p</w:t>
      </w:r>
      <w:r>
        <w:rPr>
          <w:rFonts w:ascii="Arial" w:hAnsi="Arial" w:cs="Arial"/>
          <w:lang w:val="es-ES"/>
        </w:rPr>
        <w:t>p</w:t>
      </w:r>
      <w:r w:rsidRPr="00906750">
        <w:rPr>
          <w:rFonts w:ascii="Arial" w:hAnsi="Arial" w:cs="Arial"/>
          <w:lang w:val="es-ES"/>
        </w:rPr>
        <w:t>.</w:t>
      </w:r>
      <w:r>
        <w:rPr>
          <w:rFonts w:ascii="Arial" w:hAnsi="Arial" w:cs="Arial"/>
          <w:lang w:val="es-ES"/>
        </w:rPr>
        <w:t xml:space="preserve"> 43, 44.</w:t>
      </w:r>
    </w:p>
  </w:footnote>
  <w:footnote w:id="158">
    <w:p w:rsidR="00205D3D" w:rsidRPr="0001221E" w:rsidRDefault="00205D3D" w:rsidP="009B17EA">
      <w:pPr>
        <w:pStyle w:val="Textonotapie"/>
        <w:jc w:val="both"/>
        <w:rPr>
          <w:rFonts w:ascii="Arial" w:hAnsi="Arial" w:cs="Arial"/>
          <w:lang w:val="es-ES"/>
        </w:rPr>
      </w:pPr>
      <w:r w:rsidRPr="00906750">
        <w:rPr>
          <w:rStyle w:val="Refdenotaalpie"/>
          <w:rFonts w:ascii="Arial" w:hAnsi="Arial" w:cs="Arial"/>
        </w:rPr>
        <w:footnoteRef/>
      </w:r>
      <w:r w:rsidRPr="00906750">
        <w:rPr>
          <w:rFonts w:ascii="Arial" w:hAnsi="Arial" w:cs="Arial"/>
          <w:lang w:val="es-ES"/>
        </w:rPr>
        <w:t xml:space="preserve"> Gustavo</w:t>
      </w:r>
      <w:r>
        <w:rPr>
          <w:rFonts w:ascii="Arial" w:hAnsi="Arial" w:cs="Arial"/>
          <w:lang w:val="es-ES"/>
        </w:rPr>
        <w:t xml:space="preserve"> </w:t>
      </w:r>
      <w:proofErr w:type="spellStart"/>
      <w:r>
        <w:rPr>
          <w:rFonts w:ascii="Arial" w:hAnsi="Arial" w:cs="Arial"/>
          <w:lang w:val="es-ES"/>
        </w:rPr>
        <w:t>Zagrebelsky</w:t>
      </w:r>
      <w:proofErr w:type="spellEnd"/>
      <w:r>
        <w:rPr>
          <w:rFonts w:ascii="Arial" w:hAnsi="Arial" w:cs="Arial"/>
          <w:lang w:val="es-ES"/>
        </w:rPr>
        <w:t xml:space="preserve">, </w:t>
      </w:r>
      <w:r>
        <w:rPr>
          <w:rFonts w:ascii="Arial" w:hAnsi="Arial" w:cs="Arial"/>
          <w:u w:val="single"/>
          <w:lang w:val="es-ES"/>
        </w:rPr>
        <w:t>El Derecho Dúctil. Ley derechos, justicia</w:t>
      </w:r>
      <w:r>
        <w:rPr>
          <w:rFonts w:ascii="Arial" w:hAnsi="Arial" w:cs="Arial"/>
          <w:lang w:val="es-ES"/>
        </w:rPr>
        <w:t xml:space="preserve">, Madrid, </w:t>
      </w:r>
      <w:proofErr w:type="spellStart"/>
      <w:r>
        <w:rPr>
          <w:rFonts w:ascii="Arial" w:hAnsi="Arial" w:cs="Arial"/>
          <w:lang w:val="es-ES"/>
        </w:rPr>
        <w:t>Trotta</w:t>
      </w:r>
      <w:proofErr w:type="spellEnd"/>
      <w:r>
        <w:rPr>
          <w:rFonts w:ascii="Arial" w:hAnsi="Arial" w:cs="Arial"/>
          <w:lang w:val="es-ES"/>
        </w:rPr>
        <w:t>, 2003. p. 80.</w:t>
      </w:r>
    </w:p>
  </w:footnote>
  <w:footnote w:id="159">
    <w:p w:rsidR="00205D3D" w:rsidRPr="00A508F3" w:rsidRDefault="00205D3D" w:rsidP="00A508F3">
      <w:pPr>
        <w:pStyle w:val="Textonotapie"/>
        <w:jc w:val="both"/>
        <w:rPr>
          <w:rFonts w:ascii="Arial" w:hAnsi="Arial" w:cs="Arial"/>
          <w:lang w:val="es-ES"/>
        </w:rPr>
      </w:pPr>
      <w:r w:rsidRPr="00A508F3">
        <w:rPr>
          <w:rStyle w:val="Refdenotaalpie"/>
          <w:rFonts w:ascii="Arial" w:hAnsi="Arial" w:cs="Arial"/>
        </w:rPr>
        <w:footnoteRef/>
      </w:r>
      <w:r w:rsidRPr="00A508F3">
        <w:rPr>
          <w:rFonts w:ascii="Arial" w:hAnsi="Arial" w:cs="Arial"/>
          <w:lang w:val="es-ES"/>
        </w:rPr>
        <w:t xml:space="preserve"> </w:t>
      </w:r>
      <w:r w:rsidRPr="00AE0FB8">
        <w:rPr>
          <w:rFonts w:ascii="Arial" w:hAnsi="Arial" w:cs="Arial"/>
          <w:lang w:val="es-ES"/>
        </w:rPr>
        <w:t xml:space="preserve">Carlos Martin </w:t>
      </w:r>
      <w:proofErr w:type="spellStart"/>
      <w:r w:rsidRPr="00AE0FB8">
        <w:rPr>
          <w:rFonts w:ascii="Arial" w:hAnsi="Arial" w:cs="Arial"/>
          <w:lang w:val="es-ES"/>
        </w:rPr>
        <w:t>Beristain</w:t>
      </w:r>
      <w:proofErr w:type="spellEnd"/>
      <w:r>
        <w:rPr>
          <w:rFonts w:ascii="Arial" w:hAnsi="Arial" w:cs="Arial"/>
          <w:lang w:val="es-ES"/>
        </w:rPr>
        <w:t xml:space="preserve">, </w:t>
      </w:r>
      <w:r w:rsidRPr="00AE0FB8">
        <w:rPr>
          <w:rFonts w:ascii="Arial" w:hAnsi="Arial" w:cs="Arial"/>
          <w:u w:val="single"/>
          <w:lang w:val="es-ES"/>
        </w:rPr>
        <w:t xml:space="preserve"> Diálogos sobre la reparación</w:t>
      </w:r>
      <w:r w:rsidRPr="00AE0FB8">
        <w:rPr>
          <w:rFonts w:ascii="Arial" w:hAnsi="Arial" w:cs="Arial"/>
          <w:lang w:val="es-ES"/>
        </w:rPr>
        <w:t>, Qué reparar en los casos de violacio</w:t>
      </w:r>
      <w:r>
        <w:rPr>
          <w:rFonts w:ascii="Arial" w:hAnsi="Arial" w:cs="Arial"/>
          <w:lang w:val="es-ES"/>
        </w:rPr>
        <w:t>nes de derechos humanos, serie Justicia y Derechos H</w:t>
      </w:r>
      <w:r w:rsidRPr="00AE0FB8">
        <w:rPr>
          <w:rFonts w:ascii="Arial" w:hAnsi="Arial" w:cs="Arial"/>
          <w:lang w:val="es-ES"/>
        </w:rPr>
        <w:t xml:space="preserve">umanos, </w:t>
      </w:r>
      <w:proofErr w:type="spellStart"/>
      <w:r w:rsidRPr="00AE0FB8">
        <w:rPr>
          <w:rFonts w:ascii="Arial" w:hAnsi="Arial" w:cs="Arial"/>
          <w:lang w:val="es-ES"/>
        </w:rPr>
        <w:t>neoconstiticionalismo</w:t>
      </w:r>
      <w:proofErr w:type="spellEnd"/>
      <w:r w:rsidRPr="00AE0FB8">
        <w:rPr>
          <w:rFonts w:ascii="Arial" w:hAnsi="Arial" w:cs="Arial"/>
          <w:lang w:val="es-ES"/>
        </w:rPr>
        <w:t xml:space="preserve"> y sociedad, Ministerio de Justicia y D</w:t>
      </w:r>
      <w:r>
        <w:rPr>
          <w:rFonts w:ascii="Arial" w:hAnsi="Arial" w:cs="Arial"/>
          <w:lang w:val="es-ES"/>
        </w:rPr>
        <w:t>erechos Humanos, Quito, 2009. p. 52.</w:t>
      </w:r>
    </w:p>
  </w:footnote>
  <w:footnote w:id="160">
    <w:p w:rsidR="00205D3D" w:rsidRPr="00A508F3" w:rsidRDefault="00205D3D" w:rsidP="00A508F3">
      <w:pPr>
        <w:pStyle w:val="Textonotapie"/>
        <w:jc w:val="both"/>
        <w:rPr>
          <w:rFonts w:ascii="Arial" w:hAnsi="Arial" w:cs="Arial"/>
          <w:lang w:val="es-ES"/>
        </w:rPr>
      </w:pPr>
      <w:r w:rsidRPr="00A508F3">
        <w:rPr>
          <w:rStyle w:val="Refdenotaalpie"/>
          <w:rFonts w:ascii="Arial" w:hAnsi="Arial" w:cs="Arial"/>
        </w:rPr>
        <w:footnoteRef/>
      </w:r>
      <w:r w:rsidRPr="00A508F3">
        <w:rPr>
          <w:rFonts w:ascii="Arial" w:hAnsi="Arial" w:cs="Arial"/>
          <w:lang w:val="es-ES"/>
        </w:rPr>
        <w:t xml:space="preserve"> Ariel </w:t>
      </w:r>
      <w:proofErr w:type="spellStart"/>
      <w:r w:rsidRPr="00A508F3">
        <w:rPr>
          <w:rFonts w:ascii="Arial" w:hAnsi="Arial" w:cs="Arial"/>
          <w:lang w:val="es-ES"/>
        </w:rPr>
        <w:t>Dulitzky</w:t>
      </w:r>
      <w:proofErr w:type="spellEnd"/>
      <w:r w:rsidRPr="00A508F3">
        <w:rPr>
          <w:rFonts w:ascii="Arial" w:hAnsi="Arial" w:cs="Arial"/>
          <w:lang w:val="es-ES"/>
        </w:rPr>
        <w:t xml:space="preserve">, ex Secretario Adjunto de la CIDH, en Carlos Martín </w:t>
      </w:r>
      <w:proofErr w:type="spellStart"/>
      <w:r w:rsidRPr="00A508F3">
        <w:rPr>
          <w:rFonts w:ascii="Arial" w:hAnsi="Arial" w:cs="Arial"/>
          <w:lang w:val="es-ES"/>
        </w:rPr>
        <w:t>Beristain</w:t>
      </w:r>
      <w:proofErr w:type="spellEnd"/>
      <w:r w:rsidRPr="00A508F3">
        <w:rPr>
          <w:rFonts w:ascii="Arial" w:hAnsi="Arial" w:cs="Arial"/>
          <w:lang w:val="es-ES"/>
        </w:rPr>
        <w:t xml:space="preserve">. </w:t>
      </w:r>
      <w:r w:rsidRPr="00A508F3">
        <w:rPr>
          <w:rFonts w:ascii="Arial" w:hAnsi="Arial" w:cs="Arial"/>
          <w:u w:val="single"/>
          <w:lang w:val="es-ES"/>
        </w:rPr>
        <w:t>Diálogos sobre la reparación</w:t>
      </w:r>
      <w:r w:rsidRPr="00A508F3">
        <w:rPr>
          <w:rFonts w:ascii="Arial" w:hAnsi="Arial" w:cs="Arial"/>
          <w:lang w:val="es-ES"/>
        </w:rPr>
        <w:t xml:space="preserve">, Quito, 2009, p. 121.  </w:t>
      </w:r>
    </w:p>
  </w:footnote>
  <w:footnote w:id="161">
    <w:p w:rsidR="00205D3D" w:rsidRPr="00A508F3" w:rsidRDefault="00205D3D" w:rsidP="00A508F3">
      <w:pPr>
        <w:pStyle w:val="Textonotapie"/>
        <w:jc w:val="both"/>
        <w:rPr>
          <w:rFonts w:ascii="Arial" w:hAnsi="Arial" w:cs="Arial"/>
          <w:lang w:val="es-ES"/>
        </w:rPr>
      </w:pPr>
      <w:r w:rsidRPr="00610343">
        <w:rPr>
          <w:rStyle w:val="Refdenotaalpie"/>
          <w:rFonts w:ascii="Arial" w:hAnsi="Arial" w:cs="Arial"/>
        </w:rPr>
        <w:footnoteRef/>
      </w:r>
      <w:r w:rsidRPr="00610343">
        <w:rPr>
          <w:rFonts w:ascii="Arial" w:hAnsi="Arial" w:cs="Arial"/>
          <w:lang w:val="es-ES"/>
        </w:rPr>
        <w:t xml:space="preserve"> Viviana </w:t>
      </w:r>
      <w:proofErr w:type="spellStart"/>
      <w:r w:rsidRPr="00610343">
        <w:rPr>
          <w:rFonts w:ascii="Arial" w:hAnsi="Arial" w:cs="Arial"/>
          <w:lang w:val="es-ES"/>
        </w:rPr>
        <w:t>Krsticevic</w:t>
      </w:r>
      <w:proofErr w:type="spellEnd"/>
      <w:r w:rsidRPr="00610343">
        <w:rPr>
          <w:rFonts w:ascii="Arial" w:hAnsi="Arial" w:cs="Arial"/>
          <w:lang w:val="es-ES"/>
        </w:rPr>
        <w:t xml:space="preserve">. “Reflexiones sobre la ejecución de las decisiones del Sistema Interamericano de Protección de DDHH”, en </w:t>
      </w:r>
      <w:r w:rsidRPr="00FF0424">
        <w:rPr>
          <w:rFonts w:ascii="Arial" w:hAnsi="Arial" w:cs="Arial"/>
          <w:u w:val="single"/>
          <w:lang w:val="es-ES"/>
        </w:rPr>
        <w:t>Implementación de las decisiones del Sistema Interamericano de Derechos Humanos</w:t>
      </w:r>
      <w:r w:rsidRPr="00610343">
        <w:rPr>
          <w:rFonts w:ascii="Arial" w:hAnsi="Arial" w:cs="Arial"/>
          <w:lang w:val="es-ES"/>
        </w:rPr>
        <w:t>. San José, Centro por la Justicia y el Dere</w:t>
      </w:r>
      <w:r>
        <w:rPr>
          <w:rFonts w:ascii="Arial" w:hAnsi="Arial" w:cs="Arial"/>
          <w:lang w:val="es-ES"/>
        </w:rPr>
        <w:t>cho Internacional CEJIL, 2007. pp. 51, 52.</w:t>
      </w:r>
    </w:p>
  </w:footnote>
  <w:footnote w:id="162">
    <w:p w:rsidR="00205D3D" w:rsidRPr="00921AE1" w:rsidRDefault="00205D3D" w:rsidP="0044184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Pr>
          <w:rFonts w:ascii="Arial" w:hAnsi="Arial" w:cs="Arial"/>
          <w:lang w:val="es-ES"/>
        </w:rPr>
        <w:t xml:space="preserve">Corte Interamericana de Derechos Humanos, </w:t>
      </w:r>
      <w:r w:rsidRPr="00ED013B">
        <w:rPr>
          <w:rFonts w:ascii="Arial" w:hAnsi="Arial" w:cs="Arial"/>
          <w:u w:val="single"/>
          <w:lang w:val="es-ES"/>
        </w:rPr>
        <w:t>Caso Heliodoro Portugal vs. Panamá</w:t>
      </w:r>
      <w:r w:rsidRPr="00921AE1">
        <w:rPr>
          <w:rFonts w:ascii="Arial" w:hAnsi="Arial" w:cs="Arial"/>
          <w:lang w:val="es-ES"/>
        </w:rPr>
        <w:t xml:space="preserve">, Sentencia de 12 de Agosto de 2008, </w:t>
      </w:r>
      <w:r>
        <w:rPr>
          <w:rFonts w:ascii="Arial" w:hAnsi="Arial" w:cs="Arial"/>
          <w:lang w:val="es-ES"/>
        </w:rPr>
        <w:t>(</w:t>
      </w:r>
      <w:r w:rsidRPr="00921AE1">
        <w:rPr>
          <w:rFonts w:ascii="Arial" w:hAnsi="Arial" w:cs="Arial"/>
          <w:lang w:val="es-ES"/>
        </w:rPr>
        <w:t>Excepciones Preliminares, Fondo, Reparaciones y Costas</w:t>
      </w:r>
      <w:r>
        <w:rPr>
          <w:rFonts w:ascii="Arial" w:hAnsi="Arial" w:cs="Arial"/>
          <w:lang w:val="es-ES"/>
        </w:rPr>
        <w:t>) párr. 244</w:t>
      </w:r>
      <w:r w:rsidRPr="00921AE1">
        <w:rPr>
          <w:rFonts w:ascii="Arial" w:hAnsi="Arial" w:cs="Arial"/>
          <w:lang w:val="es-ES"/>
        </w:rPr>
        <w:t>.</w:t>
      </w:r>
    </w:p>
  </w:footnote>
  <w:footnote w:id="163">
    <w:p w:rsidR="00205D3D" w:rsidRPr="00921AE1" w:rsidRDefault="00205D3D" w:rsidP="00441841">
      <w:pPr>
        <w:pStyle w:val="Textonotapie"/>
        <w:jc w:val="both"/>
        <w:rPr>
          <w:rFonts w:ascii="Arial" w:hAnsi="Arial" w:cs="Arial"/>
          <w:lang w:val="es-ES"/>
        </w:rPr>
      </w:pPr>
      <w:r w:rsidRPr="00921AE1">
        <w:rPr>
          <w:rStyle w:val="Refdenotaalpie"/>
          <w:rFonts w:ascii="Arial" w:hAnsi="Arial" w:cs="Arial"/>
        </w:rPr>
        <w:footnoteRef/>
      </w:r>
      <w:r>
        <w:rPr>
          <w:rFonts w:ascii="Arial" w:hAnsi="Arial" w:cs="Arial"/>
          <w:lang w:val="es-ES"/>
        </w:rPr>
        <w:t xml:space="preserve"> </w:t>
      </w:r>
      <w:proofErr w:type="spellStart"/>
      <w:r>
        <w:rPr>
          <w:rFonts w:ascii="Arial" w:hAnsi="Arial" w:cs="Arial"/>
          <w:lang w:val="es-ES"/>
        </w:rPr>
        <w:t>Ibid</w:t>
      </w:r>
      <w:proofErr w:type="spellEnd"/>
      <w:r>
        <w:rPr>
          <w:rFonts w:ascii="Arial" w:hAnsi="Arial" w:cs="Arial"/>
          <w:lang w:val="es-ES"/>
        </w:rPr>
        <w:t xml:space="preserve">., </w:t>
      </w:r>
      <w:proofErr w:type="spellStart"/>
      <w:r>
        <w:rPr>
          <w:rFonts w:ascii="Arial" w:hAnsi="Arial" w:cs="Arial"/>
          <w:lang w:val="es-ES"/>
        </w:rPr>
        <w:t>párrs</w:t>
      </w:r>
      <w:proofErr w:type="spellEnd"/>
      <w:r>
        <w:rPr>
          <w:rFonts w:ascii="Arial" w:hAnsi="Arial" w:cs="Arial"/>
          <w:lang w:val="es-ES"/>
        </w:rPr>
        <w:t>. 245, 246.</w:t>
      </w:r>
    </w:p>
  </w:footnote>
  <w:footnote w:id="164">
    <w:p w:rsidR="00205D3D" w:rsidRPr="008F2951" w:rsidRDefault="00205D3D" w:rsidP="003A3C1C">
      <w:pPr>
        <w:pStyle w:val="Textonotapie"/>
        <w:jc w:val="both"/>
        <w:rPr>
          <w:sz w:val="18"/>
          <w:szCs w:val="18"/>
          <w:lang w:val="es-ES"/>
        </w:rPr>
      </w:pPr>
      <w:r w:rsidRPr="00921AE1">
        <w:rPr>
          <w:rStyle w:val="Refdenotaalpie"/>
          <w:rFonts w:ascii="Arial" w:hAnsi="Arial" w:cs="Arial"/>
        </w:rPr>
        <w:footnoteRef/>
      </w:r>
      <w:r w:rsidRPr="00921AE1">
        <w:rPr>
          <w:rFonts w:ascii="Arial" w:hAnsi="Arial" w:cs="Arial"/>
          <w:lang w:val="es-ES"/>
        </w:rPr>
        <w:t xml:space="preserve"> </w:t>
      </w:r>
      <w:r w:rsidRPr="00441841">
        <w:rPr>
          <w:rFonts w:ascii="Arial" w:hAnsi="Arial" w:cs="Arial"/>
          <w:lang w:val="es-ES"/>
        </w:rPr>
        <w:t>Corte Interamericana de Derechos Humanos, Resolución de supervisión de cumplimiento de sentencia</w:t>
      </w:r>
      <w:r>
        <w:rPr>
          <w:rFonts w:ascii="Arial" w:hAnsi="Arial" w:cs="Arial"/>
          <w:lang w:val="es-ES"/>
        </w:rPr>
        <w:t>,</w:t>
      </w:r>
      <w:r w:rsidRPr="00441841">
        <w:rPr>
          <w:rFonts w:ascii="Arial" w:hAnsi="Arial" w:cs="Arial"/>
          <w:lang w:val="es-ES"/>
        </w:rPr>
        <w:t xml:space="preserve"> </w:t>
      </w:r>
      <w:r w:rsidRPr="00921AE1">
        <w:rPr>
          <w:rFonts w:ascii="Arial" w:hAnsi="Arial" w:cs="Arial"/>
          <w:lang w:val="es-ES"/>
        </w:rPr>
        <w:t xml:space="preserve">19 de Junio de 2012, </w:t>
      </w:r>
      <w:r w:rsidRPr="00441841">
        <w:rPr>
          <w:rFonts w:ascii="Arial" w:hAnsi="Arial" w:cs="Arial"/>
          <w:u w:val="single"/>
          <w:lang w:val="es-ES"/>
        </w:rPr>
        <w:t>Caso Heliodoro Portugal Vs. Panamá</w:t>
      </w:r>
      <w:r>
        <w:rPr>
          <w:rFonts w:ascii="Arial" w:hAnsi="Arial" w:cs="Arial"/>
          <w:lang w:val="es-ES"/>
        </w:rPr>
        <w:t xml:space="preserve">, </w:t>
      </w:r>
      <w:proofErr w:type="spellStart"/>
      <w:r>
        <w:rPr>
          <w:rFonts w:ascii="Arial" w:hAnsi="Arial" w:cs="Arial"/>
          <w:lang w:val="es-ES"/>
        </w:rPr>
        <w:t>párrs</w:t>
      </w:r>
      <w:proofErr w:type="spellEnd"/>
      <w:r>
        <w:rPr>
          <w:rFonts w:ascii="Arial" w:hAnsi="Arial" w:cs="Arial"/>
          <w:lang w:val="es-ES"/>
        </w:rPr>
        <w:t>. 7, 9.</w:t>
      </w:r>
      <w:r w:rsidRPr="008F2951">
        <w:rPr>
          <w:sz w:val="18"/>
          <w:szCs w:val="18"/>
          <w:lang w:val="es-ES"/>
        </w:rPr>
        <w:t xml:space="preserve"> </w:t>
      </w:r>
    </w:p>
  </w:footnote>
  <w:footnote w:id="165">
    <w:p w:rsidR="00205D3D" w:rsidRPr="006E0A5B" w:rsidRDefault="00205D3D" w:rsidP="00921AE1">
      <w:pPr>
        <w:pStyle w:val="Body1"/>
        <w:jc w:val="both"/>
        <w:rPr>
          <w:rFonts w:ascii="Arial" w:hAnsi="Arial" w:cs="Arial"/>
          <w:sz w:val="20"/>
        </w:rPr>
      </w:pPr>
      <w:r w:rsidRPr="006E0A5B">
        <w:rPr>
          <w:rFonts w:ascii="Arial" w:hAnsi="Arial" w:cs="Arial"/>
          <w:sz w:val="20"/>
          <w:vertAlign w:val="superscript"/>
        </w:rPr>
        <w:footnoteRef/>
      </w:r>
      <w:r w:rsidRPr="006E0A5B">
        <w:rPr>
          <w:rFonts w:ascii="Arial" w:hAnsi="Arial" w:cs="Arial"/>
          <w:sz w:val="20"/>
        </w:rPr>
        <w:t xml:space="preserve"> Para ampliar sobre casos de la Corte Interamericana de Derechos Humanos que incluyan normativa referente a extradición, </w:t>
      </w:r>
      <w:r w:rsidRPr="006E0A5B">
        <w:rPr>
          <w:rFonts w:ascii="Arial" w:hAnsi="Arial" w:cs="Arial"/>
          <w:sz w:val="20"/>
          <w:u w:val="single"/>
        </w:rPr>
        <w:t>La Cantuta Vs. Perú</w:t>
      </w:r>
      <w:r w:rsidRPr="006E0A5B">
        <w:rPr>
          <w:rFonts w:ascii="Arial" w:hAnsi="Arial" w:cs="Arial"/>
          <w:sz w:val="20"/>
        </w:rPr>
        <w:t xml:space="preserve">, Sentencia de 29 de noviembre de 2006, (Fondo, Reparaciones y Costas) </w:t>
      </w:r>
      <w:proofErr w:type="spellStart"/>
      <w:r w:rsidRPr="006E0A5B">
        <w:rPr>
          <w:rFonts w:ascii="Arial" w:hAnsi="Arial" w:cs="Arial"/>
          <w:sz w:val="20"/>
        </w:rPr>
        <w:t>párrs</w:t>
      </w:r>
      <w:proofErr w:type="spellEnd"/>
      <w:r w:rsidRPr="006E0A5B">
        <w:rPr>
          <w:rFonts w:ascii="Arial" w:hAnsi="Arial" w:cs="Arial"/>
          <w:sz w:val="20"/>
        </w:rPr>
        <w:t xml:space="preserve">. 158, 159, 160; caso </w:t>
      </w:r>
      <w:proofErr w:type="spellStart"/>
      <w:r w:rsidRPr="006E0A5B">
        <w:rPr>
          <w:rFonts w:ascii="Arial" w:hAnsi="Arial" w:cs="Arial"/>
          <w:sz w:val="20"/>
          <w:u w:val="single"/>
        </w:rPr>
        <w:t>Goiburú</w:t>
      </w:r>
      <w:proofErr w:type="spellEnd"/>
      <w:r w:rsidRPr="006E0A5B">
        <w:rPr>
          <w:rFonts w:ascii="Arial" w:hAnsi="Arial" w:cs="Arial"/>
          <w:sz w:val="20"/>
          <w:u w:val="single"/>
        </w:rPr>
        <w:t xml:space="preserve"> y otros Vs. Paraguay</w:t>
      </w:r>
      <w:r w:rsidRPr="006E0A5B">
        <w:rPr>
          <w:rFonts w:ascii="Arial" w:hAnsi="Arial" w:cs="Arial"/>
          <w:sz w:val="20"/>
        </w:rPr>
        <w:t>, Sentencia de 22 de septiembre de 2006, (Fondo, Reparaciones y Costas).</w:t>
      </w:r>
    </w:p>
  </w:footnote>
  <w:footnote w:id="166">
    <w:p w:rsidR="00205D3D" w:rsidRPr="006E0A5B" w:rsidRDefault="00205D3D" w:rsidP="006E0A5B">
      <w:pPr>
        <w:pStyle w:val="Textonotapie"/>
        <w:jc w:val="both"/>
        <w:rPr>
          <w:rFonts w:ascii="Arial" w:hAnsi="Arial" w:cs="Arial"/>
          <w:lang w:val="es-ES"/>
        </w:rPr>
      </w:pPr>
      <w:r w:rsidRPr="006E0A5B">
        <w:rPr>
          <w:rStyle w:val="Refdenotaalpie"/>
          <w:rFonts w:ascii="Arial" w:hAnsi="Arial" w:cs="Arial"/>
        </w:rPr>
        <w:footnoteRef/>
      </w:r>
      <w:r w:rsidRPr="006E0A5B">
        <w:rPr>
          <w:rFonts w:ascii="Arial" w:hAnsi="Arial" w:cs="Arial"/>
          <w:lang w:val="es-ES"/>
        </w:rPr>
        <w:t xml:space="preserve"> Corte Interamericana de Derechos Humanos, Resolución de supervisión </w:t>
      </w:r>
      <w:r>
        <w:rPr>
          <w:rFonts w:ascii="Arial" w:hAnsi="Arial" w:cs="Arial"/>
          <w:lang w:val="es-ES"/>
        </w:rPr>
        <w:t>de cumplimiento de sentencia, 27 de noviembre</w:t>
      </w:r>
      <w:r w:rsidRPr="006E0A5B">
        <w:rPr>
          <w:rFonts w:ascii="Arial" w:hAnsi="Arial" w:cs="Arial"/>
          <w:lang w:val="es-ES"/>
        </w:rPr>
        <w:t xml:space="preserve"> </w:t>
      </w:r>
      <w:r>
        <w:rPr>
          <w:rFonts w:ascii="Arial" w:hAnsi="Arial" w:cs="Arial"/>
          <w:lang w:val="es-ES"/>
        </w:rPr>
        <w:t xml:space="preserve">de 2003, </w:t>
      </w:r>
      <w:r w:rsidRPr="006E0A5B">
        <w:rPr>
          <w:rFonts w:ascii="Arial" w:hAnsi="Arial" w:cs="Arial"/>
          <w:u w:val="single"/>
          <w:lang w:val="es-ES"/>
        </w:rPr>
        <w:t>Caso Benavides Cevallos Vs. Ecuador</w:t>
      </w:r>
      <w:r>
        <w:rPr>
          <w:rFonts w:ascii="Arial" w:hAnsi="Arial" w:cs="Arial"/>
          <w:lang w:val="es-ES"/>
        </w:rPr>
        <w:t>, párr. 18</w:t>
      </w:r>
      <w:r w:rsidRPr="006E0A5B">
        <w:rPr>
          <w:rFonts w:ascii="Arial" w:hAnsi="Arial" w:cs="Arial"/>
          <w:lang w:val="es-ES"/>
        </w:rPr>
        <w:t>.</w:t>
      </w:r>
    </w:p>
  </w:footnote>
  <w:footnote w:id="167">
    <w:p w:rsidR="00205D3D" w:rsidRPr="00921AE1" w:rsidRDefault="00205D3D" w:rsidP="0074443F">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Pr>
          <w:rFonts w:ascii="Arial" w:hAnsi="Arial" w:cs="Arial"/>
          <w:lang w:val="es-ES"/>
        </w:rPr>
        <w:t xml:space="preserve">Corte Interamericana de Derechos Humanos, </w:t>
      </w:r>
      <w:r w:rsidRPr="0074443F">
        <w:rPr>
          <w:rFonts w:ascii="Arial" w:hAnsi="Arial" w:cs="Arial"/>
          <w:u w:val="single"/>
          <w:lang w:val="es-ES"/>
        </w:rPr>
        <w:t>Ca</w:t>
      </w:r>
      <w:r>
        <w:rPr>
          <w:rFonts w:ascii="Arial" w:hAnsi="Arial" w:cs="Arial"/>
          <w:u w:val="single"/>
          <w:lang w:val="es-ES"/>
        </w:rPr>
        <w:t>so de la Masacre de la Rochela V</w:t>
      </w:r>
      <w:r w:rsidRPr="0074443F">
        <w:rPr>
          <w:rFonts w:ascii="Arial" w:hAnsi="Arial" w:cs="Arial"/>
          <w:u w:val="single"/>
          <w:lang w:val="es-ES"/>
        </w:rPr>
        <w:t>s</w:t>
      </w:r>
      <w:r>
        <w:rPr>
          <w:rFonts w:ascii="Arial" w:hAnsi="Arial" w:cs="Arial"/>
          <w:u w:val="single"/>
          <w:lang w:val="es-ES"/>
        </w:rPr>
        <w:t>.</w:t>
      </w:r>
      <w:r w:rsidRPr="0074443F">
        <w:rPr>
          <w:rFonts w:ascii="Arial" w:hAnsi="Arial" w:cs="Arial"/>
          <w:u w:val="single"/>
          <w:lang w:val="es-ES"/>
        </w:rPr>
        <w:t xml:space="preserve"> Colombia</w:t>
      </w:r>
      <w:r w:rsidRPr="00921AE1">
        <w:rPr>
          <w:rFonts w:ascii="Arial" w:hAnsi="Arial" w:cs="Arial"/>
          <w:lang w:val="es-ES"/>
        </w:rPr>
        <w:t>, Sentenc</w:t>
      </w:r>
      <w:r>
        <w:rPr>
          <w:rFonts w:ascii="Arial" w:hAnsi="Arial" w:cs="Arial"/>
          <w:lang w:val="es-ES"/>
        </w:rPr>
        <w:t>ia de 11 de mayo de 2007.</w:t>
      </w:r>
      <w:r w:rsidRPr="00921AE1">
        <w:rPr>
          <w:rFonts w:ascii="Arial" w:hAnsi="Arial" w:cs="Arial"/>
          <w:lang w:val="es-ES"/>
        </w:rPr>
        <w:t xml:space="preserve"> </w:t>
      </w:r>
      <w:r>
        <w:rPr>
          <w:rFonts w:ascii="Arial" w:hAnsi="Arial" w:cs="Arial"/>
          <w:lang w:val="es-ES"/>
        </w:rPr>
        <w:t>(Fondo, Reparaciones y C</w:t>
      </w:r>
      <w:r w:rsidRPr="00921AE1">
        <w:rPr>
          <w:rFonts w:ascii="Arial" w:hAnsi="Arial" w:cs="Arial"/>
          <w:lang w:val="es-ES"/>
        </w:rPr>
        <w:t>ostas</w:t>
      </w:r>
      <w:r>
        <w:rPr>
          <w:rFonts w:ascii="Arial" w:hAnsi="Arial" w:cs="Arial"/>
          <w:lang w:val="es-ES"/>
        </w:rPr>
        <w:t>)</w:t>
      </w:r>
      <w:r w:rsidRPr="00921AE1">
        <w:rPr>
          <w:rFonts w:ascii="Arial" w:hAnsi="Arial" w:cs="Arial"/>
          <w:lang w:val="es-ES"/>
        </w:rPr>
        <w:t>, párr. 303.</w:t>
      </w:r>
    </w:p>
  </w:footnote>
  <w:footnote w:id="168">
    <w:p w:rsidR="00205D3D" w:rsidRPr="00921AE1" w:rsidRDefault="00205D3D" w:rsidP="002F125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sidRPr="0074443F">
        <w:rPr>
          <w:rFonts w:ascii="Arial" w:hAnsi="Arial" w:cs="Arial"/>
          <w:lang w:val="es-ES"/>
        </w:rPr>
        <w:t>Corte Interamericana de Derechos Humanos, Resolución de supervisión de cumplimiento de sentencia</w:t>
      </w:r>
      <w:r>
        <w:rPr>
          <w:rFonts w:ascii="Arial" w:hAnsi="Arial" w:cs="Arial"/>
          <w:lang w:val="es-ES"/>
        </w:rPr>
        <w:t>,</w:t>
      </w:r>
      <w:r w:rsidRPr="0074443F">
        <w:rPr>
          <w:rFonts w:ascii="Arial" w:hAnsi="Arial" w:cs="Arial"/>
          <w:lang w:val="es-ES"/>
        </w:rPr>
        <w:t xml:space="preserve"> </w:t>
      </w:r>
      <w:r w:rsidRPr="00921AE1">
        <w:rPr>
          <w:rFonts w:ascii="Arial" w:hAnsi="Arial" w:cs="Arial"/>
          <w:lang w:val="es-ES"/>
        </w:rPr>
        <w:t xml:space="preserve">26 de Agosto de 2010, </w:t>
      </w:r>
      <w:r w:rsidRPr="0074443F">
        <w:rPr>
          <w:rFonts w:ascii="Arial" w:hAnsi="Arial" w:cs="Arial"/>
          <w:u w:val="single"/>
          <w:lang w:val="es-ES"/>
        </w:rPr>
        <w:t>Caso de la Masacre de la Rochela Vs. Colombia</w:t>
      </w:r>
      <w:r>
        <w:rPr>
          <w:rFonts w:ascii="Arial" w:hAnsi="Arial" w:cs="Arial"/>
          <w:lang w:val="es-ES"/>
        </w:rPr>
        <w:t xml:space="preserve">, </w:t>
      </w:r>
      <w:proofErr w:type="spellStart"/>
      <w:r>
        <w:rPr>
          <w:rFonts w:ascii="Arial" w:hAnsi="Arial" w:cs="Arial"/>
          <w:lang w:val="es-ES"/>
        </w:rPr>
        <w:t>párrs</w:t>
      </w:r>
      <w:proofErr w:type="spellEnd"/>
      <w:r>
        <w:rPr>
          <w:rFonts w:ascii="Arial" w:hAnsi="Arial" w:cs="Arial"/>
          <w:lang w:val="es-ES"/>
        </w:rPr>
        <w:t>. de 73 a 80.</w:t>
      </w:r>
      <w:r w:rsidRPr="00921AE1">
        <w:rPr>
          <w:rFonts w:ascii="Arial" w:hAnsi="Arial" w:cs="Arial"/>
          <w:lang w:val="es-ES"/>
        </w:rPr>
        <w:t xml:space="preserve"> </w:t>
      </w:r>
    </w:p>
  </w:footnote>
  <w:footnote w:id="169">
    <w:p w:rsidR="00205D3D" w:rsidRPr="00921AE1" w:rsidRDefault="00205D3D" w:rsidP="00F859E2">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Pr>
          <w:rFonts w:ascii="Arial" w:hAnsi="Arial" w:cs="Arial"/>
          <w:lang w:val="es-ES"/>
        </w:rPr>
        <w:t xml:space="preserve">Corte Interamericana de Derechos Humanos, </w:t>
      </w:r>
      <w:r w:rsidRPr="00F859E2">
        <w:rPr>
          <w:rFonts w:ascii="Arial" w:hAnsi="Arial" w:cs="Arial"/>
          <w:u w:val="single"/>
          <w:lang w:val="es-ES"/>
        </w:rPr>
        <w:t xml:space="preserve">Caso Torres </w:t>
      </w:r>
      <w:proofErr w:type="spellStart"/>
      <w:r w:rsidRPr="00F859E2">
        <w:rPr>
          <w:rFonts w:ascii="Arial" w:hAnsi="Arial" w:cs="Arial"/>
          <w:u w:val="single"/>
          <w:lang w:val="es-ES"/>
        </w:rPr>
        <w:t>Millacura</w:t>
      </w:r>
      <w:proofErr w:type="spellEnd"/>
      <w:r w:rsidRPr="00F859E2">
        <w:rPr>
          <w:rFonts w:ascii="Arial" w:hAnsi="Arial" w:cs="Arial"/>
          <w:u w:val="single"/>
          <w:lang w:val="es-ES"/>
        </w:rPr>
        <w:t xml:space="preserve"> vs. Argentina</w:t>
      </w:r>
      <w:r>
        <w:rPr>
          <w:rFonts w:ascii="Arial" w:hAnsi="Arial" w:cs="Arial"/>
          <w:lang w:val="es-ES"/>
        </w:rPr>
        <w:t>, S</w:t>
      </w:r>
      <w:r w:rsidRPr="00921AE1">
        <w:rPr>
          <w:rFonts w:ascii="Arial" w:hAnsi="Arial" w:cs="Arial"/>
          <w:lang w:val="es-ES"/>
        </w:rPr>
        <w:t>e</w:t>
      </w:r>
      <w:r>
        <w:rPr>
          <w:rFonts w:ascii="Arial" w:hAnsi="Arial" w:cs="Arial"/>
          <w:lang w:val="es-ES"/>
        </w:rPr>
        <w:t>ntencia de 26 de agosto de 2011.</w:t>
      </w:r>
      <w:r w:rsidRPr="00921AE1">
        <w:rPr>
          <w:rFonts w:ascii="Arial" w:hAnsi="Arial" w:cs="Arial"/>
          <w:lang w:val="es-ES"/>
        </w:rPr>
        <w:t xml:space="preserve"> </w:t>
      </w:r>
      <w:r>
        <w:rPr>
          <w:rFonts w:ascii="Arial" w:hAnsi="Arial" w:cs="Arial"/>
          <w:lang w:val="es-ES"/>
        </w:rPr>
        <w:t>(Fondo, Reparaciones y C</w:t>
      </w:r>
      <w:r w:rsidRPr="00921AE1">
        <w:rPr>
          <w:rFonts w:ascii="Arial" w:hAnsi="Arial" w:cs="Arial"/>
          <w:lang w:val="es-ES"/>
        </w:rPr>
        <w:t>ostas</w:t>
      </w:r>
      <w:r>
        <w:rPr>
          <w:rFonts w:ascii="Arial" w:hAnsi="Arial" w:cs="Arial"/>
          <w:lang w:val="es-ES"/>
        </w:rPr>
        <w:t>),</w:t>
      </w:r>
      <w:r w:rsidRPr="00921AE1">
        <w:rPr>
          <w:rFonts w:ascii="Arial" w:hAnsi="Arial" w:cs="Arial"/>
          <w:lang w:val="es-ES"/>
        </w:rPr>
        <w:t xml:space="preserve"> </w:t>
      </w:r>
      <w:r>
        <w:rPr>
          <w:rFonts w:ascii="Arial" w:hAnsi="Arial" w:cs="Arial"/>
          <w:lang w:val="es-ES"/>
        </w:rPr>
        <w:t>párr. 173.</w:t>
      </w:r>
    </w:p>
  </w:footnote>
  <w:footnote w:id="170">
    <w:p w:rsidR="00205D3D" w:rsidRPr="008243F4" w:rsidRDefault="00205D3D" w:rsidP="004F20AA">
      <w:pPr>
        <w:pStyle w:val="Textonotapie"/>
        <w:jc w:val="both"/>
        <w:rPr>
          <w:rFonts w:ascii="Arial" w:hAnsi="Arial" w:cs="Arial"/>
          <w:lang w:val="es-ES"/>
        </w:rPr>
      </w:pPr>
      <w:r w:rsidRPr="008243F4">
        <w:rPr>
          <w:rStyle w:val="Refdenotaalpie"/>
          <w:rFonts w:ascii="Arial" w:hAnsi="Arial" w:cs="Arial"/>
        </w:rPr>
        <w:footnoteRef/>
      </w:r>
      <w:r w:rsidRPr="008243F4">
        <w:rPr>
          <w:rFonts w:ascii="Arial" w:hAnsi="Arial" w:cs="Arial"/>
          <w:lang w:val="es-ES"/>
        </w:rPr>
        <w:t xml:space="preserve"> Convención Americana sobre Derechos Humanos, San José, Costa Rica  7 al 22 de noviembre de 1969, articulo 2.</w:t>
      </w:r>
    </w:p>
  </w:footnote>
  <w:footnote w:id="171">
    <w:p w:rsidR="00205D3D" w:rsidRPr="008222C8" w:rsidRDefault="00205D3D" w:rsidP="008222C8">
      <w:pPr>
        <w:pStyle w:val="Textonotapie"/>
        <w:jc w:val="both"/>
        <w:rPr>
          <w:rFonts w:ascii="Arial" w:hAnsi="Arial" w:cs="Arial"/>
          <w:lang w:val="es-ES"/>
        </w:rPr>
      </w:pPr>
      <w:r w:rsidRPr="008243F4">
        <w:rPr>
          <w:rStyle w:val="Refdenotaalpie"/>
          <w:rFonts w:ascii="Arial" w:hAnsi="Arial" w:cs="Arial"/>
        </w:rPr>
        <w:footnoteRef/>
      </w:r>
      <w:r w:rsidRPr="008222C8">
        <w:rPr>
          <w:rFonts w:ascii="Arial" w:hAnsi="Arial" w:cs="Arial"/>
          <w:lang w:val="es-ES"/>
        </w:rPr>
        <w:t xml:space="preserve"> Carlos Ayala, citado por </w:t>
      </w:r>
      <w:r>
        <w:rPr>
          <w:rFonts w:ascii="Arial" w:hAnsi="Arial" w:cs="Arial"/>
          <w:lang w:val="es-ES"/>
        </w:rPr>
        <w:t xml:space="preserve">Carlos </w:t>
      </w:r>
      <w:proofErr w:type="spellStart"/>
      <w:r>
        <w:rPr>
          <w:rFonts w:ascii="Arial" w:hAnsi="Arial" w:cs="Arial"/>
          <w:lang w:val="es-ES"/>
        </w:rPr>
        <w:t>Matín</w:t>
      </w:r>
      <w:proofErr w:type="spellEnd"/>
      <w:r>
        <w:rPr>
          <w:rFonts w:ascii="Arial" w:hAnsi="Arial" w:cs="Arial"/>
          <w:lang w:val="es-ES"/>
        </w:rPr>
        <w:t xml:space="preserve"> </w:t>
      </w:r>
      <w:proofErr w:type="spellStart"/>
      <w:r w:rsidRPr="008222C8">
        <w:rPr>
          <w:rFonts w:ascii="Arial" w:hAnsi="Arial" w:cs="Arial"/>
          <w:lang w:val="es-ES"/>
        </w:rPr>
        <w:t>Beristain</w:t>
      </w:r>
      <w:proofErr w:type="spellEnd"/>
      <w:r w:rsidRPr="008222C8">
        <w:rPr>
          <w:rFonts w:ascii="Arial" w:hAnsi="Arial" w:cs="Arial"/>
          <w:lang w:val="es-ES"/>
        </w:rPr>
        <w:t xml:space="preserve">, </w:t>
      </w:r>
      <w:r>
        <w:rPr>
          <w:rFonts w:ascii="Arial" w:hAnsi="Arial" w:cs="Arial"/>
          <w:u w:val="single"/>
          <w:lang w:val="es-ES"/>
        </w:rPr>
        <w:t>Diálogos sobre la reparación</w:t>
      </w:r>
      <w:r>
        <w:rPr>
          <w:rFonts w:ascii="Arial" w:hAnsi="Arial" w:cs="Arial"/>
          <w:lang w:val="es-ES"/>
        </w:rPr>
        <w:t xml:space="preserve">, </w:t>
      </w:r>
      <w:proofErr w:type="spellStart"/>
      <w:r>
        <w:rPr>
          <w:rFonts w:ascii="Arial" w:hAnsi="Arial" w:cs="Arial"/>
          <w:lang w:val="es-ES"/>
        </w:rPr>
        <w:t>op</w:t>
      </w:r>
      <w:proofErr w:type="spellEnd"/>
      <w:r>
        <w:rPr>
          <w:rFonts w:ascii="Arial" w:hAnsi="Arial" w:cs="Arial"/>
          <w:lang w:val="es-ES"/>
        </w:rPr>
        <w:t xml:space="preserve">, </w:t>
      </w:r>
      <w:proofErr w:type="spellStart"/>
      <w:r>
        <w:rPr>
          <w:rFonts w:ascii="Arial" w:hAnsi="Arial" w:cs="Arial"/>
          <w:lang w:val="es-ES"/>
        </w:rPr>
        <w:t>cit</w:t>
      </w:r>
      <w:proofErr w:type="spellEnd"/>
      <w:r>
        <w:rPr>
          <w:rFonts w:ascii="Arial" w:hAnsi="Arial" w:cs="Arial"/>
          <w:lang w:val="es-ES"/>
        </w:rPr>
        <w:t>, p. 120.</w:t>
      </w:r>
    </w:p>
  </w:footnote>
  <w:footnote w:id="172">
    <w:p w:rsidR="00205D3D" w:rsidRPr="008243F4" w:rsidRDefault="00205D3D" w:rsidP="004F20AA">
      <w:pPr>
        <w:pStyle w:val="Textonotapie"/>
        <w:jc w:val="both"/>
        <w:rPr>
          <w:rFonts w:ascii="Arial" w:hAnsi="Arial" w:cs="Arial"/>
          <w:lang w:val="es-ES"/>
        </w:rPr>
      </w:pPr>
      <w:r w:rsidRPr="008243F4">
        <w:rPr>
          <w:rStyle w:val="Refdenotaalpie"/>
          <w:rFonts w:ascii="Arial" w:hAnsi="Arial" w:cs="Arial"/>
        </w:rPr>
        <w:footnoteRef/>
      </w:r>
      <w:r>
        <w:rPr>
          <w:rFonts w:ascii="Arial" w:hAnsi="Arial" w:cs="Arial"/>
          <w:lang w:val="es-ES"/>
        </w:rPr>
        <w:t xml:space="preserve"> </w:t>
      </w:r>
      <w:r w:rsidRPr="008243F4">
        <w:rPr>
          <w:rFonts w:ascii="Arial" w:hAnsi="Arial" w:cs="Arial"/>
          <w:lang w:val="es-ES"/>
        </w:rPr>
        <w:t>Convención Americana sobre Derechos Humanos</w:t>
      </w:r>
      <w:r>
        <w:rPr>
          <w:rFonts w:ascii="Arial" w:hAnsi="Arial" w:cs="Arial"/>
          <w:lang w:val="es-ES"/>
        </w:rPr>
        <w:t>,</w:t>
      </w:r>
      <w:r w:rsidRPr="008243F4">
        <w:rPr>
          <w:rFonts w:ascii="Arial" w:hAnsi="Arial" w:cs="Arial"/>
          <w:lang w:val="es-ES"/>
        </w:rPr>
        <w:t xml:space="preserve"> art</w:t>
      </w:r>
      <w:r>
        <w:rPr>
          <w:rFonts w:ascii="Arial" w:hAnsi="Arial" w:cs="Arial"/>
          <w:lang w:val="es-ES"/>
        </w:rPr>
        <w:t>ículo</w:t>
      </w:r>
      <w:r w:rsidRPr="008243F4">
        <w:rPr>
          <w:rFonts w:ascii="Arial" w:hAnsi="Arial" w:cs="Arial"/>
          <w:lang w:val="es-ES"/>
        </w:rPr>
        <w:t>. 68.</w:t>
      </w:r>
    </w:p>
  </w:footnote>
  <w:footnote w:id="173">
    <w:p w:rsidR="00205D3D" w:rsidRPr="00921AE1" w:rsidRDefault="00205D3D" w:rsidP="008F2951">
      <w:pPr>
        <w:pStyle w:val="Body1"/>
        <w:jc w:val="both"/>
        <w:rPr>
          <w:rFonts w:ascii="Arial" w:eastAsia="Times New Roman" w:hAnsi="Arial" w:cs="Arial"/>
          <w:color w:val="auto"/>
          <w:sz w:val="20"/>
        </w:rPr>
      </w:pPr>
      <w:r w:rsidRPr="00921AE1">
        <w:rPr>
          <w:rFonts w:ascii="Arial" w:hAnsi="Arial" w:cs="Arial"/>
          <w:sz w:val="20"/>
          <w:vertAlign w:val="superscript"/>
        </w:rPr>
        <w:footnoteRef/>
      </w:r>
      <w:r w:rsidRPr="00921AE1">
        <w:rPr>
          <w:rFonts w:ascii="Arial" w:hAnsi="Arial" w:cs="Arial"/>
          <w:sz w:val="20"/>
        </w:rPr>
        <w:t xml:space="preserve"> INREDH-CEPAM, </w:t>
      </w:r>
      <w:r w:rsidRPr="004F20AA">
        <w:rPr>
          <w:rFonts w:ascii="Arial" w:hAnsi="Arial" w:cs="Arial"/>
          <w:sz w:val="20"/>
          <w:u w:val="single"/>
        </w:rPr>
        <w:t>El derecho a la reparación en el procesamiento penal</w:t>
      </w:r>
      <w:r w:rsidRPr="00921AE1">
        <w:rPr>
          <w:rFonts w:ascii="Arial" w:hAnsi="Arial" w:cs="Arial"/>
          <w:sz w:val="20"/>
        </w:rPr>
        <w:t>, editoras Gardenia Cháve</w:t>
      </w:r>
      <w:r>
        <w:rPr>
          <w:rFonts w:ascii="Arial" w:hAnsi="Arial" w:cs="Arial"/>
          <w:sz w:val="20"/>
        </w:rPr>
        <w:t>z y Miriam Garcés, Quito, 2000.</w:t>
      </w:r>
      <w:r w:rsidRPr="00921AE1">
        <w:rPr>
          <w:rFonts w:ascii="Arial" w:hAnsi="Arial" w:cs="Arial"/>
          <w:sz w:val="20"/>
        </w:rPr>
        <w:t xml:space="preserve"> p</w:t>
      </w:r>
      <w:r>
        <w:rPr>
          <w:rFonts w:ascii="Arial" w:hAnsi="Arial" w:cs="Arial"/>
          <w:sz w:val="20"/>
        </w:rPr>
        <w:t>p</w:t>
      </w:r>
      <w:r w:rsidRPr="00921AE1">
        <w:rPr>
          <w:rFonts w:ascii="Arial" w:hAnsi="Arial" w:cs="Arial"/>
          <w:sz w:val="20"/>
        </w:rPr>
        <w:t>. 23-24.</w:t>
      </w:r>
    </w:p>
  </w:footnote>
  <w:footnote w:id="174">
    <w:p w:rsidR="00205D3D" w:rsidRPr="00921AE1" w:rsidRDefault="00205D3D" w:rsidP="002403FA">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Convención de Viena sobre el Derecho de los Tratados, suscrita en Viena (Austria) el 23 de mayo de 1969, articulo 27.</w:t>
      </w:r>
    </w:p>
  </w:footnote>
  <w:footnote w:id="175">
    <w:p w:rsidR="00205D3D" w:rsidRPr="009579BA" w:rsidRDefault="00205D3D" w:rsidP="006C2F46">
      <w:pPr>
        <w:pStyle w:val="Textonotapie"/>
        <w:jc w:val="both"/>
        <w:rPr>
          <w:lang w:val="es-ES"/>
        </w:rPr>
      </w:pPr>
      <w:r w:rsidRPr="00921AE1">
        <w:rPr>
          <w:rStyle w:val="Refdenotaalpie"/>
          <w:rFonts w:ascii="Arial" w:hAnsi="Arial" w:cs="Arial"/>
        </w:rPr>
        <w:footnoteRef/>
      </w:r>
      <w:r w:rsidRPr="00921AE1">
        <w:rPr>
          <w:rFonts w:ascii="Arial" w:hAnsi="Arial" w:cs="Arial"/>
          <w:lang w:val="es-ES"/>
        </w:rPr>
        <w:t xml:space="preserve"> </w:t>
      </w:r>
      <w:r>
        <w:rPr>
          <w:rFonts w:ascii="Arial" w:hAnsi="Arial" w:cs="Arial"/>
          <w:lang w:val="es-ES"/>
        </w:rPr>
        <w:t>Por ejemplo v</w:t>
      </w:r>
      <w:r w:rsidRPr="00921AE1">
        <w:rPr>
          <w:rFonts w:ascii="Arial" w:hAnsi="Arial" w:cs="Arial"/>
          <w:lang w:val="es-ES"/>
        </w:rPr>
        <w:t xml:space="preserve">er </w:t>
      </w:r>
      <w:r>
        <w:rPr>
          <w:rFonts w:ascii="Arial" w:hAnsi="Arial" w:cs="Arial"/>
          <w:lang w:val="es-ES"/>
        </w:rPr>
        <w:t xml:space="preserve">los </w:t>
      </w:r>
      <w:r w:rsidRPr="00921AE1">
        <w:rPr>
          <w:rFonts w:ascii="Arial" w:hAnsi="Arial" w:cs="Arial"/>
          <w:lang w:val="es-ES"/>
        </w:rPr>
        <w:t xml:space="preserve">casos </w:t>
      </w:r>
      <w:r>
        <w:rPr>
          <w:rFonts w:ascii="Arial" w:hAnsi="Arial" w:cs="Arial"/>
          <w:lang w:val="es-ES"/>
        </w:rPr>
        <w:t xml:space="preserve">de la Corte Interamericana de Derechos Humanos; </w:t>
      </w:r>
      <w:r w:rsidRPr="00921AE1">
        <w:rPr>
          <w:rFonts w:ascii="Arial" w:hAnsi="Arial" w:cs="Arial"/>
          <w:lang w:val="es-ES"/>
        </w:rPr>
        <w:t xml:space="preserve">Montero </w:t>
      </w:r>
      <w:proofErr w:type="spellStart"/>
      <w:r w:rsidRPr="00921AE1">
        <w:rPr>
          <w:rFonts w:ascii="Arial" w:hAnsi="Arial" w:cs="Arial"/>
          <w:lang w:val="es-ES"/>
        </w:rPr>
        <w:t>Araguren</w:t>
      </w:r>
      <w:proofErr w:type="spellEnd"/>
      <w:r w:rsidRPr="00921AE1">
        <w:rPr>
          <w:rFonts w:ascii="Arial" w:hAnsi="Arial" w:cs="Arial"/>
          <w:lang w:val="es-ES"/>
        </w:rPr>
        <w:t xml:space="preserve"> y otros</w:t>
      </w:r>
      <w:r>
        <w:rPr>
          <w:rFonts w:ascii="Arial" w:hAnsi="Arial" w:cs="Arial"/>
          <w:lang w:val="es-ES"/>
        </w:rPr>
        <w:t xml:space="preserve"> (Retén de Catia) Vs. Venezuela, párr. 117; </w:t>
      </w:r>
      <w:proofErr w:type="spellStart"/>
      <w:r>
        <w:rPr>
          <w:rFonts w:ascii="Arial" w:hAnsi="Arial" w:cs="Arial"/>
          <w:lang w:val="es-ES"/>
        </w:rPr>
        <w:t>Ximenes</w:t>
      </w:r>
      <w:proofErr w:type="spellEnd"/>
      <w:r>
        <w:rPr>
          <w:rFonts w:ascii="Arial" w:hAnsi="Arial" w:cs="Arial"/>
          <w:lang w:val="es-ES"/>
        </w:rPr>
        <w:t xml:space="preserve"> </w:t>
      </w:r>
      <w:proofErr w:type="spellStart"/>
      <w:r>
        <w:rPr>
          <w:rFonts w:ascii="Arial" w:hAnsi="Arial" w:cs="Arial"/>
          <w:lang w:val="es-ES"/>
        </w:rPr>
        <w:t>Lopes</w:t>
      </w:r>
      <w:proofErr w:type="spellEnd"/>
      <w:r>
        <w:rPr>
          <w:rFonts w:ascii="Arial" w:hAnsi="Arial" w:cs="Arial"/>
          <w:lang w:val="es-ES"/>
        </w:rPr>
        <w:t xml:space="preserve"> Vs </w:t>
      </w:r>
      <w:proofErr w:type="spellStart"/>
      <w:r>
        <w:rPr>
          <w:rFonts w:ascii="Arial" w:hAnsi="Arial" w:cs="Arial"/>
          <w:lang w:val="es-ES"/>
        </w:rPr>
        <w:t>Brazil</w:t>
      </w:r>
      <w:proofErr w:type="spellEnd"/>
      <w:r>
        <w:rPr>
          <w:rFonts w:ascii="Arial" w:hAnsi="Arial" w:cs="Arial"/>
          <w:lang w:val="es-ES"/>
        </w:rPr>
        <w:t>, párr. 209; Claude Reyes y otros Vs. Chile, párr. 151.</w:t>
      </w:r>
      <w:r w:rsidRPr="008F2951">
        <w:rPr>
          <w:lang w:val="es-ES"/>
        </w:rPr>
        <w:t xml:space="preserve">  </w:t>
      </w:r>
    </w:p>
  </w:footnote>
  <w:footnote w:id="176">
    <w:p w:rsidR="00205D3D" w:rsidRPr="00921AE1" w:rsidRDefault="00205D3D" w:rsidP="008F2951">
      <w:pPr>
        <w:pStyle w:val="Textonotapie"/>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Pr>
          <w:rFonts w:ascii="Arial" w:hAnsi="Arial" w:cs="Arial"/>
          <w:lang w:val="es-ES"/>
        </w:rPr>
        <w:t xml:space="preserve">Antonio </w:t>
      </w:r>
      <w:r w:rsidRPr="00921AE1">
        <w:rPr>
          <w:rFonts w:ascii="Arial" w:hAnsi="Arial" w:cs="Arial"/>
          <w:lang w:val="es-ES"/>
        </w:rPr>
        <w:t xml:space="preserve"> A. </w:t>
      </w:r>
      <w:proofErr w:type="spellStart"/>
      <w:r w:rsidRPr="00921AE1">
        <w:rPr>
          <w:rFonts w:ascii="Arial" w:hAnsi="Arial" w:cs="Arial"/>
          <w:lang w:val="es-ES"/>
        </w:rPr>
        <w:t>Cancado</w:t>
      </w:r>
      <w:proofErr w:type="spellEnd"/>
      <w:r w:rsidRPr="00921AE1">
        <w:rPr>
          <w:rFonts w:ascii="Arial" w:hAnsi="Arial" w:cs="Arial"/>
          <w:lang w:val="es-ES"/>
        </w:rPr>
        <w:t xml:space="preserve"> </w:t>
      </w:r>
      <w:proofErr w:type="spellStart"/>
      <w:r w:rsidRPr="00921AE1">
        <w:rPr>
          <w:rFonts w:ascii="Arial" w:hAnsi="Arial" w:cs="Arial"/>
          <w:lang w:val="es-ES"/>
        </w:rPr>
        <w:t>Trindade</w:t>
      </w:r>
      <w:proofErr w:type="spellEnd"/>
      <w:r w:rsidRPr="00921AE1">
        <w:rPr>
          <w:rFonts w:ascii="Arial" w:hAnsi="Arial" w:cs="Arial"/>
          <w:lang w:val="es-ES"/>
        </w:rPr>
        <w:t xml:space="preserve"> </w:t>
      </w:r>
      <w:r>
        <w:rPr>
          <w:rFonts w:ascii="Arial" w:hAnsi="Arial" w:cs="Arial"/>
          <w:lang w:val="es-ES"/>
        </w:rPr>
        <w:t xml:space="preserve">Juez de la Corte Interamericana de Derechos Humanos, </w:t>
      </w:r>
      <w:r w:rsidRPr="00921AE1">
        <w:rPr>
          <w:rFonts w:ascii="Arial" w:hAnsi="Arial" w:cs="Arial"/>
          <w:lang w:val="es-ES"/>
        </w:rPr>
        <w:t xml:space="preserve">citado por Carlos Martín </w:t>
      </w:r>
      <w:proofErr w:type="spellStart"/>
      <w:r w:rsidRPr="00921AE1">
        <w:rPr>
          <w:rFonts w:ascii="Arial" w:hAnsi="Arial" w:cs="Arial"/>
          <w:lang w:val="es-ES"/>
        </w:rPr>
        <w:t>Beristain</w:t>
      </w:r>
      <w:proofErr w:type="spellEnd"/>
      <w:r w:rsidRPr="00921AE1">
        <w:rPr>
          <w:rFonts w:ascii="Arial" w:hAnsi="Arial" w:cs="Arial"/>
          <w:lang w:val="es-ES"/>
        </w:rPr>
        <w:t xml:space="preserve">, </w:t>
      </w:r>
      <w:r w:rsidRPr="00800E21">
        <w:rPr>
          <w:rFonts w:ascii="Arial" w:hAnsi="Arial" w:cs="Arial"/>
          <w:u w:val="single"/>
          <w:lang w:val="es-ES"/>
        </w:rPr>
        <w:t>Diálogos sobre la Reparación</w:t>
      </w:r>
      <w:r>
        <w:rPr>
          <w:rFonts w:ascii="Arial" w:hAnsi="Arial" w:cs="Arial"/>
          <w:lang w:val="es-ES"/>
        </w:rPr>
        <w:t>, Quito, 2009. p. 138.</w:t>
      </w:r>
    </w:p>
  </w:footnote>
  <w:footnote w:id="177">
    <w:p w:rsidR="00205D3D" w:rsidRPr="00921AE1" w:rsidRDefault="00205D3D" w:rsidP="008F2951">
      <w:pPr>
        <w:pStyle w:val="Textonotapie"/>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Pr>
          <w:rFonts w:ascii="Arial" w:hAnsi="Arial" w:cs="Arial"/>
          <w:lang w:val="es-ES"/>
        </w:rPr>
        <w:t xml:space="preserve">Corte Interamericana de Derechos Humanos, </w:t>
      </w:r>
      <w:r w:rsidRPr="00F76F1A">
        <w:rPr>
          <w:rFonts w:ascii="Arial" w:hAnsi="Arial" w:cs="Arial"/>
          <w:u w:val="single"/>
          <w:lang w:val="es-ES"/>
        </w:rPr>
        <w:t>Caso “La Última Tentación de Cristo” (Olmedo Bustos y otros) Vs Chile</w:t>
      </w:r>
      <w:r>
        <w:rPr>
          <w:rFonts w:ascii="Arial" w:hAnsi="Arial" w:cs="Arial"/>
          <w:lang w:val="es-ES"/>
        </w:rPr>
        <w:t>,</w:t>
      </w:r>
      <w:r w:rsidRPr="00921AE1">
        <w:rPr>
          <w:rFonts w:ascii="Arial" w:hAnsi="Arial" w:cs="Arial"/>
          <w:lang w:val="es-ES"/>
        </w:rPr>
        <w:t xml:space="preserve"> Sentencia de 5 de febrero de 2001</w:t>
      </w:r>
      <w:r>
        <w:rPr>
          <w:rFonts w:ascii="Arial" w:hAnsi="Arial" w:cs="Arial"/>
          <w:lang w:val="es-ES"/>
        </w:rPr>
        <w:t>. (Fondo, Reparaciones y Costas) párr. 87</w:t>
      </w:r>
      <w:r w:rsidRPr="00921AE1">
        <w:rPr>
          <w:rFonts w:ascii="Arial" w:hAnsi="Arial" w:cs="Arial"/>
          <w:lang w:val="es-ES"/>
        </w:rPr>
        <w:t>.</w:t>
      </w:r>
    </w:p>
  </w:footnote>
  <w:footnote w:id="178">
    <w:p w:rsidR="00205D3D" w:rsidRPr="00921AE1" w:rsidRDefault="00205D3D" w:rsidP="00921AE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Pr>
          <w:rFonts w:ascii="Arial" w:hAnsi="Arial" w:cs="Arial"/>
          <w:lang w:val="es-ES"/>
        </w:rPr>
        <w:t xml:space="preserve">Corte Interamericana de Derechos Humanos, </w:t>
      </w:r>
      <w:r w:rsidRPr="00F76F1A">
        <w:rPr>
          <w:rFonts w:ascii="Arial" w:hAnsi="Arial" w:cs="Arial"/>
          <w:u w:val="single"/>
          <w:lang w:val="es-ES"/>
        </w:rPr>
        <w:t>Caso Barrios Altos vs. Perú</w:t>
      </w:r>
      <w:r w:rsidRPr="00921AE1">
        <w:rPr>
          <w:rFonts w:ascii="Arial" w:hAnsi="Arial" w:cs="Arial"/>
          <w:lang w:val="es-ES"/>
        </w:rPr>
        <w:t>, Sente</w:t>
      </w:r>
      <w:r>
        <w:rPr>
          <w:rFonts w:ascii="Arial" w:hAnsi="Arial" w:cs="Arial"/>
          <w:lang w:val="es-ES"/>
        </w:rPr>
        <w:t>ncia de 30 de noviembre de 2001.</w:t>
      </w:r>
      <w:r w:rsidRPr="00921AE1">
        <w:rPr>
          <w:rFonts w:ascii="Arial" w:hAnsi="Arial" w:cs="Arial"/>
          <w:lang w:val="es-ES"/>
        </w:rPr>
        <w:t xml:space="preserve"> </w:t>
      </w:r>
      <w:r>
        <w:rPr>
          <w:rFonts w:ascii="Arial" w:hAnsi="Arial" w:cs="Arial"/>
          <w:lang w:val="es-ES"/>
        </w:rPr>
        <w:t>(</w:t>
      </w:r>
      <w:r w:rsidRPr="00921AE1">
        <w:rPr>
          <w:rFonts w:ascii="Arial" w:hAnsi="Arial" w:cs="Arial"/>
          <w:lang w:val="es-ES"/>
        </w:rPr>
        <w:t>Reparaciones y Costas</w:t>
      </w:r>
      <w:r>
        <w:rPr>
          <w:rFonts w:ascii="Arial" w:hAnsi="Arial" w:cs="Arial"/>
          <w:lang w:val="es-ES"/>
        </w:rPr>
        <w:t>), párr. 44.</w:t>
      </w:r>
      <w:r w:rsidRPr="00921AE1">
        <w:rPr>
          <w:rFonts w:ascii="Arial" w:hAnsi="Arial" w:cs="Arial"/>
          <w:lang w:val="es-ES"/>
        </w:rPr>
        <w:t xml:space="preserve"> </w:t>
      </w:r>
    </w:p>
  </w:footnote>
  <w:footnote w:id="179">
    <w:p w:rsidR="00205D3D" w:rsidRPr="00921AE1" w:rsidRDefault="00205D3D" w:rsidP="00921AE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sidRPr="00EC4430">
        <w:rPr>
          <w:rFonts w:ascii="Arial" w:hAnsi="Arial" w:cs="Arial"/>
          <w:lang w:val="es-ES"/>
        </w:rPr>
        <w:t>Corte Interamericana de Derechos Humanos, Resolución de supervisión de cumplimiento de sentencia</w:t>
      </w:r>
      <w:r>
        <w:rPr>
          <w:rFonts w:ascii="Arial" w:hAnsi="Arial" w:cs="Arial"/>
          <w:lang w:val="es-ES"/>
        </w:rPr>
        <w:t>,</w:t>
      </w:r>
      <w:r w:rsidRPr="00921AE1">
        <w:rPr>
          <w:rFonts w:ascii="Arial" w:hAnsi="Arial" w:cs="Arial"/>
          <w:lang w:val="es-ES"/>
        </w:rPr>
        <w:t xml:space="preserve"> 7 de Septiembre de 2012, </w:t>
      </w:r>
      <w:r w:rsidRPr="00EC4430">
        <w:rPr>
          <w:rFonts w:ascii="Arial" w:hAnsi="Arial" w:cs="Arial"/>
          <w:u w:val="single"/>
          <w:lang w:val="es-ES"/>
        </w:rPr>
        <w:t>Caso Barrios Altos vs. Perú</w:t>
      </w:r>
      <w:r>
        <w:rPr>
          <w:rFonts w:ascii="Arial" w:hAnsi="Arial" w:cs="Arial"/>
          <w:lang w:val="es-ES"/>
        </w:rPr>
        <w:t>, punto 2 de la parte declarativa.</w:t>
      </w:r>
    </w:p>
  </w:footnote>
  <w:footnote w:id="180">
    <w:p w:rsidR="00205D3D" w:rsidRPr="00921AE1" w:rsidRDefault="00205D3D" w:rsidP="00921AE1">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Resolución de la Presidenta de la Corte Interamericana de Derechos Humanos de 20 de Mayo de 2009, </w:t>
      </w:r>
      <w:r w:rsidRPr="00EC4430">
        <w:rPr>
          <w:rFonts w:ascii="Arial" w:hAnsi="Arial" w:cs="Arial"/>
          <w:u w:val="single"/>
          <w:lang w:val="es-ES"/>
        </w:rPr>
        <w:t xml:space="preserve">Caso Comunidad Indígena </w:t>
      </w:r>
      <w:proofErr w:type="spellStart"/>
      <w:r w:rsidRPr="00EC4430">
        <w:rPr>
          <w:rFonts w:ascii="Arial" w:hAnsi="Arial" w:cs="Arial"/>
          <w:u w:val="single"/>
          <w:lang w:val="es-ES"/>
        </w:rPr>
        <w:t>Sawhoyamaxa</w:t>
      </w:r>
      <w:proofErr w:type="spellEnd"/>
      <w:r w:rsidRPr="00EC4430">
        <w:rPr>
          <w:rFonts w:ascii="Arial" w:hAnsi="Arial" w:cs="Arial"/>
          <w:u w:val="single"/>
          <w:lang w:val="es-ES"/>
        </w:rPr>
        <w:t xml:space="preserve"> vs. Paraguay</w:t>
      </w:r>
      <w:r w:rsidRPr="00921AE1">
        <w:rPr>
          <w:rFonts w:ascii="Arial" w:hAnsi="Arial" w:cs="Arial"/>
          <w:lang w:val="es-ES"/>
        </w:rPr>
        <w:t>, Convocatoria a Audiencia Pública y Supervisión de Cumplimiento de Sentencia.</w:t>
      </w:r>
    </w:p>
  </w:footnote>
  <w:footnote w:id="181">
    <w:p w:rsidR="00205D3D" w:rsidRPr="00921AE1" w:rsidRDefault="00205D3D" w:rsidP="00921AE1">
      <w:pPr>
        <w:pStyle w:val="Textonotapie"/>
        <w:jc w:val="both"/>
        <w:rPr>
          <w:rFonts w:ascii="Arial" w:hAnsi="Arial" w:cs="Arial"/>
          <w:lang w:val="es-ES"/>
        </w:rPr>
      </w:pPr>
      <w:r w:rsidRPr="00921AE1">
        <w:rPr>
          <w:rStyle w:val="Refdenotaalpie"/>
          <w:rFonts w:ascii="Arial" w:hAnsi="Arial" w:cs="Arial"/>
        </w:rPr>
        <w:footnoteRef/>
      </w:r>
      <w:r>
        <w:rPr>
          <w:rFonts w:ascii="Arial" w:hAnsi="Arial" w:cs="Arial"/>
          <w:lang w:val="es-ES"/>
        </w:rPr>
        <w:t xml:space="preserve"> Para</w:t>
      </w:r>
      <w:r w:rsidRPr="00921AE1">
        <w:rPr>
          <w:rFonts w:ascii="Arial" w:hAnsi="Arial" w:cs="Arial"/>
          <w:lang w:val="es-ES"/>
        </w:rPr>
        <w:t xml:space="preserve"> referencias sobre casos donde se ordenaron medidas de adecuación de ordenamientos jurídicos internos con la Convención Americana </w:t>
      </w:r>
      <w:r>
        <w:rPr>
          <w:rFonts w:ascii="Arial" w:hAnsi="Arial" w:cs="Arial"/>
          <w:lang w:val="es-ES"/>
        </w:rPr>
        <w:t xml:space="preserve">sobre Derechos Humanos, </w:t>
      </w:r>
      <w:r w:rsidRPr="00921AE1">
        <w:rPr>
          <w:rFonts w:ascii="Arial" w:hAnsi="Arial" w:cs="Arial"/>
          <w:lang w:val="es-ES"/>
        </w:rPr>
        <w:t>revisar</w:t>
      </w:r>
      <w:r>
        <w:rPr>
          <w:rFonts w:ascii="Arial" w:hAnsi="Arial" w:cs="Arial"/>
          <w:lang w:val="es-ES"/>
        </w:rPr>
        <w:t xml:space="preserve">: Molina </w:t>
      </w:r>
      <w:proofErr w:type="spellStart"/>
      <w:r>
        <w:rPr>
          <w:rFonts w:ascii="Arial" w:hAnsi="Arial" w:cs="Arial"/>
          <w:lang w:val="es-ES"/>
        </w:rPr>
        <w:t>Theissen</w:t>
      </w:r>
      <w:proofErr w:type="spellEnd"/>
      <w:r>
        <w:rPr>
          <w:rFonts w:ascii="Arial" w:hAnsi="Arial" w:cs="Arial"/>
          <w:lang w:val="es-ES"/>
        </w:rPr>
        <w:t xml:space="preserve"> V</w:t>
      </w:r>
      <w:r w:rsidRPr="00921AE1">
        <w:rPr>
          <w:rFonts w:ascii="Arial" w:hAnsi="Arial" w:cs="Arial"/>
          <w:lang w:val="es-ES"/>
        </w:rPr>
        <w:t>s. Guatemala</w:t>
      </w:r>
      <w:r>
        <w:rPr>
          <w:rFonts w:ascii="Arial" w:hAnsi="Arial" w:cs="Arial"/>
          <w:lang w:val="es-ES"/>
        </w:rPr>
        <w:t xml:space="preserve">, </w:t>
      </w:r>
      <w:proofErr w:type="spellStart"/>
      <w:r>
        <w:rPr>
          <w:rFonts w:ascii="Arial" w:hAnsi="Arial" w:cs="Arial"/>
          <w:lang w:val="es-ES"/>
        </w:rPr>
        <w:t>párrs</w:t>
      </w:r>
      <w:proofErr w:type="spellEnd"/>
      <w:r>
        <w:rPr>
          <w:rFonts w:ascii="Arial" w:hAnsi="Arial" w:cs="Arial"/>
          <w:lang w:val="es-ES"/>
        </w:rPr>
        <w:t>. 89, 90, 91;</w:t>
      </w:r>
      <w:r w:rsidRPr="00921AE1">
        <w:rPr>
          <w:rFonts w:ascii="Arial" w:hAnsi="Arial" w:cs="Arial"/>
          <w:lang w:val="es-ES"/>
        </w:rPr>
        <w:t xml:space="preserve"> Herrera Ulloa vs. Costa Rica</w:t>
      </w:r>
      <w:r>
        <w:rPr>
          <w:rFonts w:ascii="Arial" w:hAnsi="Arial" w:cs="Arial"/>
          <w:lang w:val="es-ES"/>
        </w:rPr>
        <w:t>, párr. 198.</w:t>
      </w:r>
      <w:r w:rsidRPr="00921AE1">
        <w:rPr>
          <w:rFonts w:ascii="Arial" w:hAnsi="Arial" w:cs="Arial"/>
          <w:lang w:val="es-ES"/>
        </w:rPr>
        <w:t xml:space="preserve"> </w:t>
      </w:r>
    </w:p>
  </w:footnote>
  <w:footnote w:id="182">
    <w:p w:rsidR="00205D3D" w:rsidRPr="00921AE1" w:rsidRDefault="00205D3D" w:rsidP="00DE157E">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Juan Méndez, ex Comisionado de la CIDH, citado por Carlos Martín </w:t>
      </w:r>
      <w:proofErr w:type="spellStart"/>
      <w:r w:rsidRPr="00921AE1">
        <w:rPr>
          <w:rFonts w:ascii="Arial" w:hAnsi="Arial" w:cs="Arial"/>
          <w:lang w:val="es-ES"/>
        </w:rPr>
        <w:t>Beristain</w:t>
      </w:r>
      <w:proofErr w:type="spellEnd"/>
      <w:r w:rsidRPr="00921AE1">
        <w:rPr>
          <w:rFonts w:ascii="Arial" w:hAnsi="Arial" w:cs="Arial"/>
          <w:lang w:val="es-ES"/>
        </w:rPr>
        <w:t xml:space="preserve">, Diálogos sobre la Reparación, Quito, 2009. p. 85 </w:t>
      </w:r>
    </w:p>
  </w:footnote>
  <w:footnote w:id="183">
    <w:p w:rsidR="00205D3D" w:rsidRPr="00921AE1" w:rsidRDefault="00205D3D" w:rsidP="008F2951">
      <w:pPr>
        <w:pStyle w:val="Textonotapie"/>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w:t>
      </w:r>
      <w:r w:rsidRPr="00DE157E">
        <w:rPr>
          <w:rFonts w:ascii="Arial" w:hAnsi="Arial" w:cs="Arial"/>
          <w:lang w:val="es-ES"/>
        </w:rPr>
        <w:t>Corte Interamericana de Derechos Humanos, Resolución de supervisión de cumplimiento de sentencia</w:t>
      </w:r>
      <w:r>
        <w:rPr>
          <w:rFonts w:ascii="Arial" w:hAnsi="Arial" w:cs="Arial"/>
          <w:lang w:val="es-ES"/>
        </w:rPr>
        <w:t>,</w:t>
      </w:r>
      <w:r w:rsidRPr="00DE157E">
        <w:rPr>
          <w:rFonts w:ascii="Arial" w:hAnsi="Arial" w:cs="Arial"/>
          <w:lang w:val="es-ES"/>
        </w:rPr>
        <w:t xml:space="preserve"> </w:t>
      </w:r>
      <w:r w:rsidRPr="00921AE1">
        <w:rPr>
          <w:rFonts w:ascii="Arial" w:hAnsi="Arial" w:cs="Arial"/>
          <w:lang w:val="es-ES"/>
        </w:rPr>
        <w:t xml:space="preserve">23 de Noviembre de 2010, </w:t>
      </w:r>
      <w:r>
        <w:rPr>
          <w:rFonts w:ascii="Arial" w:hAnsi="Arial" w:cs="Arial"/>
          <w:u w:val="single"/>
          <w:lang w:val="es-ES"/>
        </w:rPr>
        <w:t>Caso Zambrano Vélez y otros V</w:t>
      </w:r>
      <w:r w:rsidRPr="00DE157E">
        <w:rPr>
          <w:rFonts w:ascii="Arial" w:hAnsi="Arial" w:cs="Arial"/>
          <w:u w:val="single"/>
          <w:lang w:val="es-ES"/>
        </w:rPr>
        <w:t>s. Ecuador</w:t>
      </w:r>
      <w:r>
        <w:rPr>
          <w:rFonts w:ascii="Arial" w:hAnsi="Arial" w:cs="Arial"/>
          <w:lang w:val="es-ES"/>
        </w:rPr>
        <w:t xml:space="preserve">, </w:t>
      </w:r>
      <w:proofErr w:type="spellStart"/>
      <w:r>
        <w:rPr>
          <w:rFonts w:ascii="Arial" w:hAnsi="Arial" w:cs="Arial"/>
          <w:lang w:val="es-ES"/>
        </w:rPr>
        <w:t>párrs</w:t>
      </w:r>
      <w:proofErr w:type="spellEnd"/>
      <w:r>
        <w:rPr>
          <w:rFonts w:ascii="Arial" w:hAnsi="Arial" w:cs="Arial"/>
          <w:lang w:val="es-ES"/>
        </w:rPr>
        <w:t>. 2,3,4.</w:t>
      </w:r>
    </w:p>
  </w:footnote>
  <w:footnote w:id="184">
    <w:p w:rsidR="00205D3D" w:rsidRPr="00921AE1" w:rsidRDefault="00205D3D" w:rsidP="006D0D90">
      <w:pPr>
        <w:pStyle w:val="Textonotapie"/>
        <w:jc w:val="both"/>
        <w:rPr>
          <w:rFonts w:ascii="Arial" w:hAnsi="Arial" w:cs="Arial"/>
          <w:lang w:val="es-ES"/>
        </w:rPr>
      </w:pPr>
      <w:r w:rsidRPr="00921AE1">
        <w:rPr>
          <w:rStyle w:val="Refdenotaalpie"/>
          <w:rFonts w:ascii="Arial" w:hAnsi="Arial" w:cs="Arial"/>
        </w:rPr>
        <w:footnoteRef/>
      </w:r>
      <w:r w:rsidRPr="00921AE1">
        <w:rPr>
          <w:rFonts w:ascii="Arial" w:hAnsi="Arial" w:cs="Arial"/>
          <w:lang w:val="es-ES"/>
        </w:rPr>
        <w:t xml:space="preserve"> Constitución de la República del Ecuador, Registro Oficial 449 de 20 de octubre de 2008, art. 3, numeral 1. </w:t>
      </w:r>
    </w:p>
  </w:footnote>
  <w:footnote w:id="185">
    <w:p w:rsidR="00205D3D" w:rsidRPr="00921AE1" w:rsidRDefault="00205D3D" w:rsidP="006D0D90">
      <w:pPr>
        <w:pStyle w:val="Textonotapie"/>
        <w:jc w:val="both"/>
        <w:rPr>
          <w:rFonts w:ascii="Arial" w:hAnsi="Arial" w:cs="Arial"/>
        </w:rPr>
      </w:pPr>
      <w:r w:rsidRPr="00921AE1">
        <w:rPr>
          <w:rStyle w:val="Refdenotaalpie"/>
          <w:rFonts w:ascii="Arial" w:hAnsi="Arial" w:cs="Arial"/>
        </w:rPr>
        <w:footnoteRef/>
      </w:r>
      <w:r w:rsidRPr="00921AE1">
        <w:rPr>
          <w:rFonts w:ascii="Arial" w:hAnsi="Arial" w:cs="Arial"/>
        </w:rPr>
        <w:t xml:space="preserve"> </w:t>
      </w:r>
      <w:proofErr w:type="gramStart"/>
      <w:r w:rsidRPr="00921AE1">
        <w:rPr>
          <w:rFonts w:ascii="Arial" w:hAnsi="Arial" w:cs="Arial"/>
        </w:rPr>
        <w:t>Id., art.</w:t>
      </w:r>
      <w:proofErr w:type="gramEnd"/>
      <w:r w:rsidRPr="00921AE1">
        <w:rPr>
          <w:rFonts w:ascii="Arial" w:hAnsi="Arial" w:cs="Arial"/>
        </w:rPr>
        <w:t xml:space="preserve"> </w:t>
      </w:r>
      <w:proofErr w:type="gramStart"/>
      <w:r w:rsidRPr="00921AE1">
        <w:rPr>
          <w:rFonts w:ascii="Arial" w:hAnsi="Arial" w:cs="Arial"/>
        </w:rPr>
        <w:t>11 numeral 3.</w:t>
      </w:r>
      <w:proofErr w:type="gramEnd"/>
      <w:r w:rsidRPr="00921AE1">
        <w:rPr>
          <w:rFonts w:ascii="Arial" w:hAnsi="Arial" w:cs="Arial"/>
        </w:rPr>
        <w:t xml:space="preserve"> </w:t>
      </w:r>
    </w:p>
  </w:footnote>
  <w:footnote w:id="186">
    <w:p w:rsidR="00205D3D" w:rsidRPr="00B147EF" w:rsidRDefault="00205D3D" w:rsidP="006D0D90">
      <w:pPr>
        <w:pStyle w:val="Textonotapie"/>
        <w:jc w:val="both"/>
      </w:pPr>
      <w:r w:rsidRPr="00921AE1">
        <w:rPr>
          <w:rStyle w:val="Refdenotaalpie"/>
          <w:rFonts w:ascii="Arial" w:hAnsi="Arial" w:cs="Arial"/>
        </w:rPr>
        <w:footnoteRef/>
      </w:r>
      <w:r w:rsidRPr="00921AE1">
        <w:rPr>
          <w:rFonts w:ascii="Arial" w:hAnsi="Arial" w:cs="Arial"/>
        </w:rPr>
        <w:t xml:space="preserve"> </w:t>
      </w:r>
      <w:proofErr w:type="gramStart"/>
      <w:r w:rsidRPr="00921AE1">
        <w:rPr>
          <w:rFonts w:ascii="Arial" w:hAnsi="Arial" w:cs="Arial"/>
        </w:rPr>
        <w:t>Id., art.</w:t>
      </w:r>
      <w:proofErr w:type="gramEnd"/>
      <w:r w:rsidRPr="00921AE1">
        <w:rPr>
          <w:rFonts w:ascii="Arial" w:hAnsi="Arial" w:cs="Arial"/>
        </w:rPr>
        <w:t xml:space="preserve"> </w:t>
      </w:r>
      <w:proofErr w:type="gramStart"/>
      <w:r w:rsidRPr="00921AE1">
        <w:rPr>
          <w:rFonts w:ascii="Arial" w:hAnsi="Arial" w:cs="Arial"/>
        </w:rPr>
        <w:t>11 numeral 7.</w:t>
      </w:r>
      <w:proofErr w:type="gramEnd"/>
      <w:r w:rsidRPr="00B147EF">
        <w:t xml:space="preserve">  </w:t>
      </w:r>
    </w:p>
  </w:footnote>
  <w:footnote w:id="187">
    <w:p w:rsidR="00205D3D" w:rsidRPr="00487081" w:rsidRDefault="00205D3D" w:rsidP="006D0D90">
      <w:pPr>
        <w:pStyle w:val="Textonotapie"/>
        <w:jc w:val="both"/>
        <w:rPr>
          <w:rFonts w:ascii="Arial" w:hAnsi="Arial" w:cs="Arial"/>
        </w:rPr>
      </w:pPr>
      <w:r w:rsidRPr="00487081">
        <w:rPr>
          <w:rStyle w:val="Refdenotaalpie"/>
          <w:rFonts w:ascii="Arial" w:hAnsi="Arial" w:cs="Arial"/>
        </w:rPr>
        <w:footnoteRef/>
      </w:r>
      <w:r w:rsidRPr="00487081">
        <w:rPr>
          <w:rFonts w:ascii="Arial" w:hAnsi="Arial" w:cs="Arial"/>
        </w:rPr>
        <w:t xml:space="preserve"> </w:t>
      </w:r>
      <w:proofErr w:type="gramStart"/>
      <w:r w:rsidRPr="00487081">
        <w:rPr>
          <w:rFonts w:ascii="Arial" w:hAnsi="Arial" w:cs="Arial"/>
        </w:rPr>
        <w:t>Id., art.</w:t>
      </w:r>
      <w:proofErr w:type="gramEnd"/>
      <w:r w:rsidRPr="00487081">
        <w:rPr>
          <w:rFonts w:ascii="Arial" w:hAnsi="Arial" w:cs="Arial"/>
        </w:rPr>
        <w:t xml:space="preserve"> </w:t>
      </w:r>
      <w:proofErr w:type="gramStart"/>
      <w:r w:rsidRPr="00487081">
        <w:rPr>
          <w:rFonts w:ascii="Arial" w:hAnsi="Arial" w:cs="Arial"/>
        </w:rPr>
        <w:t>11 numeral 9.</w:t>
      </w:r>
      <w:proofErr w:type="gramEnd"/>
    </w:p>
  </w:footnote>
  <w:footnote w:id="188">
    <w:p w:rsidR="00205D3D" w:rsidRPr="00487081" w:rsidRDefault="00205D3D" w:rsidP="006D0D90">
      <w:pPr>
        <w:pStyle w:val="Textonotapie"/>
        <w:jc w:val="both"/>
        <w:rPr>
          <w:rFonts w:ascii="Arial" w:hAnsi="Arial" w:cs="Arial"/>
        </w:rPr>
      </w:pPr>
      <w:r w:rsidRPr="00487081">
        <w:rPr>
          <w:rStyle w:val="Refdenotaalpie"/>
          <w:rFonts w:ascii="Arial" w:hAnsi="Arial" w:cs="Arial"/>
        </w:rPr>
        <w:footnoteRef/>
      </w:r>
      <w:r w:rsidRPr="00487081">
        <w:rPr>
          <w:rFonts w:ascii="Arial" w:hAnsi="Arial" w:cs="Arial"/>
        </w:rPr>
        <w:t xml:space="preserve"> </w:t>
      </w:r>
      <w:proofErr w:type="gramStart"/>
      <w:r w:rsidRPr="00487081">
        <w:rPr>
          <w:rFonts w:ascii="Arial" w:hAnsi="Arial" w:cs="Arial"/>
        </w:rPr>
        <w:t>Id., art.</w:t>
      </w:r>
      <w:proofErr w:type="gramEnd"/>
      <w:r w:rsidRPr="00487081">
        <w:rPr>
          <w:rFonts w:ascii="Arial" w:hAnsi="Arial" w:cs="Arial"/>
        </w:rPr>
        <w:t xml:space="preserve"> 84 </w:t>
      </w:r>
    </w:p>
  </w:footnote>
  <w:footnote w:id="189">
    <w:p w:rsidR="00205D3D" w:rsidRPr="00487081" w:rsidRDefault="00205D3D" w:rsidP="006D0D90">
      <w:pPr>
        <w:pStyle w:val="Textonotapie"/>
        <w:jc w:val="both"/>
        <w:rPr>
          <w:rFonts w:ascii="Arial" w:hAnsi="Arial" w:cs="Arial"/>
        </w:rPr>
      </w:pPr>
      <w:r w:rsidRPr="00487081">
        <w:rPr>
          <w:rStyle w:val="Refdenotaalpie"/>
          <w:rFonts w:ascii="Arial" w:hAnsi="Arial" w:cs="Arial"/>
        </w:rPr>
        <w:footnoteRef/>
      </w:r>
      <w:r w:rsidRPr="00487081">
        <w:rPr>
          <w:rFonts w:ascii="Arial" w:hAnsi="Arial" w:cs="Arial"/>
        </w:rPr>
        <w:t xml:space="preserve"> </w:t>
      </w:r>
      <w:proofErr w:type="gramStart"/>
      <w:r w:rsidRPr="00487081">
        <w:rPr>
          <w:rFonts w:ascii="Arial" w:hAnsi="Arial" w:cs="Arial"/>
        </w:rPr>
        <w:t>Id., art.</w:t>
      </w:r>
      <w:proofErr w:type="gramEnd"/>
      <w:r w:rsidRPr="00487081">
        <w:rPr>
          <w:rFonts w:ascii="Arial" w:hAnsi="Arial" w:cs="Arial"/>
        </w:rPr>
        <w:t xml:space="preserve"> 93 </w:t>
      </w:r>
    </w:p>
  </w:footnote>
  <w:footnote w:id="190">
    <w:p w:rsidR="00205D3D" w:rsidRPr="00487081" w:rsidRDefault="00205D3D" w:rsidP="006D0D90">
      <w:pPr>
        <w:pStyle w:val="Textonotapie"/>
        <w:jc w:val="both"/>
        <w:rPr>
          <w:rFonts w:ascii="Arial" w:hAnsi="Arial" w:cs="Arial"/>
        </w:rPr>
      </w:pPr>
      <w:r w:rsidRPr="00487081">
        <w:rPr>
          <w:rStyle w:val="Refdenotaalpie"/>
          <w:rFonts w:ascii="Arial" w:hAnsi="Arial" w:cs="Arial"/>
        </w:rPr>
        <w:footnoteRef/>
      </w:r>
      <w:r w:rsidRPr="00487081">
        <w:rPr>
          <w:rFonts w:ascii="Arial" w:hAnsi="Arial" w:cs="Arial"/>
        </w:rPr>
        <w:t xml:space="preserve"> </w:t>
      </w:r>
      <w:proofErr w:type="gramStart"/>
      <w:r w:rsidRPr="00487081">
        <w:rPr>
          <w:rFonts w:ascii="Arial" w:hAnsi="Arial" w:cs="Arial"/>
        </w:rPr>
        <w:t>Id., art.</w:t>
      </w:r>
      <w:proofErr w:type="gramEnd"/>
      <w:r w:rsidRPr="00487081">
        <w:rPr>
          <w:rFonts w:ascii="Arial" w:hAnsi="Arial" w:cs="Arial"/>
        </w:rPr>
        <w:t xml:space="preserve"> </w:t>
      </w:r>
      <w:proofErr w:type="gramStart"/>
      <w:r w:rsidRPr="00487081">
        <w:rPr>
          <w:rFonts w:ascii="Arial" w:hAnsi="Arial" w:cs="Arial"/>
        </w:rPr>
        <w:t>416 numeral 7.</w:t>
      </w:r>
      <w:proofErr w:type="gramEnd"/>
      <w:r w:rsidRPr="00487081">
        <w:rPr>
          <w:rFonts w:ascii="Arial" w:hAnsi="Arial" w:cs="Arial"/>
        </w:rPr>
        <w:t xml:space="preserve"> </w:t>
      </w:r>
    </w:p>
  </w:footnote>
  <w:footnote w:id="191">
    <w:p w:rsidR="00205D3D" w:rsidRPr="00487081" w:rsidRDefault="00205D3D" w:rsidP="006D0D90">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Id., art. 417. </w:t>
      </w:r>
    </w:p>
  </w:footnote>
  <w:footnote w:id="192">
    <w:p w:rsidR="00205D3D" w:rsidRPr="00487081" w:rsidRDefault="00205D3D" w:rsidP="006D0D90">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Id., art. 78. </w:t>
      </w:r>
    </w:p>
  </w:footnote>
  <w:footnote w:id="193">
    <w:p w:rsidR="00205D3D" w:rsidRPr="00487081" w:rsidRDefault="00205D3D" w:rsidP="006D0D90">
      <w:pPr>
        <w:pStyle w:val="Textonotapie"/>
        <w:jc w:val="both"/>
        <w:rPr>
          <w:rFonts w:ascii="Arial" w:hAnsi="Arial" w:cs="Arial"/>
        </w:rPr>
      </w:pPr>
      <w:r w:rsidRPr="00487081">
        <w:rPr>
          <w:rStyle w:val="Refdenotaalpie"/>
          <w:rFonts w:ascii="Arial" w:hAnsi="Arial" w:cs="Arial"/>
        </w:rPr>
        <w:footnoteRef/>
      </w:r>
      <w:r w:rsidRPr="00487081">
        <w:rPr>
          <w:rFonts w:ascii="Arial" w:hAnsi="Arial" w:cs="Arial"/>
          <w:lang w:val="es-ES"/>
        </w:rPr>
        <w:t xml:space="preserve"> Reglamento Orgánico Funcional de la Procuraduría General del Estado, Registro Oficial Suplemento</w:t>
      </w:r>
      <w:r>
        <w:rPr>
          <w:rFonts w:ascii="Arial" w:hAnsi="Arial" w:cs="Arial"/>
          <w:lang w:val="es-ES"/>
        </w:rPr>
        <w:t xml:space="preserve"> 228 de 16 de </w:t>
      </w:r>
      <w:r w:rsidRPr="00487081">
        <w:rPr>
          <w:rFonts w:ascii="Arial" w:hAnsi="Arial" w:cs="Arial"/>
          <w:lang w:val="es-ES"/>
        </w:rPr>
        <w:t>ene</w:t>
      </w:r>
      <w:r>
        <w:rPr>
          <w:rFonts w:ascii="Arial" w:hAnsi="Arial" w:cs="Arial"/>
          <w:lang w:val="es-ES"/>
        </w:rPr>
        <w:t xml:space="preserve">ro de </w:t>
      </w:r>
      <w:r w:rsidRPr="00487081">
        <w:rPr>
          <w:rFonts w:ascii="Arial" w:hAnsi="Arial" w:cs="Arial"/>
          <w:lang w:val="es-ES"/>
        </w:rPr>
        <w:t xml:space="preserve">2012. </w:t>
      </w:r>
      <w:r w:rsidRPr="00487081">
        <w:rPr>
          <w:rFonts w:ascii="Arial" w:hAnsi="Arial" w:cs="Arial"/>
        </w:rPr>
        <w:t>Art. 25</w:t>
      </w:r>
      <w:r>
        <w:rPr>
          <w:rFonts w:ascii="Arial" w:hAnsi="Arial" w:cs="Arial"/>
        </w:rPr>
        <w:t>.</w:t>
      </w:r>
      <w:r w:rsidRPr="00487081">
        <w:rPr>
          <w:rFonts w:ascii="Arial" w:hAnsi="Arial" w:cs="Arial"/>
        </w:rPr>
        <w:t xml:space="preserve">  </w:t>
      </w:r>
    </w:p>
  </w:footnote>
  <w:footnote w:id="194">
    <w:p w:rsidR="00205D3D" w:rsidRPr="00487081" w:rsidRDefault="00205D3D" w:rsidP="006D0D90">
      <w:pPr>
        <w:pStyle w:val="Textonotapie"/>
        <w:jc w:val="both"/>
        <w:rPr>
          <w:rFonts w:ascii="Arial" w:hAnsi="Arial" w:cs="Arial"/>
        </w:rPr>
      </w:pPr>
      <w:r w:rsidRPr="00487081">
        <w:rPr>
          <w:rStyle w:val="Refdenotaalpie"/>
          <w:rFonts w:ascii="Arial" w:hAnsi="Arial" w:cs="Arial"/>
        </w:rPr>
        <w:footnoteRef/>
      </w:r>
      <w:r w:rsidRPr="00487081">
        <w:rPr>
          <w:rFonts w:ascii="Arial" w:hAnsi="Arial" w:cs="Arial"/>
        </w:rPr>
        <w:t xml:space="preserve"> </w:t>
      </w:r>
      <w:proofErr w:type="gramStart"/>
      <w:r w:rsidRPr="00487081">
        <w:rPr>
          <w:rFonts w:ascii="Arial" w:hAnsi="Arial" w:cs="Arial"/>
        </w:rPr>
        <w:t>Id., art.</w:t>
      </w:r>
      <w:proofErr w:type="gramEnd"/>
      <w:r w:rsidRPr="00487081">
        <w:rPr>
          <w:rFonts w:ascii="Arial" w:hAnsi="Arial" w:cs="Arial"/>
        </w:rPr>
        <w:t xml:space="preserve"> </w:t>
      </w:r>
      <w:proofErr w:type="gramStart"/>
      <w:r w:rsidRPr="00487081">
        <w:rPr>
          <w:rFonts w:ascii="Arial" w:hAnsi="Arial" w:cs="Arial"/>
        </w:rPr>
        <w:t>26, numeral 1.</w:t>
      </w:r>
      <w:proofErr w:type="gramEnd"/>
      <w:r w:rsidRPr="00487081">
        <w:rPr>
          <w:rFonts w:ascii="Arial" w:hAnsi="Arial" w:cs="Arial"/>
        </w:rPr>
        <w:t xml:space="preserve"> </w:t>
      </w:r>
    </w:p>
  </w:footnote>
  <w:footnote w:id="195">
    <w:p w:rsidR="00205D3D" w:rsidRPr="00487081" w:rsidRDefault="00205D3D" w:rsidP="006D0D90">
      <w:pPr>
        <w:pStyle w:val="Textonotapie"/>
        <w:jc w:val="both"/>
        <w:rPr>
          <w:rFonts w:ascii="Arial" w:hAnsi="Arial" w:cs="Arial"/>
        </w:rPr>
      </w:pPr>
      <w:r w:rsidRPr="00487081">
        <w:rPr>
          <w:rStyle w:val="Refdenotaalpie"/>
          <w:rFonts w:ascii="Arial" w:hAnsi="Arial" w:cs="Arial"/>
        </w:rPr>
        <w:footnoteRef/>
      </w:r>
      <w:r w:rsidRPr="00487081">
        <w:rPr>
          <w:rFonts w:ascii="Arial" w:hAnsi="Arial" w:cs="Arial"/>
        </w:rPr>
        <w:t xml:space="preserve"> </w:t>
      </w:r>
      <w:proofErr w:type="gramStart"/>
      <w:r w:rsidRPr="00487081">
        <w:rPr>
          <w:rFonts w:ascii="Arial" w:hAnsi="Arial" w:cs="Arial"/>
        </w:rPr>
        <w:t>Id., art.</w:t>
      </w:r>
      <w:proofErr w:type="gramEnd"/>
      <w:r w:rsidRPr="00487081">
        <w:rPr>
          <w:rFonts w:ascii="Arial" w:hAnsi="Arial" w:cs="Arial"/>
        </w:rPr>
        <w:t xml:space="preserve"> </w:t>
      </w:r>
      <w:proofErr w:type="gramStart"/>
      <w:r w:rsidRPr="00487081">
        <w:rPr>
          <w:rFonts w:ascii="Arial" w:hAnsi="Arial" w:cs="Arial"/>
        </w:rPr>
        <w:t>26, numeral 4.</w:t>
      </w:r>
      <w:proofErr w:type="gramEnd"/>
      <w:r w:rsidRPr="00487081">
        <w:rPr>
          <w:rFonts w:ascii="Arial" w:hAnsi="Arial" w:cs="Arial"/>
        </w:rPr>
        <w:t xml:space="preserve"> </w:t>
      </w:r>
    </w:p>
  </w:footnote>
  <w:footnote w:id="196">
    <w:p w:rsidR="00205D3D" w:rsidRPr="00487081" w:rsidRDefault="00205D3D" w:rsidP="006D0D90">
      <w:pPr>
        <w:pStyle w:val="Textonotapie"/>
        <w:jc w:val="both"/>
        <w:rPr>
          <w:rFonts w:ascii="Arial" w:hAnsi="Arial" w:cs="Arial"/>
        </w:rPr>
      </w:pPr>
      <w:r w:rsidRPr="00487081">
        <w:rPr>
          <w:rStyle w:val="Refdenotaalpie"/>
          <w:rFonts w:ascii="Arial" w:hAnsi="Arial" w:cs="Arial"/>
        </w:rPr>
        <w:footnoteRef/>
      </w:r>
      <w:r w:rsidRPr="00487081">
        <w:rPr>
          <w:rFonts w:ascii="Arial" w:hAnsi="Arial" w:cs="Arial"/>
        </w:rPr>
        <w:t xml:space="preserve"> </w:t>
      </w:r>
      <w:proofErr w:type="gramStart"/>
      <w:r w:rsidRPr="00487081">
        <w:rPr>
          <w:rFonts w:ascii="Arial" w:hAnsi="Arial" w:cs="Arial"/>
        </w:rPr>
        <w:t>Id., art.</w:t>
      </w:r>
      <w:proofErr w:type="gramEnd"/>
      <w:r w:rsidRPr="00487081">
        <w:rPr>
          <w:rFonts w:ascii="Arial" w:hAnsi="Arial" w:cs="Arial"/>
        </w:rPr>
        <w:t xml:space="preserve"> </w:t>
      </w:r>
      <w:proofErr w:type="gramStart"/>
      <w:r w:rsidRPr="00487081">
        <w:rPr>
          <w:rFonts w:ascii="Arial" w:hAnsi="Arial" w:cs="Arial"/>
        </w:rPr>
        <w:t>26, numeral 5.</w:t>
      </w:r>
      <w:proofErr w:type="gramEnd"/>
      <w:r w:rsidRPr="00487081">
        <w:rPr>
          <w:rFonts w:ascii="Arial" w:hAnsi="Arial" w:cs="Arial"/>
        </w:rPr>
        <w:t xml:space="preserve">  </w:t>
      </w:r>
    </w:p>
  </w:footnote>
  <w:footnote w:id="197">
    <w:p w:rsidR="00205D3D" w:rsidRPr="00487081" w:rsidRDefault="00205D3D" w:rsidP="006D0D90">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Decreto Ejecutivo 1</w:t>
      </w:r>
      <w:r>
        <w:rPr>
          <w:rFonts w:ascii="Arial" w:hAnsi="Arial" w:cs="Arial"/>
          <w:lang w:val="es-ES"/>
        </w:rPr>
        <w:t xml:space="preserve">317, Registro Oficial 428 de 18 de </w:t>
      </w:r>
      <w:r w:rsidRPr="00487081">
        <w:rPr>
          <w:rFonts w:ascii="Arial" w:hAnsi="Arial" w:cs="Arial"/>
          <w:lang w:val="es-ES"/>
        </w:rPr>
        <w:t>sep</w:t>
      </w:r>
      <w:r>
        <w:rPr>
          <w:rFonts w:ascii="Arial" w:hAnsi="Arial" w:cs="Arial"/>
          <w:lang w:val="es-ES"/>
        </w:rPr>
        <w:t xml:space="preserve">tiembre de </w:t>
      </w:r>
      <w:r w:rsidRPr="00487081">
        <w:rPr>
          <w:rFonts w:ascii="Arial" w:hAnsi="Arial" w:cs="Arial"/>
          <w:lang w:val="es-ES"/>
        </w:rPr>
        <w:t>2008</w:t>
      </w:r>
      <w:r>
        <w:rPr>
          <w:rFonts w:ascii="Arial" w:hAnsi="Arial" w:cs="Arial"/>
          <w:lang w:val="es-ES"/>
        </w:rPr>
        <w:t>.</w:t>
      </w:r>
      <w:r w:rsidRPr="00487081">
        <w:rPr>
          <w:rFonts w:ascii="Arial" w:hAnsi="Arial" w:cs="Arial"/>
          <w:lang w:val="es-ES"/>
        </w:rPr>
        <w:t xml:space="preserve"> </w:t>
      </w:r>
    </w:p>
  </w:footnote>
  <w:footnote w:id="198">
    <w:p w:rsidR="00205D3D" w:rsidRPr="00487081" w:rsidRDefault="00205D3D" w:rsidP="006D0D90">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Id., art 2.</w:t>
      </w:r>
    </w:p>
  </w:footnote>
  <w:footnote w:id="199">
    <w:p w:rsidR="00205D3D" w:rsidRPr="00487081" w:rsidRDefault="00205D3D" w:rsidP="008F2951">
      <w:pPr>
        <w:pStyle w:val="Textonotapie"/>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David Cordero, Director del Centro de Derecho Humanos de la Pontificia Universidad Católica del Ecuador, entrevista, Quito, 22-04-2013. </w:t>
      </w:r>
    </w:p>
  </w:footnote>
  <w:footnote w:id="200">
    <w:p w:rsidR="00205D3D" w:rsidRPr="00487081" w:rsidRDefault="00205D3D" w:rsidP="008F2951">
      <w:pPr>
        <w:pStyle w:val="Textonotapie"/>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Id. </w:t>
      </w:r>
    </w:p>
  </w:footnote>
  <w:footnote w:id="201">
    <w:p w:rsidR="00205D3D" w:rsidRPr="00487081" w:rsidRDefault="00205D3D" w:rsidP="008F2951">
      <w:pPr>
        <w:pStyle w:val="Textonotapie"/>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César Duque, Abogado de la Comisión Ecuménica de Derechos Humanos, entre vista, Quito, 22-04-2013. </w:t>
      </w:r>
    </w:p>
  </w:footnote>
  <w:footnote w:id="202">
    <w:p w:rsidR="00205D3D" w:rsidRPr="00487081" w:rsidRDefault="00205D3D" w:rsidP="00DB5218">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David Cordero, entrevista. </w:t>
      </w:r>
    </w:p>
  </w:footnote>
  <w:footnote w:id="203">
    <w:p w:rsidR="00205D3D" w:rsidRPr="00487081" w:rsidRDefault="00205D3D" w:rsidP="00420AE7">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César Duque, entrevista.</w:t>
      </w:r>
    </w:p>
  </w:footnote>
  <w:footnote w:id="204">
    <w:p w:rsidR="00205D3D" w:rsidRPr="00487081" w:rsidRDefault="00205D3D" w:rsidP="00420AE7">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David Cordero, entrevista. </w:t>
      </w:r>
    </w:p>
  </w:footnote>
  <w:footnote w:id="205">
    <w:p w:rsidR="00205D3D" w:rsidRPr="00B03D8A" w:rsidRDefault="00205D3D" w:rsidP="00B03D8A">
      <w:pPr>
        <w:pStyle w:val="Textonotapie"/>
        <w:jc w:val="both"/>
        <w:rPr>
          <w:rFonts w:ascii="Arial" w:hAnsi="Arial" w:cs="Arial"/>
          <w:lang w:val="es-ES"/>
        </w:rPr>
      </w:pPr>
      <w:r w:rsidRPr="00B03D8A">
        <w:rPr>
          <w:rStyle w:val="Refdenotaalpie"/>
          <w:rFonts w:ascii="Arial" w:hAnsi="Arial" w:cs="Arial"/>
        </w:rPr>
        <w:footnoteRef/>
      </w:r>
      <w:r w:rsidRPr="00B03D8A">
        <w:rPr>
          <w:rFonts w:ascii="Arial" w:hAnsi="Arial" w:cs="Arial"/>
          <w:lang w:val="es-ES"/>
        </w:rPr>
        <w:t xml:space="preserve"> César Duque, entrevista</w:t>
      </w:r>
    </w:p>
  </w:footnote>
  <w:footnote w:id="206">
    <w:p w:rsidR="00205D3D" w:rsidRPr="00B03D8A" w:rsidRDefault="00205D3D" w:rsidP="00B03D8A">
      <w:pPr>
        <w:pStyle w:val="Textonotapie"/>
        <w:jc w:val="both"/>
        <w:rPr>
          <w:rFonts w:ascii="Arial" w:hAnsi="Arial" w:cs="Arial"/>
          <w:lang w:val="es-ES"/>
        </w:rPr>
      </w:pPr>
      <w:r w:rsidRPr="00B03D8A">
        <w:rPr>
          <w:rStyle w:val="Refdenotaalpie"/>
          <w:rFonts w:ascii="Arial" w:hAnsi="Arial" w:cs="Arial"/>
        </w:rPr>
        <w:footnoteRef/>
      </w:r>
      <w:r w:rsidRPr="00B03D8A">
        <w:rPr>
          <w:rFonts w:ascii="Arial" w:hAnsi="Arial" w:cs="Arial"/>
          <w:lang w:val="es-ES"/>
        </w:rPr>
        <w:t xml:space="preserve"> David Cordero, entrevista. </w:t>
      </w:r>
    </w:p>
  </w:footnote>
  <w:footnote w:id="207">
    <w:p w:rsidR="00205D3D" w:rsidRPr="00487081" w:rsidRDefault="00205D3D" w:rsidP="00B03D8A">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César Duque, entrevista.</w:t>
      </w:r>
    </w:p>
  </w:footnote>
  <w:footnote w:id="208">
    <w:p w:rsidR="00205D3D" w:rsidRPr="00487081" w:rsidRDefault="00205D3D" w:rsidP="00B03D8A">
      <w:pPr>
        <w:pStyle w:val="Textonotapie"/>
        <w:jc w:val="both"/>
        <w:rPr>
          <w:rFonts w:ascii="Arial" w:hAnsi="Arial" w:cs="Arial"/>
          <w:lang w:val="es-ES"/>
        </w:rPr>
      </w:pPr>
      <w:r w:rsidRPr="00487081">
        <w:rPr>
          <w:rStyle w:val="Refdenotaalpie"/>
          <w:rFonts w:ascii="Arial" w:hAnsi="Arial" w:cs="Arial"/>
        </w:rPr>
        <w:footnoteRef/>
      </w:r>
      <w:r w:rsidRPr="00487081">
        <w:rPr>
          <w:rFonts w:ascii="Arial" w:hAnsi="Arial" w:cs="Arial"/>
          <w:lang w:val="es-ES"/>
        </w:rPr>
        <w:t xml:space="preserve"> Esta tabla ha sido elaborada con la información que consta en la página web oficial de la Corte Interamericana de Derechos Humanos, (http://www.corteidh.or.cr/pais.cfm?id_Pais=10), la actualización de la información fue verificada hasta la fecha 28 de abril de 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894EE873"/>
    <w:lvl w:ilvl="0">
      <w:start w:val="1"/>
      <w:numFmt w:val="bullet"/>
      <w:lvlText w:val="•"/>
      <w:lvlJc w:val="left"/>
      <w:pPr>
        <w:tabs>
          <w:tab w:val="num" w:pos="180"/>
        </w:tabs>
        <w:ind w:left="180" w:firstLine="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lvl w:ilvl="1">
      <w:start w:val="1"/>
      <w:numFmt w:val="bullet"/>
      <w:lvlText w:val="•"/>
      <w:lvlJc w:val="left"/>
      <w:pPr>
        <w:tabs>
          <w:tab w:val="num" w:pos="180"/>
        </w:tabs>
        <w:ind w:left="180" w:firstLine="36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lvl w:ilvl="2">
      <w:start w:val="1"/>
      <w:numFmt w:val="bullet"/>
      <w:lvlText w:val="•"/>
      <w:lvlJc w:val="left"/>
      <w:pPr>
        <w:tabs>
          <w:tab w:val="num" w:pos="180"/>
        </w:tabs>
        <w:ind w:left="180" w:firstLine="72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lvl w:ilvl="3">
      <w:start w:val="1"/>
      <w:numFmt w:val="bullet"/>
      <w:lvlText w:val="•"/>
      <w:lvlJc w:val="left"/>
      <w:pPr>
        <w:tabs>
          <w:tab w:val="num" w:pos="180"/>
        </w:tabs>
        <w:ind w:left="180" w:firstLine="108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lvl w:ilvl="4">
      <w:start w:val="1"/>
      <w:numFmt w:val="bullet"/>
      <w:lvlText w:val="•"/>
      <w:lvlJc w:val="left"/>
      <w:pPr>
        <w:tabs>
          <w:tab w:val="num" w:pos="180"/>
        </w:tabs>
        <w:ind w:left="180" w:firstLine="144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lvl w:ilvl="5">
      <w:start w:val="1"/>
      <w:numFmt w:val="bullet"/>
      <w:lvlText w:val="•"/>
      <w:lvlJc w:val="left"/>
      <w:pPr>
        <w:tabs>
          <w:tab w:val="num" w:pos="180"/>
        </w:tabs>
        <w:ind w:left="180" w:firstLine="180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lvl w:ilvl="6">
      <w:start w:val="1"/>
      <w:numFmt w:val="bullet"/>
      <w:lvlText w:val="•"/>
      <w:lvlJc w:val="left"/>
      <w:pPr>
        <w:tabs>
          <w:tab w:val="num" w:pos="180"/>
        </w:tabs>
        <w:ind w:left="180" w:firstLine="216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lvl w:ilvl="7">
      <w:start w:val="1"/>
      <w:numFmt w:val="bullet"/>
      <w:lvlText w:val="•"/>
      <w:lvlJc w:val="left"/>
      <w:pPr>
        <w:tabs>
          <w:tab w:val="num" w:pos="180"/>
        </w:tabs>
        <w:ind w:left="180" w:firstLine="252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lvl w:ilvl="8">
      <w:start w:val="1"/>
      <w:numFmt w:val="bullet"/>
      <w:lvlText w:val="•"/>
      <w:lvlJc w:val="left"/>
      <w:pPr>
        <w:tabs>
          <w:tab w:val="num" w:pos="180"/>
        </w:tabs>
        <w:ind w:left="180" w:firstLine="2880"/>
      </w:pPr>
      <w:rPr>
        <w:rFonts w:ascii="Helvetica" w:eastAsia="Arial Unicode MS" w:hAnsi="Helvetica" w:hint="default"/>
        <w:b w:val="0"/>
        <w:i w:val="0"/>
        <w:caps w:val="0"/>
        <w:smallCaps w:val="0"/>
        <w:strike w:val="0"/>
        <w:dstrike w:val="0"/>
        <w:color w:val="000000"/>
        <w:kern w:val="0"/>
        <w:position w:val="-2"/>
        <w:sz w:val="24"/>
        <w:u w:val="none"/>
        <w:vertAlign w:val="baseline"/>
        <w:rtl w:val="0"/>
        <w:em w:val="none"/>
        <w14:textOutline w14:w="0" w14:cap="rnd" w14:cmpd="sng" w14:algn="ctr">
          <w14:noFill/>
          <w14:prstDash w14:val="solid"/>
          <w14:bevel/>
        </w14:textOutline>
      </w:rPr>
    </w:lvl>
  </w:abstractNum>
  <w:abstractNum w:abstractNumId="1">
    <w:nsid w:val="00000002"/>
    <w:multiLevelType w:val="multilevel"/>
    <w:tmpl w:val="894EE87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537410E"/>
    <w:multiLevelType w:val="hybridMultilevel"/>
    <w:tmpl w:val="E83E3D6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A866513"/>
    <w:multiLevelType w:val="hybridMultilevel"/>
    <w:tmpl w:val="15245C8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
    <w:nsid w:val="123124D8"/>
    <w:multiLevelType w:val="hybridMultilevel"/>
    <w:tmpl w:val="8A74FE30"/>
    <w:lvl w:ilvl="0" w:tplc="FCD6280E">
      <w:start w:val="1"/>
      <w:numFmt w:val="decimal"/>
      <w:lvlText w:val="%1)"/>
      <w:lvlJc w:val="left"/>
      <w:pPr>
        <w:ind w:left="720" w:hanging="360"/>
      </w:pPr>
      <w:rPr>
        <w:rFonts w:eastAsia="Arial Unicode MS" w:hint="default"/>
        <w:i w:val="0"/>
        <w:color w:val="00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54945B7"/>
    <w:multiLevelType w:val="hybridMultilevel"/>
    <w:tmpl w:val="6F6029D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8E713EF"/>
    <w:multiLevelType w:val="hybridMultilevel"/>
    <w:tmpl w:val="0B400D90"/>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B901194"/>
    <w:multiLevelType w:val="hybridMultilevel"/>
    <w:tmpl w:val="74D810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CA04FD2"/>
    <w:multiLevelType w:val="hybridMultilevel"/>
    <w:tmpl w:val="BC00D578"/>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498155C"/>
    <w:multiLevelType w:val="hybridMultilevel"/>
    <w:tmpl w:val="D9A4EEC0"/>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6902247"/>
    <w:multiLevelType w:val="hybridMultilevel"/>
    <w:tmpl w:val="B516B75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6CA5B45"/>
    <w:multiLevelType w:val="hybridMultilevel"/>
    <w:tmpl w:val="EF9001EE"/>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8504951"/>
    <w:multiLevelType w:val="hybridMultilevel"/>
    <w:tmpl w:val="C446523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2C147E3"/>
    <w:multiLevelType w:val="hybridMultilevel"/>
    <w:tmpl w:val="E8F6DA8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77F3949"/>
    <w:multiLevelType w:val="hybridMultilevel"/>
    <w:tmpl w:val="0C00D3A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B3821B2"/>
    <w:multiLevelType w:val="hybridMultilevel"/>
    <w:tmpl w:val="74D810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C69582B"/>
    <w:multiLevelType w:val="hybridMultilevel"/>
    <w:tmpl w:val="149E4B40"/>
    <w:lvl w:ilvl="0" w:tplc="F93C0AC8">
      <w:start w:val="1"/>
      <w:numFmt w:val="upperRoman"/>
      <w:lvlText w:val="%1."/>
      <w:lvlJc w:val="left"/>
      <w:pPr>
        <w:ind w:left="1080" w:hanging="72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00B25E7"/>
    <w:multiLevelType w:val="hybridMultilevel"/>
    <w:tmpl w:val="88C0D718"/>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ADD4442"/>
    <w:multiLevelType w:val="hybridMultilevel"/>
    <w:tmpl w:val="459A7B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2361B15"/>
    <w:multiLevelType w:val="hybridMultilevel"/>
    <w:tmpl w:val="48566BEC"/>
    <w:lvl w:ilvl="0" w:tplc="FF1808E2">
      <w:numFmt w:val="bullet"/>
      <w:lvlText w:val="-"/>
      <w:lvlJc w:val="left"/>
      <w:pPr>
        <w:ind w:left="1080" w:hanging="360"/>
      </w:pPr>
      <w:rPr>
        <w:rFonts w:ascii="Arial" w:eastAsia="Arial Unicode MS"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nsid w:val="53287DD4"/>
    <w:multiLevelType w:val="hybridMultilevel"/>
    <w:tmpl w:val="02AE294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5CF1C9B"/>
    <w:multiLevelType w:val="hybridMultilevel"/>
    <w:tmpl w:val="D352AFD4"/>
    <w:lvl w:ilvl="0" w:tplc="A264496A">
      <w:start w:val="1"/>
      <w:numFmt w:val="decimal"/>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2">
    <w:nsid w:val="65552FA1"/>
    <w:multiLevelType w:val="multilevel"/>
    <w:tmpl w:val="C3D43FD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7E179D6"/>
    <w:multiLevelType w:val="hybridMultilevel"/>
    <w:tmpl w:val="14A8B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89859ED"/>
    <w:multiLevelType w:val="hybridMultilevel"/>
    <w:tmpl w:val="CEB23550"/>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6EB3274E"/>
    <w:multiLevelType w:val="hybridMultilevel"/>
    <w:tmpl w:val="CEB2F8F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1"/>
  </w:num>
  <w:num w:numId="5">
    <w:abstractNumId w:val="19"/>
  </w:num>
  <w:num w:numId="6">
    <w:abstractNumId w:val="12"/>
  </w:num>
  <w:num w:numId="7">
    <w:abstractNumId w:val="22"/>
  </w:num>
  <w:num w:numId="8">
    <w:abstractNumId w:val="5"/>
  </w:num>
  <w:num w:numId="9">
    <w:abstractNumId w:val="23"/>
  </w:num>
  <w:num w:numId="10">
    <w:abstractNumId w:val="15"/>
  </w:num>
  <w:num w:numId="11">
    <w:abstractNumId w:val="10"/>
  </w:num>
  <w:num w:numId="12">
    <w:abstractNumId w:val="20"/>
  </w:num>
  <w:num w:numId="13">
    <w:abstractNumId w:val="2"/>
  </w:num>
  <w:num w:numId="14">
    <w:abstractNumId w:val="18"/>
  </w:num>
  <w:num w:numId="15">
    <w:abstractNumId w:val="7"/>
  </w:num>
  <w:num w:numId="16">
    <w:abstractNumId w:val="16"/>
  </w:num>
  <w:num w:numId="17">
    <w:abstractNumId w:val="4"/>
  </w:num>
  <w:num w:numId="18">
    <w:abstractNumId w:val="25"/>
  </w:num>
  <w:num w:numId="19">
    <w:abstractNumId w:val="14"/>
  </w:num>
  <w:num w:numId="20">
    <w:abstractNumId w:val="8"/>
  </w:num>
  <w:num w:numId="21">
    <w:abstractNumId w:val="6"/>
  </w:num>
  <w:num w:numId="22">
    <w:abstractNumId w:val="13"/>
  </w:num>
  <w:num w:numId="23">
    <w:abstractNumId w:val="11"/>
  </w:num>
  <w:num w:numId="24">
    <w:abstractNumId w:val="17"/>
  </w:num>
  <w:num w:numId="25">
    <w:abstractNumId w:val="9"/>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al"/>
  <w:drawingGridHorizontalSpacing w:val="120"/>
  <w:drawingGridVerticalSpacing w:val="0"/>
  <w:displayHorizontalDrawingGridEvery w:val="0"/>
  <w:displayVerticalDrawingGridEvery w:val="0"/>
  <w:doNotShadeFormData/>
  <w:noPunctuationKerning/>
  <w:characterSpacingControl w:val="doNotCompress"/>
  <w:noLineBreaksAfter w:lang="ja-JP" w:val="‘“(〔[{〈《「『【⦅〘〖«〝︵︷︹︻︽︿﹁﹃﹇﹙﹛﹝｢"/>
  <w:noLineBreaksBefore w:lang="ja-JP" w:val="’”)〕]}〉"/>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7E6"/>
    <w:rsid w:val="00002814"/>
    <w:rsid w:val="00003462"/>
    <w:rsid w:val="0000380C"/>
    <w:rsid w:val="0001221E"/>
    <w:rsid w:val="000124B9"/>
    <w:rsid w:val="00013D8B"/>
    <w:rsid w:val="00016DA6"/>
    <w:rsid w:val="00025631"/>
    <w:rsid w:val="000261D1"/>
    <w:rsid w:val="0003185C"/>
    <w:rsid w:val="000321FF"/>
    <w:rsid w:val="00033596"/>
    <w:rsid w:val="00034369"/>
    <w:rsid w:val="00035942"/>
    <w:rsid w:val="00035E09"/>
    <w:rsid w:val="00041BD9"/>
    <w:rsid w:val="0005387D"/>
    <w:rsid w:val="00057D5D"/>
    <w:rsid w:val="00060A4A"/>
    <w:rsid w:val="00060E0E"/>
    <w:rsid w:val="00064C67"/>
    <w:rsid w:val="00074FC0"/>
    <w:rsid w:val="000805DC"/>
    <w:rsid w:val="0008460D"/>
    <w:rsid w:val="00084C8E"/>
    <w:rsid w:val="00086600"/>
    <w:rsid w:val="000878F8"/>
    <w:rsid w:val="00090448"/>
    <w:rsid w:val="000928AE"/>
    <w:rsid w:val="000A229B"/>
    <w:rsid w:val="000A657E"/>
    <w:rsid w:val="000B7349"/>
    <w:rsid w:val="000B7A7D"/>
    <w:rsid w:val="000C08A5"/>
    <w:rsid w:val="000C10FE"/>
    <w:rsid w:val="000C62B1"/>
    <w:rsid w:val="000D2BC3"/>
    <w:rsid w:val="000D57C3"/>
    <w:rsid w:val="000D63E8"/>
    <w:rsid w:val="000D72BA"/>
    <w:rsid w:val="000D7F12"/>
    <w:rsid w:val="000E47FB"/>
    <w:rsid w:val="000E59CF"/>
    <w:rsid w:val="000E5AF9"/>
    <w:rsid w:val="000F3BC5"/>
    <w:rsid w:val="000F75E2"/>
    <w:rsid w:val="000F765D"/>
    <w:rsid w:val="00102AD1"/>
    <w:rsid w:val="00104BC7"/>
    <w:rsid w:val="00106556"/>
    <w:rsid w:val="00111583"/>
    <w:rsid w:val="00112EBC"/>
    <w:rsid w:val="001133AE"/>
    <w:rsid w:val="00113716"/>
    <w:rsid w:val="00114071"/>
    <w:rsid w:val="00116374"/>
    <w:rsid w:val="0011691D"/>
    <w:rsid w:val="00117D15"/>
    <w:rsid w:val="00120702"/>
    <w:rsid w:val="0013022F"/>
    <w:rsid w:val="00142A19"/>
    <w:rsid w:val="0014315F"/>
    <w:rsid w:val="0014563D"/>
    <w:rsid w:val="001458DB"/>
    <w:rsid w:val="00146B2A"/>
    <w:rsid w:val="00152045"/>
    <w:rsid w:val="00152AB2"/>
    <w:rsid w:val="00160FCD"/>
    <w:rsid w:val="001642A0"/>
    <w:rsid w:val="001759B9"/>
    <w:rsid w:val="00184B40"/>
    <w:rsid w:val="00184E94"/>
    <w:rsid w:val="00186C5D"/>
    <w:rsid w:val="001905F3"/>
    <w:rsid w:val="00190ABA"/>
    <w:rsid w:val="001913DB"/>
    <w:rsid w:val="00192AB1"/>
    <w:rsid w:val="001932D2"/>
    <w:rsid w:val="00194011"/>
    <w:rsid w:val="00194F30"/>
    <w:rsid w:val="00195ADF"/>
    <w:rsid w:val="00196926"/>
    <w:rsid w:val="001A42EE"/>
    <w:rsid w:val="001A78D3"/>
    <w:rsid w:val="001B3A40"/>
    <w:rsid w:val="001B43D5"/>
    <w:rsid w:val="001B788C"/>
    <w:rsid w:val="001C0011"/>
    <w:rsid w:val="001C1C02"/>
    <w:rsid w:val="001C3BF0"/>
    <w:rsid w:val="001C70E8"/>
    <w:rsid w:val="001D157B"/>
    <w:rsid w:val="001D30B8"/>
    <w:rsid w:val="001D5FE5"/>
    <w:rsid w:val="001E116E"/>
    <w:rsid w:val="001F76CC"/>
    <w:rsid w:val="00204FF4"/>
    <w:rsid w:val="00205D3D"/>
    <w:rsid w:val="00206211"/>
    <w:rsid w:val="002064A3"/>
    <w:rsid w:val="00206F85"/>
    <w:rsid w:val="00210523"/>
    <w:rsid w:val="00213FC2"/>
    <w:rsid w:val="00214291"/>
    <w:rsid w:val="00216189"/>
    <w:rsid w:val="0021660A"/>
    <w:rsid w:val="00216746"/>
    <w:rsid w:val="00223803"/>
    <w:rsid w:val="00225803"/>
    <w:rsid w:val="00230B6F"/>
    <w:rsid w:val="00230C47"/>
    <w:rsid w:val="002326E4"/>
    <w:rsid w:val="002403FA"/>
    <w:rsid w:val="00242C72"/>
    <w:rsid w:val="00243871"/>
    <w:rsid w:val="00244B68"/>
    <w:rsid w:val="00246C81"/>
    <w:rsid w:val="002473BA"/>
    <w:rsid w:val="0025360E"/>
    <w:rsid w:val="00253CBF"/>
    <w:rsid w:val="00256EF9"/>
    <w:rsid w:val="002601D7"/>
    <w:rsid w:val="0026261B"/>
    <w:rsid w:val="002658A2"/>
    <w:rsid w:val="00267743"/>
    <w:rsid w:val="00272EBC"/>
    <w:rsid w:val="002752D4"/>
    <w:rsid w:val="00275B04"/>
    <w:rsid w:val="0027664C"/>
    <w:rsid w:val="00277177"/>
    <w:rsid w:val="00281366"/>
    <w:rsid w:val="002872E7"/>
    <w:rsid w:val="00296494"/>
    <w:rsid w:val="002A466D"/>
    <w:rsid w:val="002B0DA7"/>
    <w:rsid w:val="002B32A6"/>
    <w:rsid w:val="002B7E4E"/>
    <w:rsid w:val="002C0650"/>
    <w:rsid w:val="002C1099"/>
    <w:rsid w:val="002C2ED2"/>
    <w:rsid w:val="002C390E"/>
    <w:rsid w:val="002C3C1A"/>
    <w:rsid w:val="002C41E1"/>
    <w:rsid w:val="002C45F3"/>
    <w:rsid w:val="002C556B"/>
    <w:rsid w:val="002C5C90"/>
    <w:rsid w:val="002D11E2"/>
    <w:rsid w:val="002D21B2"/>
    <w:rsid w:val="002D2529"/>
    <w:rsid w:val="002D3E9E"/>
    <w:rsid w:val="002D44EE"/>
    <w:rsid w:val="002D7CFC"/>
    <w:rsid w:val="002E312B"/>
    <w:rsid w:val="002E4B15"/>
    <w:rsid w:val="002E6548"/>
    <w:rsid w:val="002F1251"/>
    <w:rsid w:val="002F24FA"/>
    <w:rsid w:val="002F4320"/>
    <w:rsid w:val="002F4912"/>
    <w:rsid w:val="002F7789"/>
    <w:rsid w:val="002F7810"/>
    <w:rsid w:val="00305052"/>
    <w:rsid w:val="00307629"/>
    <w:rsid w:val="00311969"/>
    <w:rsid w:val="00313DAE"/>
    <w:rsid w:val="003171F5"/>
    <w:rsid w:val="00321DE1"/>
    <w:rsid w:val="00330CEC"/>
    <w:rsid w:val="00337420"/>
    <w:rsid w:val="00346296"/>
    <w:rsid w:val="00346CF9"/>
    <w:rsid w:val="003477B3"/>
    <w:rsid w:val="00350B10"/>
    <w:rsid w:val="003545E5"/>
    <w:rsid w:val="00354CFB"/>
    <w:rsid w:val="00357F22"/>
    <w:rsid w:val="003633B6"/>
    <w:rsid w:val="003677FD"/>
    <w:rsid w:val="0037092D"/>
    <w:rsid w:val="0037320C"/>
    <w:rsid w:val="0037327F"/>
    <w:rsid w:val="00375538"/>
    <w:rsid w:val="00382C0F"/>
    <w:rsid w:val="0039388E"/>
    <w:rsid w:val="00394C33"/>
    <w:rsid w:val="00395CBC"/>
    <w:rsid w:val="0039635C"/>
    <w:rsid w:val="0039735F"/>
    <w:rsid w:val="0039784D"/>
    <w:rsid w:val="00397A2D"/>
    <w:rsid w:val="003A3C1C"/>
    <w:rsid w:val="003A6076"/>
    <w:rsid w:val="003A7B88"/>
    <w:rsid w:val="003B0E37"/>
    <w:rsid w:val="003B3EFC"/>
    <w:rsid w:val="003B6227"/>
    <w:rsid w:val="003C1453"/>
    <w:rsid w:val="003C75D7"/>
    <w:rsid w:val="003D043F"/>
    <w:rsid w:val="003D7C7F"/>
    <w:rsid w:val="003F1410"/>
    <w:rsid w:val="003F755F"/>
    <w:rsid w:val="00404AFD"/>
    <w:rsid w:val="00405EAD"/>
    <w:rsid w:val="00406BD2"/>
    <w:rsid w:val="00412FB5"/>
    <w:rsid w:val="00413586"/>
    <w:rsid w:val="0041436B"/>
    <w:rsid w:val="004156F5"/>
    <w:rsid w:val="00416178"/>
    <w:rsid w:val="00420AE7"/>
    <w:rsid w:val="00424972"/>
    <w:rsid w:val="00427BDC"/>
    <w:rsid w:val="00434330"/>
    <w:rsid w:val="00435E91"/>
    <w:rsid w:val="0044002A"/>
    <w:rsid w:val="004416B7"/>
    <w:rsid w:val="00441841"/>
    <w:rsid w:val="00443729"/>
    <w:rsid w:val="004445BB"/>
    <w:rsid w:val="004507CC"/>
    <w:rsid w:val="00450D20"/>
    <w:rsid w:val="00453490"/>
    <w:rsid w:val="00456374"/>
    <w:rsid w:val="004635BF"/>
    <w:rsid w:val="00465006"/>
    <w:rsid w:val="004651C0"/>
    <w:rsid w:val="00465454"/>
    <w:rsid w:val="004739DF"/>
    <w:rsid w:val="00475B6F"/>
    <w:rsid w:val="00477ECF"/>
    <w:rsid w:val="004861EA"/>
    <w:rsid w:val="00487081"/>
    <w:rsid w:val="00490381"/>
    <w:rsid w:val="00491011"/>
    <w:rsid w:val="00492B41"/>
    <w:rsid w:val="00496055"/>
    <w:rsid w:val="004A04BF"/>
    <w:rsid w:val="004A05F0"/>
    <w:rsid w:val="004A1848"/>
    <w:rsid w:val="004B1D3D"/>
    <w:rsid w:val="004C0176"/>
    <w:rsid w:val="004C1267"/>
    <w:rsid w:val="004D7424"/>
    <w:rsid w:val="004E0E25"/>
    <w:rsid w:val="004E173E"/>
    <w:rsid w:val="004E24DA"/>
    <w:rsid w:val="004E529D"/>
    <w:rsid w:val="004E5A0C"/>
    <w:rsid w:val="004E6209"/>
    <w:rsid w:val="004E6D71"/>
    <w:rsid w:val="004F20AA"/>
    <w:rsid w:val="004F7C11"/>
    <w:rsid w:val="00501EFB"/>
    <w:rsid w:val="00504C0F"/>
    <w:rsid w:val="005127C3"/>
    <w:rsid w:val="00515A21"/>
    <w:rsid w:val="00524AD9"/>
    <w:rsid w:val="00526D8F"/>
    <w:rsid w:val="005305BE"/>
    <w:rsid w:val="00530F8A"/>
    <w:rsid w:val="00531182"/>
    <w:rsid w:val="00540A0B"/>
    <w:rsid w:val="00541246"/>
    <w:rsid w:val="00541ECD"/>
    <w:rsid w:val="00546DE6"/>
    <w:rsid w:val="00547DEC"/>
    <w:rsid w:val="00550DBD"/>
    <w:rsid w:val="005538FE"/>
    <w:rsid w:val="00564831"/>
    <w:rsid w:val="005656B6"/>
    <w:rsid w:val="00570BF6"/>
    <w:rsid w:val="005805DB"/>
    <w:rsid w:val="00582398"/>
    <w:rsid w:val="00587109"/>
    <w:rsid w:val="00595907"/>
    <w:rsid w:val="005B014F"/>
    <w:rsid w:val="005B17C4"/>
    <w:rsid w:val="005B4C96"/>
    <w:rsid w:val="005B62B3"/>
    <w:rsid w:val="005C16A0"/>
    <w:rsid w:val="005C25AA"/>
    <w:rsid w:val="005C29F1"/>
    <w:rsid w:val="005C318F"/>
    <w:rsid w:val="005C384A"/>
    <w:rsid w:val="005D2833"/>
    <w:rsid w:val="005E1D9D"/>
    <w:rsid w:val="005F3D4E"/>
    <w:rsid w:val="005F7888"/>
    <w:rsid w:val="00601C05"/>
    <w:rsid w:val="006020C1"/>
    <w:rsid w:val="00604038"/>
    <w:rsid w:val="00610343"/>
    <w:rsid w:val="00611319"/>
    <w:rsid w:val="00612303"/>
    <w:rsid w:val="0061277D"/>
    <w:rsid w:val="00612ABD"/>
    <w:rsid w:val="0061300E"/>
    <w:rsid w:val="0061360E"/>
    <w:rsid w:val="00613EF4"/>
    <w:rsid w:val="00614081"/>
    <w:rsid w:val="006159C0"/>
    <w:rsid w:val="00624DD9"/>
    <w:rsid w:val="0062715A"/>
    <w:rsid w:val="006314BD"/>
    <w:rsid w:val="0063240C"/>
    <w:rsid w:val="00632D40"/>
    <w:rsid w:val="00633164"/>
    <w:rsid w:val="00634560"/>
    <w:rsid w:val="006358CC"/>
    <w:rsid w:val="006416F4"/>
    <w:rsid w:val="00642E76"/>
    <w:rsid w:val="00644225"/>
    <w:rsid w:val="006503F6"/>
    <w:rsid w:val="0065158F"/>
    <w:rsid w:val="00651974"/>
    <w:rsid w:val="00661DF3"/>
    <w:rsid w:val="0066208C"/>
    <w:rsid w:val="00662FC0"/>
    <w:rsid w:val="00666A08"/>
    <w:rsid w:val="0067354C"/>
    <w:rsid w:val="00674441"/>
    <w:rsid w:val="00684B19"/>
    <w:rsid w:val="00684FD6"/>
    <w:rsid w:val="006850C6"/>
    <w:rsid w:val="0068521C"/>
    <w:rsid w:val="00687611"/>
    <w:rsid w:val="0069173E"/>
    <w:rsid w:val="00693881"/>
    <w:rsid w:val="00693EAE"/>
    <w:rsid w:val="00694388"/>
    <w:rsid w:val="00694CDB"/>
    <w:rsid w:val="00696A7E"/>
    <w:rsid w:val="006A026D"/>
    <w:rsid w:val="006A22A5"/>
    <w:rsid w:val="006A7127"/>
    <w:rsid w:val="006B1F12"/>
    <w:rsid w:val="006B2942"/>
    <w:rsid w:val="006B2FC4"/>
    <w:rsid w:val="006C2F46"/>
    <w:rsid w:val="006C3A69"/>
    <w:rsid w:val="006C4E2F"/>
    <w:rsid w:val="006C62D6"/>
    <w:rsid w:val="006D0D90"/>
    <w:rsid w:val="006D414D"/>
    <w:rsid w:val="006E0A5B"/>
    <w:rsid w:val="006E1739"/>
    <w:rsid w:val="006E2011"/>
    <w:rsid w:val="006E2069"/>
    <w:rsid w:val="006E297E"/>
    <w:rsid w:val="006E2AD0"/>
    <w:rsid w:val="006F3B56"/>
    <w:rsid w:val="006F3E98"/>
    <w:rsid w:val="006F5BF2"/>
    <w:rsid w:val="0070281B"/>
    <w:rsid w:val="00705EB3"/>
    <w:rsid w:val="00714CB3"/>
    <w:rsid w:val="00714ED5"/>
    <w:rsid w:val="00723D41"/>
    <w:rsid w:val="00725F25"/>
    <w:rsid w:val="00725FA8"/>
    <w:rsid w:val="007261E7"/>
    <w:rsid w:val="00726547"/>
    <w:rsid w:val="0072795A"/>
    <w:rsid w:val="00731A37"/>
    <w:rsid w:val="00734EC0"/>
    <w:rsid w:val="00735D0F"/>
    <w:rsid w:val="00736A53"/>
    <w:rsid w:val="00737FF1"/>
    <w:rsid w:val="0074443F"/>
    <w:rsid w:val="00751534"/>
    <w:rsid w:val="007525A5"/>
    <w:rsid w:val="00757289"/>
    <w:rsid w:val="00761B2F"/>
    <w:rsid w:val="007641D6"/>
    <w:rsid w:val="007656EC"/>
    <w:rsid w:val="0076710C"/>
    <w:rsid w:val="007671C4"/>
    <w:rsid w:val="007706F6"/>
    <w:rsid w:val="0077268E"/>
    <w:rsid w:val="00777BC2"/>
    <w:rsid w:val="00777C32"/>
    <w:rsid w:val="007801A6"/>
    <w:rsid w:val="00783008"/>
    <w:rsid w:val="00785A7A"/>
    <w:rsid w:val="007877EE"/>
    <w:rsid w:val="00794734"/>
    <w:rsid w:val="00796DEA"/>
    <w:rsid w:val="007B02F1"/>
    <w:rsid w:val="007B6C38"/>
    <w:rsid w:val="007C124D"/>
    <w:rsid w:val="007C5B44"/>
    <w:rsid w:val="007D17E6"/>
    <w:rsid w:val="007D3B14"/>
    <w:rsid w:val="007E09EA"/>
    <w:rsid w:val="007E0EEF"/>
    <w:rsid w:val="007F030D"/>
    <w:rsid w:val="007F41B0"/>
    <w:rsid w:val="007F533A"/>
    <w:rsid w:val="007F76D7"/>
    <w:rsid w:val="00800E21"/>
    <w:rsid w:val="00802B68"/>
    <w:rsid w:val="0080546B"/>
    <w:rsid w:val="00806781"/>
    <w:rsid w:val="0081162D"/>
    <w:rsid w:val="0081371D"/>
    <w:rsid w:val="00814D6D"/>
    <w:rsid w:val="008157FE"/>
    <w:rsid w:val="008222C8"/>
    <w:rsid w:val="008243F4"/>
    <w:rsid w:val="0082761C"/>
    <w:rsid w:val="0083151B"/>
    <w:rsid w:val="00831994"/>
    <w:rsid w:val="00833BED"/>
    <w:rsid w:val="0084248B"/>
    <w:rsid w:val="00842F74"/>
    <w:rsid w:val="0084487B"/>
    <w:rsid w:val="00854285"/>
    <w:rsid w:val="00854C7F"/>
    <w:rsid w:val="008554B8"/>
    <w:rsid w:val="00857525"/>
    <w:rsid w:val="00857ED3"/>
    <w:rsid w:val="00861DCE"/>
    <w:rsid w:val="008626D8"/>
    <w:rsid w:val="008644A9"/>
    <w:rsid w:val="008657F7"/>
    <w:rsid w:val="00871E06"/>
    <w:rsid w:val="00874045"/>
    <w:rsid w:val="008751FC"/>
    <w:rsid w:val="00881637"/>
    <w:rsid w:val="0088353D"/>
    <w:rsid w:val="00883DB3"/>
    <w:rsid w:val="00884EDA"/>
    <w:rsid w:val="00887DAF"/>
    <w:rsid w:val="00891969"/>
    <w:rsid w:val="0089211A"/>
    <w:rsid w:val="008934C0"/>
    <w:rsid w:val="008951FE"/>
    <w:rsid w:val="00895FCF"/>
    <w:rsid w:val="008A1222"/>
    <w:rsid w:val="008B0384"/>
    <w:rsid w:val="008C23E4"/>
    <w:rsid w:val="008C403A"/>
    <w:rsid w:val="008C4D10"/>
    <w:rsid w:val="008C52DE"/>
    <w:rsid w:val="008C6CE0"/>
    <w:rsid w:val="008C780C"/>
    <w:rsid w:val="008D7C66"/>
    <w:rsid w:val="008E1292"/>
    <w:rsid w:val="008E30CE"/>
    <w:rsid w:val="008E3771"/>
    <w:rsid w:val="008F2951"/>
    <w:rsid w:val="008F4C3E"/>
    <w:rsid w:val="008F5D27"/>
    <w:rsid w:val="008F7295"/>
    <w:rsid w:val="00901C67"/>
    <w:rsid w:val="00902D10"/>
    <w:rsid w:val="00903E28"/>
    <w:rsid w:val="00905F3D"/>
    <w:rsid w:val="00906750"/>
    <w:rsid w:val="0091406C"/>
    <w:rsid w:val="00917162"/>
    <w:rsid w:val="00921AE1"/>
    <w:rsid w:val="009220F8"/>
    <w:rsid w:val="0092244B"/>
    <w:rsid w:val="00923812"/>
    <w:rsid w:val="00926B59"/>
    <w:rsid w:val="0092796A"/>
    <w:rsid w:val="009308F9"/>
    <w:rsid w:val="00931A3F"/>
    <w:rsid w:val="00932E47"/>
    <w:rsid w:val="00934502"/>
    <w:rsid w:val="00934BD9"/>
    <w:rsid w:val="00940844"/>
    <w:rsid w:val="009411E8"/>
    <w:rsid w:val="0094248A"/>
    <w:rsid w:val="009449B9"/>
    <w:rsid w:val="00945FCD"/>
    <w:rsid w:val="0095357C"/>
    <w:rsid w:val="00954D89"/>
    <w:rsid w:val="00955649"/>
    <w:rsid w:val="00962FBF"/>
    <w:rsid w:val="00963956"/>
    <w:rsid w:val="00965BB2"/>
    <w:rsid w:val="0097278B"/>
    <w:rsid w:val="00975BDC"/>
    <w:rsid w:val="009903F8"/>
    <w:rsid w:val="009A0C97"/>
    <w:rsid w:val="009A1DBF"/>
    <w:rsid w:val="009A324A"/>
    <w:rsid w:val="009A4D25"/>
    <w:rsid w:val="009B17EA"/>
    <w:rsid w:val="009B2E5E"/>
    <w:rsid w:val="009B34EA"/>
    <w:rsid w:val="009B371B"/>
    <w:rsid w:val="009B4FD1"/>
    <w:rsid w:val="009B60C1"/>
    <w:rsid w:val="009B7E30"/>
    <w:rsid w:val="009C1120"/>
    <w:rsid w:val="009C34DC"/>
    <w:rsid w:val="009C3799"/>
    <w:rsid w:val="009C52D2"/>
    <w:rsid w:val="009C605B"/>
    <w:rsid w:val="009C695E"/>
    <w:rsid w:val="009D1598"/>
    <w:rsid w:val="009D3C8B"/>
    <w:rsid w:val="009D4F3B"/>
    <w:rsid w:val="009D5ED1"/>
    <w:rsid w:val="009E04F2"/>
    <w:rsid w:val="009E0977"/>
    <w:rsid w:val="009E1FF8"/>
    <w:rsid w:val="009F3498"/>
    <w:rsid w:val="009F429F"/>
    <w:rsid w:val="009F4398"/>
    <w:rsid w:val="00A00832"/>
    <w:rsid w:val="00A01934"/>
    <w:rsid w:val="00A044FB"/>
    <w:rsid w:val="00A05C2D"/>
    <w:rsid w:val="00A06069"/>
    <w:rsid w:val="00A07C71"/>
    <w:rsid w:val="00A1109A"/>
    <w:rsid w:val="00A12BBA"/>
    <w:rsid w:val="00A1749E"/>
    <w:rsid w:val="00A215EF"/>
    <w:rsid w:val="00A2231F"/>
    <w:rsid w:val="00A2248C"/>
    <w:rsid w:val="00A25820"/>
    <w:rsid w:val="00A27101"/>
    <w:rsid w:val="00A3303C"/>
    <w:rsid w:val="00A3354D"/>
    <w:rsid w:val="00A3443A"/>
    <w:rsid w:val="00A44519"/>
    <w:rsid w:val="00A508F3"/>
    <w:rsid w:val="00A54C5E"/>
    <w:rsid w:val="00A555C2"/>
    <w:rsid w:val="00A66350"/>
    <w:rsid w:val="00A73A43"/>
    <w:rsid w:val="00A75361"/>
    <w:rsid w:val="00A803CC"/>
    <w:rsid w:val="00A84085"/>
    <w:rsid w:val="00A87236"/>
    <w:rsid w:val="00A90081"/>
    <w:rsid w:val="00A90550"/>
    <w:rsid w:val="00A93F1B"/>
    <w:rsid w:val="00A94DCD"/>
    <w:rsid w:val="00A95D1B"/>
    <w:rsid w:val="00AA04A9"/>
    <w:rsid w:val="00AA385E"/>
    <w:rsid w:val="00AA461D"/>
    <w:rsid w:val="00AA66EB"/>
    <w:rsid w:val="00AB3AA0"/>
    <w:rsid w:val="00AC35F6"/>
    <w:rsid w:val="00AC4E0B"/>
    <w:rsid w:val="00AC5ACB"/>
    <w:rsid w:val="00AC780A"/>
    <w:rsid w:val="00AC7F9D"/>
    <w:rsid w:val="00AD1A4C"/>
    <w:rsid w:val="00AD346E"/>
    <w:rsid w:val="00AD65B9"/>
    <w:rsid w:val="00AD7009"/>
    <w:rsid w:val="00AE0FB8"/>
    <w:rsid w:val="00AE3EF4"/>
    <w:rsid w:val="00AE57A7"/>
    <w:rsid w:val="00AE7EBB"/>
    <w:rsid w:val="00AF2B7E"/>
    <w:rsid w:val="00B02D7D"/>
    <w:rsid w:val="00B03D8A"/>
    <w:rsid w:val="00B04C49"/>
    <w:rsid w:val="00B04FD5"/>
    <w:rsid w:val="00B0653E"/>
    <w:rsid w:val="00B072F3"/>
    <w:rsid w:val="00B209D9"/>
    <w:rsid w:val="00B228E7"/>
    <w:rsid w:val="00B2463A"/>
    <w:rsid w:val="00B2585E"/>
    <w:rsid w:val="00B311DA"/>
    <w:rsid w:val="00B31EA0"/>
    <w:rsid w:val="00B3601B"/>
    <w:rsid w:val="00B3754D"/>
    <w:rsid w:val="00B40D26"/>
    <w:rsid w:val="00B42009"/>
    <w:rsid w:val="00B44E79"/>
    <w:rsid w:val="00B50DBA"/>
    <w:rsid w:val="00B51131"/>
    <w:rsid w:val="00B52E89"/>
    <w:rsid w:val="00B6006E"/>
    <w:rsid w:val="00B656C2"/>
    <w:rsid w:val="00B66F9D"/>
    <w:rsid w:val="00B7464D"/>
    <w:rsid w:val="00B7479E"/>
    <w:rsid w:val="00B7528C"/>
    <w:rsid w:val="00B824D0"/>
    <w:rsid w:val="00B8434B"/>
    <w:rsid w:val="00B87BA9"/>
    <w:rsid w:val="00B87E57"/>
    <w:rsid w:val="00B92A08"/>
    <w:rsid w:val="00B9512B"/>
    <w:rsid w:val="00B95954"/>
    <w:rsid w:val="00B959FF"/>
    <w:rsid w:val="00BA440B"/>
    <w:rsid w:val="00BA4891"/>
    <w:rsid w:val="00BA62E5"/>
    <w:rsid w:val="00BB65D5"/>
    <w:rsid w:val="00BC035E"/>
    <w:rsid w:val="00BC0435"/>
    <w:rsid w:val="00BD1EBE"/>
    <w:rsid w:val="00BD6888"/>
    <w:rsid w:val="00BD75A6"/>
    <w:rsid w:val="00BD764F"/>
    <w:rsid w:val="00BD7705"/>
    <w:rsid w:val="00BE1603"/>
    <w:rsid w:val="00BE3A74"/>
    <w:rsid w:val="00BE762E"/>
    <w:rsid w:val="00BF127D"/>
    <w:rsid w:val="00BF1FE1"/>
    <w:rsid w:val="00BF362D"/>
    <w:rsid w:val="00C01B48"/>
    <w:rsid w:val="00C025A1"/>
    <w:rsid w:val="00C03635"/>
    <w:rsid w:val="00C05913"/>
    <w:rsid w:val="00C05AD4"/>
    <w:rsid w:val="00C1125B"/>
    <w:rsid w:val="00C126B6"/>
    <w:rsid w:val="00C14220"/>
    <w:rsid w:val="00C1567F"/>
    <w:rsid w:val="00C17240"/>
    <w:rsid w:val="00C24F6A"/>
    <w:rsid w:val="00C267CA"/>
    <w:rsid w:val="00C26FC8"/>
    <w:rsid w:val="00C277A6"/>
    <w:rsid w:val="00C305A4"/>
    <w:rsid w:val="00C36098"/>
    <w:rsid w:val="00C3680E"/>
    <w:rsid w:val="00C37DB3"/>
    <w:rsid w:val="00C41D58"/>
    <w:rsid w:val="00C44F5F"/>
    <w:rsid w:val="00C45A27"/>
    <w:rsid w:val="00C4639E"/>
    <w:rsid w:val="00C52130"/>
    <w:rsid w:val="00C56A19"/>
    <w:rsid w:val="00C57CC8"/>
    <w:rsid w:val="00C635F9"/>
    <w:rsid w:val="00C64B44"/>
    <w:rsid w:val="00C6634B"/>
    <w:rsid w:val="00C85135"/>
    <w:rsid w:val="00C912E0"/>
    <w:rsid w:val="00C9389C"/>
    <w:rsid w:val="00C94FB7"/>
    <w:rsid w:val="00C953AA"/>
    <w:rsid w:val="00C96451"/>
    <w:rsid w:val="00C96E9C"/>
    <w:rsid w:val="00C96EF1"/>
    <w:rsid w:val="00C9760A"/>
    <w:rsid w:val="00C978A4"/>
    <w:rsid w:val="00CA2E8C"/>
    <w:rsid w:val="00CA527C"/>
    <w:rsid w:val="00CB1790"/>
    <w:rsid w:val="00CB1907"/>
    <w:rsid w:val="00CB1FDE"/>
    <w:rsid w:val="00CB64C3"/>
    <w:rsid w:val="00CC2103"/>
    <w:rsid w:val="00CC24E1"/>
    <w:rsid w:val="00CC6A30"/>
    <w:rsid w:val="00CD604D"/>
    <w:rsid w:val="00CD6464"/>
    <w:rsid w:val="00CD69B2"/>
    <w:rsid w:val="00CD7FB1"/>
    <w:rsid w:val="00CE4BC1"/>
    <w:rsid w:val="00CF7AB8"/>
    <w:rsid w:val="00D01C37"/>
    <w:rsid w:val="00D03CDD"/>
    <w:rsid w:val="00D05333"/>
    <w:rsid w:val="00D0709E"/>
    <w:rsid w:val="00D07ABC"/>
    <w:rsid w:val="00D1299D"/>
    <w:rsid w:val="00D15F94"/>
    <w:rsid w:val="00D16EB7"/>
    <w:rsid w:val="00D225AF"/>
    <w:rsid w:val="00D23789"/>
    <w:rsid w:val="00D3055B"/>
    <w:rsid w:val="00D3079A"/>
    <w:rsid w:val="00D31021"/>
    <w:rsid w:val="00D32102"/>
    <w:rsid w:val="00D34475"/>
    <w:rsid w:val="00D356DB"/>
    <w:rsid w:val="00D35A48"/>
    <w:rsid w:val="00D3601A"/>
    <w:rsid w:val="00D36020"/>
    <w:rsid w:val="00D412FE"/>
    <w:rsid w:val="00D54311"/>
    <w:rsid w:val="00D575ED"/>
    <w:rsid w:val="00D61CF1"/>
    <w:rsid w:val="00D630EF"/>
    <w:rsid w:val="00D67B4C"/>
    <w:rsid w:val="00D711A6"/>
    <w:rsid w:val="00D75A90"/>
    <w:rsid w:val="00D80E96"/>
    <w:rsid w:val="00D813C2"/>
    <w:rsid w:val="00D815C2"/>
    <w:rsid w:val="00D82DA6"/>
    <w:rsid w:val="00D8357D"/>
    <w:rsid w:val="00D86FA6"/>
    <w:rsid w:val="00D97149"/>
    <w:rsid w:val="00D97601"/>
    <w:rsid w:val="00DB191C"/>
    <w:rsid w:val="00DB5218"/>
    <w:rsid w:val="00DC4E47"/>
    <w:rsid w:val="00DC53C8"/>
    <w:rsid w:val="00DD2F36"/>
    <w:rsid w:val="00DD3BB1"/>
    <w:rsid w:val="00DD61FA"/>
    <w:rsid w:val="00DE10DC"/>
    <w:rsid w:val="00DE157E"/>
    <w:rsid w:val="00DE2E77"/>
    <w:rsid w:val="00DE664D"/>
    <w:rsid w:val="00DE74BC"/>
    <w:rsid w:val="00DF24DE"/>
    <w:rsid w:val="00DF2829"/>
    <w:rsid w:val="00DF5E51"/>
    <w:rsid w:val="00DF72EE"/>
    <w:rsid w:val="00E026BF"/>
    <w:rsid w:val="00E0542E"/>
    <w:rsid w:val="00E1053A"/>
    <w:rsid w:val="00E12F9A"/>
    <w:rsid w:val="00E16112"/>
    <w:rsid w:val="00E17B55"/>
    <w:rsid w:val="00E25C89"/>
    <w:rsid w:val="00E2653E"/>
    <w:rsid w:val="00E272A6"/>
    <w:rsid w:val="00E27CE8"/>
    <w:rsid w:val="00E35954"/>
    <w:rsid w:val="00E373B1"/>
    <w:rsid w:val="00E428A6"/>
    <w:rsid w:val="00E45D8C"/>
    <w:rsid w:val="00E46512"/>
    <w:rsid w:val="00E4690D"/>
    <w:rsid w:val="00E5202B"/>
    <w:rsid w:val="00E52CA5"/>
    <w:rsid w:val="00E53225"/>
    <w:rsid w:val="00E5345D"/>
    <w:rsid w:val="00E56A05"/>
    <w:rsid w:val="00E57FB2"/>
    <w:rsid w:val="00E63C17"/>
    <w:rsid w:val="00E665ED"/>
    <w:rsid w:val="00E66712"/>
    <w:rsid w:val="00E847AA"/>
    <w:rsid w:val="00E8662E"/>
    <w:rsid w:val="00E870AC"/>
    <w:rsid w:val="00E90775"/>
    <w:rsid w:val="00E90891"/>
    <w:rsid w:val="00E917DE"/>
    <w:rsid w:val="00EA079C"/>
    <w:rsid w:val="00EA3CEE"/>
    <w:rsid w:val="00EA5518"/>
    <w:rsid w:val="00EA5A22"/>
    <w:rsid w:val="00EA5DFF"/>
    <w:rsid w:val="00EB2AA2"/>
    <w:rsid w:val="00EB4494"/>
    <w:rsid w:val="00EB6D5C"/>
    <w:rsid w:val="00EC4430"/>
    <w:rsid w:val="00ED013B"/>
    <w:rsid w:val="00ED1528"/>
    <w:rsid w:val="00ED2845"/>
    <w:rsid w:val="00ED736D"/>
    <w:rsid w:val="00ED7B66"/>
    <w:rsid w:val="00EE067D"/>
    <w:rsid w:val="00EE0E23"/>
    <w:rsid w:val="00EE194E"/>
    <w:rsid w:val="00EE37E7"/>
    <w:rsid w:val="00EE3D4C"/>
    <w:rsid w:val="00EE4163"/>
    <w:rsid w:val="00EE5C20"/>
    <w:rsid w:val="00EF07F9"/>
    <w:rsid w:val="00EF16A4"/>
    <w:rsid w:val="00EF1E26"/>
    <w:rsid w:val="00EF35D4"/>
    <w:rsid w:val="00EF4C8F"/>
    <w:rsid w:val="00EF7DBE"/>
    <w:rsid w:val="00F01B33"/>
    <w:rsid w:val="00F027A9"/>
    <w:rsid w:val="00F03DBD"/>
    <w:rsid w:val="00F04A92"/>
    <w:rsid w:val="00F06E9A"/>
    <w:rsid w:val="00F137F5"/>
    <w:rsid w:val="00F13F18"/>
    <w:rsid w:val="00F1765B"/>
    <w:rsid w:val="00F206C9"/>
    <w:rsid w:val="00F231BB"/>
    <w:rsid w:val="00F24164"/>
    <w:rsid w:val="00F24B14"/>
    <w:rsid w:val="00F27A8C"/>
    <w:rsid w:val="00F30038"/>
    <w:rsid w:val="00F3181C"/>
    <w:rsid w:val="00F359E8"/>
    <w:rsid w:val="00F40187"/>
    <w:rsid w:val="00F451B9"/>
    <w:rsid w:val="00F45EB1"/>
    <w:rsid w:val="00F533C8"/>
    <w:rsid w:val="00F56B8E"/>
    <w:rsid w:val="00F56F2F"/>
    <w:rsid w:val="00F61D7D"/>
    <w:rsid w:val="00F6408D"/>
    <w:rsid w:val="00F65AA6"/>
    <w:rsid w:val="00F6613F"/>
    <w:rsid w:val="00F66FC4"/>
    <w:rsid w:val="00F731B3"/>
    <w:rsid w:val="00F76F1A"/>
    <w:rsid w:val="00F80153"/>
    <w:rsid w:val="00F80379"/>
    <w:rsid w:val="00F80B85"/>
    <w:rsid w:val="00F859E2"/>
    <w:rsid w:val="00F86EA9"/>
    <w:rsid w:val="00F87E21"/>
    <w:rsid w:val="00F912B3"/>
    <w:rsid w:val="00F95B1D"/>
    <w:rsid w:val="00FA0694"/>
    <w:rsid w:val="00FA0F39"/>
    <w:rsid w:val="00FA1B1A"/>
    <w:rsid w:val="00FA2018"/>
    <w:rsid w:val="00FA23AF"/>
    <w:rsid w:val="00FA4C53"/>
    <w:rsid w:val="00FB0BAA"/>
    <w:rsid w:val="00FB5E9A"/>
    <w:rsid w:val="00FC1188"/>
    <w:rsid w:val="00FC166B"/>
    <w:rsid w:val="00FC1D8C"/>
    <w:rsid w:val="00FC43E1"/>
    <w:rsid w:val="00FD445B"/>
    <w:rsid w:val="00FE1981"/>
    <w:rsid w:val="00FF0424"/>
    <w:rsid w:val="00FF07E9"/>
    <w:rsid w:val="00FF247F"/>
    <w:rsid w:val="00FF3725"/>
    <w:rsid w:val="00FF50B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stroke weight="0" endcap="round"/>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sid w:val="00382C0F"/>
    <w:rPr>
      <w:sz w:val="24"/>
      <w:szCs w:val="24"/>
      <w:lang w:val="en-US" w:eastAsia="en-US"/>
    </w:rPr>
  </w:style>
  <w:style w:type="paragraph" w:styleId="Ttulo1">
    <w:name w:val="heading 1"/>
    <w:basedOn w:val="Normal"/>
    <w:next w:val="Normal"/>
    <w:link w:val="Ttulo1Car"/>
    <w:qFormat/>
    <w:locked/>
    <w:rsid w:val="00B656C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semiHidden/>
    <w:unhideWhenUsed/>
    <w:qFormat/>
    <w:locked/>
    <w:rsid w:val="00B656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semiHidden/>
    <w:unhideWhenUsed/>
    <w:qFormat/>
    <w:locked/>
    <w:rsid w:val="00B656C2"/>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ody1">
    <w:name w:val="Body 1"/>
    <w:rsid w:val="00382C0F"/>
    <w:rPr>
      <w:rFonts w:ascii="Helvetica" w:eastAsia="Arial Unicode MS" w:hAnsi="Helvetica"/>
      <w:color w:val="000000"/>
      <w:sz w:val="24"/>
    </w:rPr>
  </w:style>
  <w:style w:type="paragraph" w:customStyle="1" w:styleId="Vieta">
    <w:name w:val="Viñeta"/>
    <w:rsid w:val="00382C0F"/>
    <w:pPr>
      <w:tabs>
        <w:tab w:val="num" w:pos="180"/>
      </w:tabs>
      <w:ind w:left="180"/>
    </w:pPr>
  </w:style>
  <w:style w:type="paragraph" w:styleId="Textonotaalfinal">
    <w:name w:val="endnote text"/>
    <w:basedOn w:val="Normal"/>
    <w:link w:val="TextonotaalfinalCar"/>
    <w:locked/>
    <w:rsid w:val="00490381"/>
    <w:rPr>
      <w:sz w:val="20"/>
      <w:szCs w:val="20"/>
    </w:rPr>
  </w:style>
  <w:style w:type="character" w:customStyle="1" w:styleId="TextonotaalfinalCar">
    <w:name w:val="Texto nota al final Car"/>
    <w:basedOn w:val="Fuentedeprrafopredeter"/>
    <w:link w:val="Textonotaalfinal"/>
    <w:rsid w:val="00490381"/>
    <w:rPr>
      <w:lang w:val="en-US" w:eastAsia="en-US"/>
    </w:rPr>
  </w:style>
  <w:style w:type="character" w:styleId="Refdenotaalfinal">
    <w:name w:val="endnote reference"/>
    <w:basedOn w:val="Fuentedeprrafopredeter"/>
    <w:locked/>
    <w:rsid w:val="00490381"/>
    <w:rPr>
      <w:vertAlign w:val="superscript"/>
    </w:rPr>
  </w:style>
  <w:style w:type="paragraph" w:styleId="Textonotapie">
    <w:name w:val="footnote text"/>
    <w:basedOn w:val="Normal"/>
    <w:link w:val="TextonotapieCar"/>
    <w:uiPriority w:val="99"/>
    <w:locked/>
    <w:rsid w:val="00490381"/>
    <w:rPr>
      <w:sz w:val="20"/>
      <w:szCs w:val="20"/>
    </w:rPr>
  </w:style>
  <w:style w:type="character" w:customStyle="1" w:styleId="TextonotapieCar">
    <w:name w:val="Texto nota pie Car"/>
    <w:basedOn w:val="Fuentedeprrafopredeter"/>
    <w:link w:val="Textonotapie"/>
    <w:uiPriority w:val="99"/>
    <w:rsid w:val="00490381"/>
    <w:rPr>
      <w:lang w:val="en-US" w:eastAsia="en-US"/>
    </w:rPr>
  </w:style>
  <w:style w:type="character" w:styleId="Refdenotaalpie">
    <w:name w:val="footnote reference"/>
    <w:basedOn w:val="Fuentedeprrafopredeter"/>
    <w:uiPriority w:val="99"/>
    <w:locked/>
    <w:rsid w:val="00490381"/>
    <w:rPr>
      <w:vertAlign w:val="superscript"/>
    </w:rPr>
  </w:style>
  <w:style w:type="character" w:styleId="Hipervnculo">
    <w:name w:val="Hyperlink"/>
    <w:basedOn w:val="Fuentedeprrafopredeter"/>
    <w:uiPriority w:val="99"/>
    <w:locked/>
    <w:rsid w:val="00D61CF1"/>
    <w:rPr>
      <w:color w:val="0000FF" w:themeColor="hyperlink"/>
      <w:u w:val="single"/>
    </w:rPr>
  </w:style>
  <w:style w:type="numbering" w:customStyle="1" w:styleId="Sinlista1">
    <w:name w:val="Sin lista1"/>
    <w:next w:val="Sinlista"/>
    <w:uiPriority w:val="99"/>
    <w:semiHidden/>
    <w:unhideWhenUsed/>
    <w:rsid w:val="008F2951"/>
  </w:style>
  <w:style w:type="paragraph" w:styleId="Prrafodelista">
    <w:name w:val="List Paragraph"/>
    <w:basedOn w:val="Normal"/>
    <w:uiPriority w:val="34"/>
    <w:qFormat/>
    <w:rsid w:val="008F2951"/>
    <w:pPr>
      <w:spacing w:before="20" w:line="360" w:lineRule="auto"/>
      <w:ind w:firstLine="708"/>
      <w:contextualSpacing/>
      <w:jc w:val="both"/>
      <w:outlineLvl w:val="0"/>
    </w:pPr>
    <w:rPr>
      <w:rFonts w:ascii="Arial" w:eastAsia="Arial Unicode MS" w:hAnsi="Arial Unicode MS"/>
      <w:sz w:val="22"/>
      <w:u w:color="000000"/>
      <w:lang w:val="es-ES_tradnl"/>
    </w:rPr>
  </w:style>
  <w:style w:type="numbering" w:customStyle="1" w:styleId="Sinlista2">
    <w:name w:val="Sin lista2"/>
    <w:next w:val="Sinlista"/>
    <w:uiPriority w:val="99"/>
    <w:semiHidden/>
    <w:unhideWhenUsed/>
    <w:rsid w:val="008F2951"/>
  </w:style>
  <w:style w:type="table" w:styleId="Tablaconcuadrcula">
    <w:name w:val="Table Grid"/>
    <w:basedOn w:val="Tablanormal"/>
    <w:uiPriority w:val="59"/>
    <w:locked/>
    <w:rsid w:val="008F2951"/>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inespaciado">
    <w:name w:val="No Spacing"/>
    <w:uiPriority w:val="1"/>
    <w:qFormat/>
    <w:rsid w:val="00B66F9D"/>
    <w:rPr>
      <w:sz w:val="24"/>
      <w:szCs w:val="24"/>
      <w:lang w:val="en-US" w:eastAsia="en-US"/>
    </w:rPr>
  </w:style>
  <w:style w:type="paragraph" w:styleId="TDC1">
    <w:name w:val="toc 1"/>
    <w:basedOn w:val="Normal"/>
    <w:next w:val="Normal"/>
    <w:autoRedefine/>
    <w:uiPriority w:val="39"/>
    <w:locked/>
    <w:rsid w:val="00B656C2"/>
    <w:pPr>
      <w:spacing w:after="100"/>
    </w:pPr>
  </w:style>
  <w:style w:type="paragraph" w:styleId="TDC2">
    <w:name w:val="toc 2"/>
    <w:basedOn w:val="Normal"/>
    <w:next w:val="Normal"/>
    <w:autoRedefine/>
    <w:uiPriority w:val="39"/>
    <w:locked/>
    <w:rsid w:val="00C45A27"/>
    <w:pPr>
      <w:tabs>
        <w:tab w:val="left" w:pos="880"/>
        <w:tab w:val="right" w:leader="dot" w:pos="8777"/>
      </w:tabs>
      <w:spacing w:after="100" w:line="360" w:lineRule="auto"/>
      <w:ind w:left="240"/>
    </w:pPr>
  </w:style>
  <w:style w:type="paragraph" w:styleId="TDC3">
    <w:name w:val="toc 3"/>
    <w:basedOn w:val="Normal"/>
    <w:next w:val="Normal"/>
    <w:autoRedefine/>
    <w:uiPriority w:val="39"/>
    <w:locked/>
    <w:rsid w:val="00B656C2"/>
    <w:pPr>
      <w:spacing w:after="100"/>
      <w:ind w:left="480"/>
    </w:pPr>
  </w:style>
  <w:style w:type="paragraph" w:styleId="TDC4">
    <w:name w:val="toc 4"/>
    <w:basedOn w:val="Normal"/>
    <w:next w:val="Normal"/>
    <w:autoRedefine/>
    <w:uiPriority w:val="39"/>
    <w:unhideWhenUsed/>
    <w:locked/>
    <w:rsid w:val="00B656C2"/>
    <w:pPr>
      <w:spacing w:after="100" w:line="276" w:lineRule="auto"/>
      <w:ind w:left="660"/>
    </w:pPr>
    <w:rPr>
      <w:rFonts w:asciiTheme="minorHAnsi" w:eastAsiaTheme="minorEastAsia" w:hAnsiTheme="minorHAnsi" w:cstheme="minorBidi"/>
      <w:sz w:val="22"/>
      <w:szCs w:val="22"/>
      <w:lang w:val="es-ES" w:eastAsia="es-ES"/>
    </w:rPr>
  </w:style>
  <w:style w:type="paragraph" w:styleId="TDC5">
    <w:name w:val="toc 5"/>
    <w:basedOn w:val="Normal"/>
    <w:next w:val="Normal"/>
    <w:autoRedefine/>
    <w:uiPriority w:val="39"/>
    <w:unhideWhenUsed/>
    <w:locked/>
    <w:rsid w:val="00B656C2"/>
    <w:pPr>
      <w:spacing w:after="100" w:line="276" w:lineRule="auto"/>
      <w:ind w:left="880"/>
    </w:pPr>
    <w:rPr>
      <w:rFonts w:asciiTheme="minorHAnsi" w:eastAsiaTheme="minorEastAsia" w:hAnsiTheme="minorHAnsi" w:cstheme="minorBidi"/>
      <w:sz w:val="22"/>
      <w:szCs w:val="22"/>
      <w:lang w:val="es-ES" w:eastAsia="es-ES"/>
    </w:rPr>
  </w:style>
  <w:style w:type="paragraph" w:styleId="TDC6">
    <w:name w:val="toc 6"/>
    <w:basedOn w:val="Normal"/>
    <w:next w:val="Normal"/>
    <w:autoRedefine/>
    <w:uiPriority w:val="39"/>
    <w:unhideWhenUsed/>
    <w:locked/>
    <w:rsid w:val="00B656C2"/>
    <w:pPr>
      <w:spacing w:after="100" w:line="276" w:lineRule="auto"/>
      <w:ind w:left="1100"/>
    </w:pPr>
    <w:rPr>
      <w:rFonts w:asciiTheme="minorHAnsi" w:eastAsiaTheme="minorEastAsia" w:hAnsiTheme="minorHAnsi" w:cstheme="minorBidi"/>
      <w:sz w:val="22"/>
      <w:szCs w:val="22"/>
      <w:lang w:val="es-ES" w:eastAsia="es-ES"/>
    </w:rPr>
  </w:style>
  <w:style w:type="paragraph" w:styleId="TDC7">
    <w:name w:val="toc 7"/>
    <w:basedOn w:val="Normal"/>
    <w:next w:val="Normal"/>
    <w:autoRedefine/>
    <w:uiPriority w:val="39"/>
    <w:unhideWhenUsed/>
    <w:locked/>
    <w:rsid w:val="00B656C2"/>
    <w:pPr>
      <w:spacing w:after="100" w:line="276" w:lineRule="auto"/>
      <w:ind w:left="1320"/>
    </w:pPr>
    <w:rPr>
      <w:rFonts w:asciiTheme="minorHAnsi" w:eastAsiaTheme="minorEastAsia" w:hAnsiTheme="minorHAnsi" w:cstheme="minorBidi"/>
      <w:sz w:val="22"/>
      <w:szCs w:val="22"/>
      <w:lang w:val="es-ES" w:eastAsia="es-ES"/>
    </w:rPr>
  </w:style>
  <w:style w:type="paragraph" w:styleId="TDC8">
    <w:name w:val="toc 8"/>
    <w:basedOn w:val="Normal"/>
    <w:next w:val="Normal"/>
    <w:autoRedefine/>
    <w:uiPriority w:val="39"/>
    <w:unhideWhenUsed/>
    <w:locked/>
    <w:rsid w:val="00B656C2"/>
    <w:pPr>
      <w:spacing w:after="100" w:line="276" w:lineRule="auto"/>
      <w:ind w:left="1540"/>
    </w:pPr>
    <w:rPr>
      <w:rFonts w:asciiTheme="minorHAnsi" w:eastAsiaTheme="minorEastAsia" w:hAnsiTheme="minorHAnsi" w:cstheme="minorBidi"/>
      <w:sz w:val="22"/>
      <w:szCs w:val="22"/>
      <w:lang w:val="es-ES" w:eastAsia="es-ES"/>
    </w:rPr>
  </w:style>
  <w:style w:type="paragraph" w:styleId="TDC9">
    <w:name w:val="toc 9"/>
    <w:basedOn w:val="Normal"/>
    <w:next w:val="Normal"/>
    <w:autoRedefine/>
    <w:uiPriority w:val="39"/>
    <w:unhideWhenUsed/>
    <w:locked/>
    <w:rsid w:val="00B656C2"/>
    <w:pPr>
      <w:spacing w:after="100" w:line="276" w:lineRule="auto"/>
      <w:ind w:left="1760"/>
    </w:pPr>
    <w:rPr>
      <w:rFonts w:asciiTheme="minorHAnsi" w:eastAsiaTheme="minorEastAsia" w:hAnsiTheme="minorHAnsi" w:cstheme="minorBidi"/>
      <w:sz w:val="22"/>
      <w:szCs w:val="22"/>
      <w:lang w:val="es-ES" w:eastAsia="es-ES"/>
    </w:rPr>
  </w:style>
  <w:style w:type="character" w:customStyle="1" w:styleId="Ttulo1Car">
    <w:name w:val="Título 1 Car"/>
    <w:basedOn w:val="Fuentedeprrafopredeter"/>
    <w:link w:val="Ttulo1"/>
    <w:rsid w:val="00B656C2"/>
    <w:rPr>
      <w:rFonts w:asciiTheme="majorHAnsi" w:eastAsiaTheme="majorEastAsia" w:hAnsiTheme="majorHAnsi" w:cstheme="majorBidi"/>
      <w:b/>
      <w:bCs/>
      <w:color w:val="365F91" w:themeColor="accent1" w:themeShade="BF"/>
      <w:sz w:val="28"/>
      <w:szCs w:val="28"/>
      <w:lang w:val="en-US" w:eastAsia="en-US"/>
    </w:rPr>
  </w:style>
  <w:style w:type="character" w:customStyle="1" w:styleId="Ttulo2Car">
    <w:name w:val="Título 2 Car"/>
    <w:basedOn w:val="Fuentedeprrafopredeter"/>
    <w:link w:val="Ttulo2"/>
    <w:semiHidden/>
    <w:rsid w:val="00B656C2"/>
    <w:rPr>
      <w:rFonts w:asciiTheme="majorHAnsi" w:eastAsiaTheme="majorEastAsia" w:hAnsiTheme="majorHAnsi" w:cstheme="majorBidi"/>
      <w:b/>
      <w:bCs/>
      <w:color w:val="4F81BD" w:themeColor="accent1"/>
      <w:sz w:val="26"/>
      <w:szCs w:val="26"/>
      <w:lang w:val="en-US" w:eastAsia="en-US"/>
    </w:rPr>
  </w:style>
  <w:style w:type="character" w:customStyle="1" w:styleId="Ttulo3Car">
    <w:name w:val="Título 3 Car"/>
    <w:basedOn w:val="Fuentedeprrafopredeter"/>
    <w:link w:val="Ttulo3"/>
    <w:semiHidden/>
    <w:rsid w:val="00B656C2"/>
    <w:rPr>
      <w:rFonts w:asciiTheme="majorHAnsi" w:eastAsiaTheme="majorEastAsia" w:hAnsiTheme="majorHAnsi" w:cstheme="majorBidi"/>
      <w:b/>
      <w:bCs/>
      <w:color w:val="4F81BD" w:themeColor="accent1"/>
      <w:sz w:val="24"/>
      <w:szCs w:val="24"/>
      <w:lang w:val="en-US" w:eastAsia="en-US"/>
    </w:rPr>
  </w:style>
  <w:style w:type="paragraph" w:styleId="Piedepgina">
    <w:name w:val="footer"/>
    <w:basedOn w:val="Normal"/>
    <w:link w:val="PiedepginaCar"/>
    <w:uiPriority w:val="99"/>
    <w:unhideWhenUsed/>
    <w:locked/>
    <w:rsid w:val="002F4320"/>
    <w:pPr>
      <w:tabs>
        <w:tab w:val="center" w:pos="4513"/>
        <w:tab w:val="right" w:pos="9026"/>
      </w:tabs>
    </w:pPr>
    <w:rPr>
      <w:rFonts w:asciiTheme="minorHAnsi" w:eastAsiaTheme="minorEastAsia" w:hAnsiTheme="minorHAnsi" w:cstheme="minorBidi"/>
      <w:sz w:val="22"/>
      <w:szCs w:val="22"/>
      <w:lang w:val="es-EC" w:eastAsia="es-EC"/>
    </w:rPr>
  </w:style>
  <w:style w:type="character" w:customStyle="1" w:styleId="PiedepginaCar">
    <w:name w:val="Pie de página Car"/>
    <w:basedOn w:val="Fuentedeprrafopredeter"/>
    <w:link w:val="Piedepgina"/>
    <w:uiPriority w:val="99"/>
    <w:rsid w:val="002F4320"/>
    <w:rPr>
      <w:rFonts w:asciiTheme="minorHAnsi" w:eastAsiaTheme="minorEastAsia" w:hAnsiTheme="minorHAnsi" w:cstheme="minorBidi"/>
      <w:sz w:val="22"/>
      <w:szCs w:val="22"/>
      <w:lang w:val="es-EC" w:eastAsia="es-EC"/>
    </w:rPr>
  </w:style>
  <w:style w:type="paragraph" w:styleId="Encabezado">
    <w:name w:val="header"/>
    <w:basedOn w:val="Normal"/>
    <w:link w:val="EncabezadoCar"/>
    <w:locked/>
    <w:rsid w:val="00D75A90"/>
    <w:pPr>
      <w:tabs>
        <w:tab w:val="center" w:pos="4252"/>
        <w:tab w:val="right" w:pos="8504"/>
      </w:tabs>
    </w:pPr>
  </w:style>
  <w:style w:type="character" w:customStyle="1" w:styleId="EncabezadoCar">
    <w:name w:val="Encabezado Car"/>
    <w:basedOn w:val="Fuentedeprrafopredeter"/>
    <w:link w:val="Encabezado"/>
    <w:rsid w:val="00D75A90"/>
    <w:rPr>
      <w:sz w:val="24"/>
      <w:szCs w:val="24"/>
      <w:lang w:val="en-US" w:eastAsia="en-US"/>
    </w:rPr>
  </w:style>
  <w:style w:type="paragraph" w:styleId="Textodeglobo">
    <w:name w:val="Balloon Text"/>
    <w:basedOn w:val="Normal"/>
    <w:link w:val="TextodegloboCar"/>
    <w:locked/>
    <w:rsid w:val="0013022F"/>
    <w:rPr>
      <w:rFonts w:ascii="Tahoma" w:hAnsi="Tahoma" w:cs="Tahoma"/>
      <w:sz w:val="16"/>
      <w:szCs w:val="16"/>
    </w:rPr>
  </w:style>
  <w:style w:type="character" w:customStyle="1" w:styleId="TextodegloboCar">
    <w:name w:val="Texto de globo Car"/>
    <w:basedOn w:val="Fuentedeprrafopredeter"/>
    <w:link w:val="Textodeglobo"/>
    <w:rsid w:val="0013022F"/>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sid w:val="00382C0F"/>
    <w:rPr>
      <w:sz w:val="24"/>
      <w:szCs w:val="24"/>
      <w:lang w:val="en-US" w:eastAsia="en-US"/>
    </w:rPr>
  </w:style>
  <w:style w:type="paragraph" w:styleId="Ttulo1">
    <w:name w:val="heading 1"/>
    <w:basedOn w:val="Normal"/>
    <w:next w:val="Normal"/>
    <w:link w:val="Ttulo1Car"/>
    <w:qFormat/>
    <w:locked/>
    <w:rsid w:val="00B656C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semiHidden/>
    <w:unhideWhenUsed/>
    <w:qFormat/>
    <w:locked/>
    <w:rsid w:val="00B656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semiHidden/>
    <w:unhideWhenUsed/>
    <w:qFormat/>
    <w:locked/>
    <w:rsid w:val="00B656C2"/>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ody1">
    <w:name w:val="Body 1"/>
    <w:rsid w:val="00382C0F"/>
    <w:rPr>
      <w:rFonts w:ascii="Helvetica" w:eastAsia="Arial Unicode MS" w:hAnsi="Helvetica"/>
      <w:color w:val="000000"/>
      <w:sz w:val="24"/>
    </w:rPr>
  </w:style>
  <w:style w:type="paragraph" w:customStyle="1" w:styleId="Vieta">
    <w:name w:val="Viñeta"/>
    <w:rsid w:val="00382C0F"/>
    <w:pPr>
      <w:tabs>
        <w:tab w:val="num" w:pos="180"/>
      </w:tabs>
      <w:ind w:left="180"/>
    </w:pPr>
  </w:style>
  <w:style w:type="paragraph" w:styleId="Textonotaalfinal">
    <w:name w:val="endnote text"/>
    <w:basedOn w:val="Normal"/>
    <w:link w:val="TextonotaalfinalCar"/>
    <w:locked/>
    <w:rsid w:val="00490381"/>
    <w:rPr>
      <w:sz w:val="20"/>
      <w:szCs w:val="20"/>
    </w:rPr>
  </w:style>
  <w:style w:type="character" w:customStyle="1" w:styleId="TextonotaalfinalCar">
    <w:name w:val="Texto nota al final Car"/>
    <w:basedOn w:val="Fuentedeprrafopredeter"/>
    <w:link w:val="Textonotaalfinal"/>
    <w:rsid w:val="00490381"/>
    <w:rPr>
      <w:lang w:val="en-US" w:eastAsia="en-US"/>
    </w:rPr>
  </w:style>
  <w:style w:type="character" w:styleId="Refdenotaalfinal">
    <w:name w:val="endnote reference"/>
    <w:basedOn w:val="Fuentedeprrafopredeter"/>
    <w:locked/>
    <w:rsid w:val="00490381"/>
    <w:rPr>
      <w:vertAlign w:val="superscript"/>
    </w:rPr>
  </w:style>
  <w:style w:type="paragraph" w:styleId="Textonotapie">
    <w:name w:val="footnote text"/>
    <w:basedOn w:val="Normal"/>
    <w:link w:val="TextonotapieCar"/>
    <w:uiPriority w:val="99"/>
    <w:locked/>
    <w:rsid w:val="00490381"/>
    <w:rPr>
      <w:sz w:val="20"/>
      <w:szCs w:val="20"/>
    </w:rPr>
  </w:style>
  <w:style w:type="character" w:customStyle="1" w:styleId="TextonotapieCar">
    <w:name w:val="Texto nota pie Car"/>
    <w:basedOn w:val="Fuentedeprrafopredeter"/>
    <w:link w:val="Textonotapie"/>
    <w:uiPriority w:val="99"/>
    <w:rsid w:val="00490381"/>
    <w:rPr>
      <w:lang w:val="en-US" w:eastAsia="en-US"/>
    </w:rPr>
  </w:style>
  <w:style w:type="character" w:styleId="Refdenotaalpie">
    <w:name w:val="footnote reference"/>
    <w:basedOn w:val="Fuentedeprrafopredeter"/>
    <w:uiPriority w:val="99"/>
    <w:locked/>
    <w:rsid w:val="00490381"/>
    <w:rPr>
      <w:vertAlign w:val="superscript"/>
    </w:rPr>
  </w:style>
  <w:style w:type="character" w:styleId="Hipervnculo">
    <w:name w:val="Hyperlink"/>
    <w:basedOn w:val="Fuentedeprrafopredeter"/>
    <w:uiPriority w:val="99"/>
    <w:locked/>
    <w:rsid w:val="00D61CF1"/>
    <w:rPr>
      <w:color w:val="0000FF" w:themeColor="hyperlink"/>
      <w:u w:val="single"/>
    </w:rPr>
  </w:style>
  <w:style w:type="numbering" w:customStyle="1" w:styleId="Sinlista1">
    <w:name w:val="Sin lista1"/>
    <w:next w:val="Sinlista"/>
    <w:uiPriority w:val="99"/>
    <w:semiHidden/>
    <w:unhideWhenUsed/>
    <w:rsid w:val="008F2951"/>
  </w:style>
  <w:style w:type="paragraph" w:styleId="Prrafodelista">
    <w:name w:val="List Paragraph"/>
    <w:basedOn w:val="Normal"/>
    <w:uiPriority w:val="34"/>
    <w:qFormat/>
    <w:rsid w:val="008F2951"/>
    <w:pPr>
      <w:spacing w:before="20" w:line="360" w:lineRule="auto"/>
      <w:ind w:firstLine="708"/>
      <w:contextualSpacing/>
      <w:jc w:val="both"/>
      <w:outlineLvl w:val="0"/>
    </w:pPr>
    <w:rPr>
      <w:rFonts w:ascii="Arial" w:eastAsia="Arial Unicode MS" w:hAnsi="Arial Unicode MS"/>
      <w:sz w:val="22"/>
      <w:u w:color="000000"/>
      <w:lang w:val="es-ES_tradnl"/>
    </w:rPr>
  </w:style>
  <w:style w:type="numbering" w:customStyle="1" w:styleId="Sinlista2">
    <w:name w:val="Sin lista2"/>
    <w:next w:val="Sinlista"/>
    <w:uiPriority w:val="99"/>
    <w:semiHidden/>
    <w:unhideWhenUsed/>
    <w:rsid w:val="008F2951"/>
  </w:style>
  <w:style w:type="table" w:styleId="Tablaconcuadrcula">
    <w:name w:val="Table Grid"/>
    <w:basedOn w:val="Tablanormal"/>
    <w:uiPriority w:val="59"/>
    <w:locked/>
    <w:rsid w:val="008F2951"/>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inespaciado">
    <w:name w:val="No Spacing"/>
    <w:uiPriority w:val="1"/>
    <w:qFormat/>
    <w:rsid w:val="00B66F9D"/>
    <w:rPr>
      <w:sz w:val="24"/>
      <w:szCs w:val="24"/>
      <w:lang w:val="en-US" w:eastAsia="en-US"/>
    </w:rPr>
  </w:style>
  <w:style w:type="paragraph" w:styleId="TDC1">
    <w:name w:val="toc 1"/>
    <w:basedOn w:val="Normal"/>
    <w:next w:val="Normal"/>
    <w:autoRedefine/>
    <w:uiPriority w:val="39"/>
    <w:locked/>
    <w:rsid w:val="00B656C2"/>
    <w:pPr>
      <w:spacing w:after="100"/>
    </w:pPr>
  </w:style>
  <w:style w:type="paragraph" w:styleId="TDC2">
    <w:name w:val="toc 2"/>
    <w:basedOn w:val="Normal"/>
    <w:next w:val="Normal"/>
    <w:autoRedefine/>
    <w:uiPriority w:val="39"/>
    <w:locked/>
    <w:rsid w:val="00C45A27"/>
    <w:pPr>
      <w:tabs>
        <w:tab w:val="left" w:pos="880"/>
        <w:tab w:val="right" w:leader="dot" w:pos="8777"/>
      </w:tabs>
      <w:spacing w:after="100" w:line="360" w:lineRule="auto"/>
      <w:ind w:left="240"/>
    </w:pPr>
  </w:style>
  <w:style w:type="paragraph" w:styleId="TDC3">
    <w:name w:val="toc 3"/>
    <w:basedOn w:val="Normal"/>
    <w:next w:val="Normal"/>
    <w:autoRedefine/>
    <w:uiPriority w:val="39"/>
    <w:locked/>
    <w:rsid w:val="00B656C2"/>
    <w:pPr>
      <w:spacing w:after="100"/>
      <w:ind w:left="480"/>
    </w:pPr>
  </w:style>
  <w:style w:type="paragraph" w:styleId="TDC4">
    <w:name w:val="toc 4"/>
    <w:basedOn w:val="Normal"/>
    <w:next w:val="Normal"/>
    <w:autoRedefine/>
    <w:uiPriority w:val="39"/>
    <w:unhideWhenUsed/>
    <w:locked/>
    <w:rsid w:val="00B656C2"/>
    <w:pPr>
      <w:spacing w:after="100" w:line="276" w:lineRule="auto"/>
      <w:ind w:left="660"/>
    </w:pPr>
    <w:rPr>
      <w:rFonts w:asciiTheme="minorHAnsi" w:eastAsiaTheme="minorEastAsia" w:hAnsiTheme="minorHAnsi" w:cstheme="minorBidi"/>
      <w:sz w:val="22"/>
      <w:szCs w:val="22"/>
      <w:lang w:val="es-ES" w:eastAsia="es-ES"/>
    </w:rPr>
  </w:style>
  <w:style w:type="paragraph" w:styleId="TDC5">
    <w:name w:val="toc 5"/>
    <w:basedOn w:val="Normal"/>
    <w:next w:val="Normal"/>
    <w:autoRedefine/>
    <w:uiPriority w:val="39"/>
    <w:unhideWhenUsed/>
    <w:locked/>
    <w:rsid w:val="00B656C2"/>
    <w:pPr>
      <w:spacing w:after="100" w:line="276" w:lineRule="auto"/>
      <w:ind w:left="880"/>
    </w:pPr>
    <w:rPr>
      <w:rFonts w:asciiTheme="minorHAnsi" w:eastAsiaTheme="minorEastAsia" w:hAnsiTheme="minorHAnsi" w:cstheme="minorBidi"/>
      <w:sz w:val="22"/>
      <w:szCs w:val="22"/>
      <w:lang w:val="es-ES" w:eastAsia="es-ES"/>
    </w:rPr>
  </w:style>
  <w:style w:type="paragraph" w:styleId="TDC6">
    <w:name w:val="toc 6"/>
    <w:basedOn w:val="Normal"/>
    <w:next w:val="Normal"/>
    <w:autoRedefine/>
    <w:uiPriority w:val="39"/>
    <w:unhideWhenUsed/>
    <w:locked/>
    <w:rsid w:val="00B656C2"/>
    <w:pPr>
      <w:spacing w:after="100" w:line="276" w:lineRule="auto"/>
      <w:ind w:left="1100"/>
    </w:pPr>
    <w:rPr>
      <w:rFonts w:asciiTheme="minorHAnsi" w:eastAsiaTheme="minorEastAsia" w:hAnsiTheme="minorHAnsi" w:cstheme="minorBidi"/>
      <w:sz w:val="22"/>
      <w:szCs w:val="22"/>
      <w:lang w:val="es-ES" w:eastAsia="es-ES"/>
    </w:rPr>
  </w:style>
  <w:style w:type="paragraph" w:styleId="TDC7">
    <w:name w:val="toc 7"/>
    <w:basedOn w:val="Normal"/>
    <w:next w:val="Normal"/>
    <w:autoRedefine/>
    <w:uiPriority w:val="39"/>
    <w:unhideWhenUsed/>
    <w:locked/>
    <w:rsid w:val="00B656C2"/>
    <w:pPr>
      <w:spacing w:after="100" w:line="276" w:lineRule="auto"/>
      <w:ind w:left="1320"/>
    </w:pPr>
    <w:rPr>
      <w:rFonts w:asciiTheme="minorHAnsi" w:eastAsiaTheme="minorEastAsia" w:hAnsiTheme="minorHAnsi" w:cstheme="minorBidi"/>
      <w:sz w:val="22"/>
      <w:szCs w:val="22"/>
      <w:lang w:val="es-ES" w:eastAsia="es-ES"/>
    </w:rPr>
  </w:style>
  <w:style w:type="paragraph" w:styleId="TDC8">
    <w:name w:val="toc 8"/>
    <w:basedOn w:val="Normal"/>
    <w:next w:val="Normal"/>
    <w:autoRedefine/>
    <w:uiPriority w:val="39"/>
    <w:unhideWhenUsed/>
    <w:locked/>
    <w:rsid w:val="00B656C2"/>
    <w:pPr>
      <w:spacing w:after="100" w:line="276" w:lineRule="auto"/>
      <w:ind w:left="1540"/>
    </w:pPr>
    <w:rPr>
      <w:rFonts w:asciiTheme="minorHAnsi" w:eastAsiaTheme="minorEastAsia" w:hAnsiTheme="minorHAnsi" w:cstheme="minorBidi"/>
      <w:sz w:val="22"/>
      <w:szCs w:val="22"/>
      <w:lang w:val="es-ES" w:eastAsia="es-ES"/>
    </w:rPr>
  </w:style>
  <w:style w:type="paragraph" w:styleId="TDC9">
    <w:name w:val="toc 9"/>
    <w:basedOn w:val="Normal"/>
    <w:next w:val="Normal"/>
    <w:autoRedefine/>
    <w:uiPriority w:val="39"/>
    <w:unhideWhenUsed/>
    <w:locked/>
    <w:rsid w:val="00B656C2"/>
    <w:pPr>
      <w:spacing w:after="100" w:line="276" w:lineRule="auto"/>
      <w:ind w:left="1760"/>
    </w:pPr>
    <w:rPr>
      <w:rFonts w:asciiTheme="minorHAnsi" w:eastAsiaTheme="minorEastAsia" w:hAnsiTheme="minorHAnsi" w:cstheme="minorBidi"/>
      <w:sz w:val="22"/>
      <w:szCs w:val="22"/>
      <w:lang w:val="es-ES" w:eastAsia="es-ES"/>
    </w:rPr>
  </w:style>
  <w:style w:type="character" w:customStyle="1" w:styleId="Ttulo1Car">
    <w:name w:val="Título 1 Car"/>
    <w:basedOn w:val="Fuentedeprrafopredeter"/>
    <w:link w:val="Ttulo1"/>
    <w:rsid w:val="00B656C2"/>
    <w:rPr>
      <w:rFonts w:asciiTheme="majorHAnsi" w:eastAsiaTheme="majorEastAsia" w:hAnsiTheme="majorHAnsi" w:cstheme="majorBidi"/>
      <w:b/>
      <w:bCs/>
      <w:color w:val="365F91" w:themeColor="accent1" w:themeShade="BF"/>
      <w:sz w:val="28"/>
      <w:szCs w:val="28"/>
      <w:lang w:val="en-US" w:eastAsia="en-US"/>
    </w:rPr>
  </w:style>
  <w:style w:type="character" w:customStyle="1" w:styleId="Ttulo2Car">
    <w:name w:val="Título 2 Car"/>
    <w:basedOn w:val="Fuentedeprrafopredeter"/>
    <w:link w:val="Ttulo2"/>
    <w:semiHidden/>
    <w:rsid w:val="00B656C2"/>
    <w:rPr>
      <w:rFonts w:asciiTheme="majorHAnsi" w:eastAsiaTheme="majorEastAsia" w:hAnsiTheme="majorHAnsi" w:cstheme="majorBidi"/>
      <w:b/>
      <w:bCs/>
      <w:color w:val="4F81BD" w:themeColor="accent1"/>
      <w:sz w:val="26"/>
      <w:szCs w:val="26"/>
      <w:lang w:val="en-US" w:eastAsia="en-US"/>
    </w:rPr>
  </w:style>
  <w:style w:type="character" w:customStyle="1" w:styleId="Ttulo3Car">
    <w:name w:val="Título 3 Car"/>
    <w:basedOn w:val="Fuentedeprrafopredeter"/>
    <w:link w:val="Ttulo3"/>
    <w:semiHidden/>
    <w:rsid w:val="00B656C2"/>
    <w:rPr>
      <w:rFonts w:asciiTheme="majorHAnsi" w:eastAsiaTheme="majorEastAsia" w:hAnsiTheme="majorHAnsi" w:cstheme="majorBidi"/>
      <w:b/>
      <w:bCs/>
      <w:color w:val="4F81BD" w:themeColor="accent1"/>
      <w:sz w:val="24"/>
      <w:szCs w:val="24"/>
      <w:lang w:val="en-US" w:eastAsia="en-US"/>
    </w:rPr>
  </w:style>
  <w:style w:type="paragraph" w:styleId="Piedepgina">
    <w:name w:val="footer"/>
    <w:basedOn w:val="Normal"/>
    <w:link w:val="PiedepginaCar"/>
    <w:uiPriority w:val="99"/>
    <w:unhideWhenUsed/>
    <w:locked/>
    <w:rsid w:val="002F4320"/>
    <w:pPr>
      <w:tabs>
        <w:tab w:val="center" w:pos="4513"/>
        <w:tab w:val="right" w:pos="9026"/>
      </w:tabs>
    </w:pPr>
    <w:rPr>
      <w:rFonts w:asciiTheme="minorHAnsi" w:eastAsiaTheme="minorEastAsia" w:hAnsiTheme="minorHAnsi" w:cstheme="minorBidi"/>
      <w:sz w:val="22"/>
      <w:szCs w:val="22"/>
      <w:lang w:val="es-EC" w:eastAsia="es-EC"/>
    </w:rPr>
  </w:style>
  <w:style w:type="character" w:customStyle="1" w:styleId="PiedepginaCar">
    <w:name w:val="Pie de página Car"/>
    <w:basedOn w:val="Fuentedeprrafopredeter"/>
    <w:link w:val="Piedepgina"/>
    <w:uiPriority w:val="99"/>
    <w:rsid w:val="002F4320"/>
    <w:rPr>
      <w:rFonts w:asciiTheme="minorHAnsi" w:eastAsiaTheme="minorEastAsia" w:hAnsiTheme="minorHAnsi" w:cstheme="minorBidi"/>
      <w:sz w:val="22"/>
      <w:szCs w:val="22"/>
      <w:lang w:val="es-EC" w:eastAsia="es-EC"/>
    </w:rPr>
  </w:style>
  <w:style w:type="paragraph" w:styleId="Encabezado">
    <w:name w:val="header"/>
    <w:basedOn w:val="Normal"/>
    <w:link w:val="EncabezadoCar"/>
    <w:locked/>
    <w:rsid w:val="00D75A90"/>
    <w:pPr>
      <w:tabs>
        <w:tab w:val="center" w:pos="4252"/>
        <w:tab w:val="right" w:pos="8504"/>
      </w:tabs>
    </w:pPr>
  </w:style>
  <w:style w:type="character" w:customStyle="1" w:styleId="EncabezadoCar">
    <w:name w:val="Encabezado Car"/>
    <w:basedOn w:val="Fuentedeprrafopredeter"/>
    <w:link w:val="Encabezado"/>
    <w:rsid w:val="00D75A90"/>
    <w:rPr>
      <w:sz w:val="24"/>
      <w:szCs w:val="24"/>
      <w:lang w:val="en-US" w:eastAsia="en-US"/>
    </w:rPr>
  </w:style>
  <w:style w:type="paragraph" w:styleId="Textodeglobo">
    <w:name w:val="Balloon Text"/>
    <w:basedOn w:val="Normal"/>
    <w:link w:val="TextodegloboCar"/>
    <w:locked/>
    <w:rsid w:val="0013022F"/>
    <w:rPr>
      <w:rFonts w:ascii="Tahoma" w:hAnsi="Tahoma" w:cs="Tahoma"/>
      <w:sz w:val="16"/>
      <w:szCs w:val="16"/>
    </w:rPr>
  </w:style>
  <w:style w:type="character" w:customStyle="1" w:styleId="TextodegloboCar">
    <w:name w:val="Texto de globo Car"/>
    <w:basedOn w:val="Fuentedeprrafopredeter"/>
    <w:link w:val="Textodeglobo"/>
    <w:rsid w:val="0013022F"/>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91B3D5-CA0D-4C1D-B586-F3A288B00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153</Pages>
  <Words>51366</Words>
  <Characters>282516</Characters>
  <Application>Microsoft Office Word</Application>
  <DocSecurity>0</DocSecurity>
  <Lines>2354</Lines>
  <Paragraphs>666</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333216</CharactersWithSpaces>
  <SharedDoc>false</SharedDoc>
  <HLinks>
    <vt:vector size="6" baseType="variant">
      <vt:variant>
        <vt:i4>6225933</vt:i4>
      </vt:variant>
      <vt:variant>
        <vt:i4>0</vt:i4>
      </vt:variant>
      <vt:variant>
        <vt:i4>0</vt:i4>
      </vt:variant>
      <vt:variant>
        <vt:i4>5</vt:i4>
      </vt:variant>
      <vt:variant>
        <vt:lpwstr>http://www.idhc.org/esp/documents/PpiosImpunidad.pdf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EGAS SANTACRUZ GERMAN RODRIGO</cp:lastModifiedBy>
  <cp:revision>2</cp:revision>
  <cp:lastPrinted>2013-05-16T16:48:00Z</cp:lastPrinted>
  <dcterms:created xsi:type="dcterms:W3CDTF">2017-01-18T13:20:00Z</dcterms:created>
  <dcterms:modified xsi:type="dcterms:W3CDTF">2017-01-18T13:20:00Z</dcterms:modified>
</cp:coreProperties>
</file>