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07EF" w:rsidRPr="006B33C0" w:rsidRDefault="00BB07EF" w:rsidP="00EC63DA">
      <w:pPr>
        <w:autoSpaceDE w:val="0"/>
        <w:autoSpaceDN w:val="0"/>
        <w:adjustRightInd w:val="0"/>
        <w:spacing w:after="0"/>
        <w:jc w:val="center"/>
        <w:rPr>
          <w:rFonts w:ascii="Verdana" w:hAnsi="Verdana" w:cs="Times New Roman"/>
          <w:b/>
          <w:bCs/>
          <w:sz w:val="32"/>
        </w:rPr>
      </w:pPr>
      <w:r w:rsidRPr="006B33C0">
        <w:rPr>
          <w:rFonts w:ascii="Verdana" w:hAnsi="Verdana" w:cs="Times New Roman"/>
          <w:b/>
          <w:bCs/>
          <w:sz w:val="32"/>
        </w:rPr>
        <w:t>PONTIFICIA UNIVERSIDAD CATÓLICA DEL ECUADOR</w:t>
      </w:r>
    </w:p>
    <w:p w:rsidR="00BB07EF" w:rsidRPr="006B33C0" w:rsidRDefault="00BB07EF" w:rsidP="00EC63DA">
      <w:pPr>
        <w:jc w:val="center"/>
        <w:rPr>
          <w:rFonts w:ascii="Verdana" w:hAnsi="Verdana" w:cs="Times New Roman"/>
          <w:b/>
          <w:bCs/>
          <w:sz w:val="32"/>
        </w:rPr>
      </w:pPr>
      <w:r w:rsidRPr="006B33C0">
        <w:rPr>
          <w:rFonts w:ascii="Verdana" w:hAnsi="Verdana" w:cs="Times New Roman"/>
          <w:b/>
          <w:bCs/>
          <w:sz w:val="32"/>
        </w:rPr>
        <w:t>FACULTAD DE ECONOMÍA</w:t>
      </w:r>
    </w:p>
    <w:p w:rsidR="00BB07EF" w:rsidRPr="00EE4D50" w:rsidRDefault="00BB07EF" w:rsidP="00EC63DA">
      <w:pPr>
        <w:jc w:val="center"/>
        <w:rPr>
          <w:rFonts w:ascii="Verdana" w:hAnsi="Verdana" w:cs="Times New Roman"/>
          <w:b/>
          <w:bCs/>
          <w:sz w:val="32"/>
        </w:rPr>
      </w:pPr>
    </w:p>
    <w:p w:rsidR="00BB07EF" w:rsidRPr="00EE4D50" w:rsidRDefault="00BB07EF" w:rsidP="00EC63DA">
      <w:pPr>
        <w:jc w:val="both"/>
        <w:rPr>
          <w:rFonts w:ascii="Verdana" w:hAnsi="Verdana" w:cs="Times New Roman"/>
          <w:b/>
          <w:bCs/>
        </w:rPr>
      </w:pPr>
    </w:p>
    <w:p w:rsidR="00BB07EF" w:rsidRPr="00EE4D50" w:rsidRDefault="00BB07EF" w:rsidP="00EC63DA">
      <w:pPr>
        <w:jc w:val="both"/>
        <w:rPr>
          <w:rFonts w:ascii="Verdana" w:hAnsi="Verdana" w:cs="Times New Roman"/>
          <w:b/>
          <w:bCs/>
        </w:rPr>
      </w:pPr>
    </w:p>
    <w:p w:rsidR="00BB07EF" w:rsidRPr="006B33C0" w:rsidRDefault="00BB07EF" w:rsidP="00EC63DA">
      <w:pPr>
        <w:autoSpaceDE w:val="0"/>
        <w:autoSpaceDN w:val="0"/>
        <w:adjustRightInd w:val="0"/>
        <w:spacing w:after="0"/>
        <w:jc w:val="center"/>
        <w:rPr>
          <w:rFonts w:ascii="Verdana" w:hAnsi="Verdana" w:cs="Times New Roman"/>
          <w:b/>
          <w:bCs/>
          <w:sz w:val="28"/>
        </w:rPr>
      </w:pPr>
      <w:r w:rsidRPr="006B33C0">
        <w:rPr>
          <w:rFonts w:ascii="Verdana" w:hAnsi="Verdana" w:cs="Times New Roman"/>
          <w:b/>
          <w:bCs/>
          <w:sz w:val="28"/>
        </w:rPr>
        <w:t>Disertación previa a la obtención del título de</w:t>
      </w:r>
    </w:p>
    <w:p w:rsidR="00BB07EF" w:rsidRPr="006B33C0" w:rsidRDefault="00BB07EF" w:rsidP="00EC63DA">
      <w:pPr>
        <w:jc w:val="center"/>
        <w:rPr>
          <w:rFonts w:ascii="Verdana" w:hAnsi="Verdana" w:cs="Times New Roman"/>
          <w:b/>
          <w:bCs/>
          <w:sz w:val="28"/>
        </w:rPr>
      </w:pPr>
      <w:r w:rsidRPr="006B33C0">
        <w:rPr>
          <w:rFonts w:ascii="Verdana" w:hAnsi="Verdana" w:cs="Times New Roman"/>
          <w:b/>
          <w:bCs/>
          <w:sz w:val="28"/>
        </w:rPr>
        <w:t>Economista</w:t>
      </w:r>
    </w:p>
    <w:p w:rsidR="00BB07EF" w:rsidRPr="00EE4D50" w:rsidRDefault="00BB07EF" w:rsidP="00EC63DA">
      <w:pPr>
        <w:jc w:val="both"/>
        <w:rPr>
          <w:rFonts w:ascii="Verdana" w:hAnsi="Verdana" w:cs="Times New Roman"/>
          <w:b/>
          <w:bCs/>
        </w:rPr>
      </w:pPr>
    </w:p>
    <w:p w:rsidR="00BB07EF" w:rsidRPr="00EE4D50" w:rsidRDefault="00BB07EF" w:rsidP="00EC63DA">
      <w:pPr>
        <w:jc w:val="both"/>
        <w:rPr>
          <w:rFonts w:ascii="Verdana" w:hAnsi="Verdana" w:cs="Times New Roman"/>
          <w:b/>
          <w:bCs/>
        </w:rPr>
      </w:pPr>
    </w:p>
    <w:p w:rsidR="00B07666" w:rsidRPr="00EE4D50" w:rsidRDefault="00B07666" w:rsidP="00EC63DA">
      <w:pPr>
        <w:jc w:val="both"/>
        <w:rPr>
          <w:rFonts w:ascii="Verdana" w:hAnsi="Verdana" w:cs="Times New Roman"/>
          <w:b/>
          <w:bCs/>
        </w:rPr>
      </w:pPr>
    </w:p>
    <w:p w:rsidR="00BB07EF" w:rsidRPr="002C4175" w:rsidRDefault="00BB07EF" w:rsidP="00EC63DA">
      <w:pPr>
        <w:spacing w:after="0"/>
        <w:jc w:val="both"/>
        <w:rPr>
          <w:rFonts w:ascii="Verdana" w:eastAsia="Times New Roman" w:hAnsi="Verdana" w:cs="Times New Roman"/>
          <w:b/>
          <w:bCs/>
          <w:color w:val="000000"/>
          <w:lang w:eastAsia="es-ES"/>
        </w:rPr>
      </w:pPr>
    </w:p>
    <w:p w:rsidR="00BB07EF" w:rsidRPr="00EE4D50" w:rsidRDefault="00B10406" w:rsidP="00EC63DA">
      <w:pPr>
        <w:jc w:val="center"/>
        <w:rPr>
          <w:rFonts w:ascii="Verdana" w:hAnsi="Verdana" w:cs="Times New Roman"/>
          <w:b/>
        </w:rPr>
      </w:pPr>
      <w:r>
        <w:rPr>
          <w:rFonts w:ascii="Verdana" w:eastAsia="Times New Roman" w:hAnsi="Verdana" w:cs="Times New Roman"/>
          <w:b/>
          <w:i/>
          <w:sz w:val="32"/>
          <w:lang w:eastAsia="es-EC"/>
        </w:rPr>
        <w:t>Análisis del sector automotriz ecuatoriano. Periodo 2011-2015</w:t>
      </w:r>
    </w:p>
    <w:p w:rsidR="00B07666" w:rsidRPr="00EE4D50" w:rsidRDefault="00B07666" w:rsidP="00EC63DA">
      <w:pPr>
        <w:jc w:val="both"/>
        <w:rPr>
          <w:rFonts w:ascii="Verdana" w:hAnsi="Verdana" w:cs="Times New Roman"/>
          <w:b/>
          <w:sz w:val="24"/>
        </w:rPr>
      </w:pPr>
    </w:p>
    <w:p w:rsidR="00BB07EF" w:rsidRPr="006B33C0" w:rsidRDefault="00B07666" w:rsidP="00EC63DA">
      <w:pPr>
        <w:spacing w:after="0"/>
        <w:jc w:val="right"/>
        <w:rPr>
          <w:rFonts w:ascii="Verdana" w:eastAsia="Times New Roman" w:hAnsi="Verdana" w:cs="Times New Roman"/>
          <w:b/>
          <w:bCs/>
          <w:color w:val="000000"/>
          <w:sz w:val="28"/>
          <w:lang w:val="es-ES" w:eastAsia="es-ES"/>
        </w:rPr>
      </w:pPr>
      <w:r w:rsidRPr="006B33C0">
        <w:rPr>
          <w:rFonts w:ascii="Verdana" w:eastAsia="Times New Roman" w:hAnsi="Verdana" w:cs="Times New Roman"/>
          <w:b/>
          <w:bCs/>
          <w:color w:val="000000"/>
          <w:sz w:val="28"/>
          <w:lang w:val="es-ES" w:eastAsia="es-ES"/>
        </w:rPr>
        <w:t xml:space="preserve">  </w:t>
      </w:r>
      <w:r w:rsidR="00BB07EF" w:rsidRPr="006B33C0">
        <w:rPr>
          <w:rFonts w:ascii="Verdana" w:eastAsia="Times New Roman" w:hAnsi="Verdana" w:cs="Times New Roman"/>
          <w:b/>
          <w:bCs/>
          <w:color w:val="000000"/>
          <w:sz w:val="28"/>
          <w:lang w:val="es-ES" w:eastAsia="es-ES"/>
        </w:rPr>
        <w:t>Johanna Paulina Arias Narváez</w:t>
      </w:r>
    </w:p>
    <w:p w:rsidR="00BB07EF" w:rsidRPr="006B33C0" w:rsidRDefault="00BB07EF" w:rsidP="00EC63DA">
      <w:pPr>
        <w:spacing w:after="0"/>
        <w:ind w:left="4248"/>
        <w:jc w:val="right"/>
        <w:rPr>
          <w:rFonts w:ascii="Verdana" w:eastAsia="Times New Roman" w:hAnsi="Verdana" w:cs="Times New Roman"/>
          <w:b/>
          <w:bCs/>
          <w:color w:val="000000"/>
          <w:sz w:val="28"/>
          <w:lang w:val="es-ES" w:eastAsia="es-ES"/>
        </w:rPr>
      </w:pPr>
      <w:r w:rsidRPr="006B33C0">
        <w:rPr>
          <w:rFonts w:ascii="Verdana" w:eastAsia="Times New Roman" w:hAnsi="Verdana" w:cs="Times New Roman"/>
          <w:b/>
          <w:bCs/>
          <w:color w:val="000000"/>
          <w:sz w:val="28"/>
          <w:lang w:val="es-ES" w:eastAsia="es-ES"/>
        </w:rPr>
        <w:t>joha_paulina@hotmail.com</w:t>
      </w:r>
    </w:p>
    <w:p w:rsidR="00BB07EF" w:rsidRPr="006B33C0" w:rsidRDefault="00BB07EF" w:rsidP="00EC63DA">
      <w:pPr>
        <w:spacing w:after="0"/>
        <w:jc w:val="right"/>
        <w:rPr>
          <w:rFonts w:ascii="Verdana" w:eastAsia="Times New Roman" w:hAnsi="Verdana" w:cs="Times New Roman"/>
          <w:b/>
          <w:bCs/>
          <w:color w:val="000000"/>
          <w:sz w:val="28"/>
          <w:lang w:val="es-ES" w:eastAsia="es-ES"/>
        </w:rPr>
      </w:pPr>
    </w:p>
    <w:p w:rsidR="00BB07EF" w:rsidRPr="006B33C0" w:rsidRDefault="00BB07EF" w:rsidP="00EC63DA">
      <w:pPr>
        <w:spacing w:after="0"/>
        <w:jc w:val="right"/>
        <w:rPr>
          <w:rFonts w:ascii="Verdana" w:eastAsia="Times New Roman" w:hAnsi="Verdana" w:cs="Times New Roman"/>
          <w:b/>
          <w:bCs/>
          <w:color w:val="000000"/>
          <w:sz w:val="28"/>
          <w:lang w:val="es-ES" w:eastAsia="es-ES"/>
        </w:rPr>
      </w:pPr>
    </w:p>
    <w:p w:rsidR="00BB07EF" w:rsidRPr="006B33C0" w:rsidRDefault="00BB07EF" w:rsidP="00EC63DA">
      <w:pPr>
        <w:pStyle w:val="Sinespaciado"/>
        <w:spacing w:line="276" w:lineRule="auto"/>
        <w:jc w:val="right"/>
        <w:rPr>
          <w:rFonts w:ascii="Verdana" w:eastAsia="Times New Roman" w:hAnsi="Verdana" w:cs="Times New Roman"/>
          <w:b/>
          <w:bCs/>
          <w:color w:val="000000"/>
          <w:sz w:val="28"/>
          <w:lang w:val="es-ES" w:eastAsia="es-ES"/>
        </w:rPr>
      </w:pPr>
      <w:r w:rsidRPr="006B33C0">
        <w:rPr>
          <w:rFonts w:ascii="Verdana" w:eastAsia="Times New Roman" w:hAnsi="Verdana" w:cs="Times New Roman"/>
          <w:b/>
          <w:bCs/>
          <w:color w:val="000000"/>
          <w:sz w:val="28"/>
          <w:lang w:val="es-ES" w:eastAsia="es-ES"/>
        </w:rPr>
        <w:t xml:space="preserve">Director: Guillermo </w:t>
      </w:r>
      <w:r w:rsidR="00337B4C" w:rsidRPr="006B33C0">
        <w:rPr>
          <w:rFonts w:ascii="Verdana" w:eastAsia="Times New Roman" w:hAnsi="Verdana" w:cs="Times New Roman"/>
          <w:b/>
          <w:bCs/>
          <w:color w:val="000000"/>
          <w:sz w:val="28"/>
          <w:lang w:val="es-ES" w:eastAsia="es-ES"/>
        </w:rPr>
        <w:t>Landázuri</w:t>
      </w:r>
    </w:p>
    <w:p w:rsidR="00BB07EF" w:rsidRPr="006B33C0" w:rsidRDefault="00BB07EF" w:rsidP="00EC63DA">
      <w:pPr>
        <w:pStyle w:val="Sinespaciado"/>
        <w:spacing w:line="276" w:lineRule="auto"/>
        <w:ind w:left="4248" w:firstLine="708"/>
        <w:jc w:val="right"/>
        <w:rPr>
          <w:rFonts w:ascii="Verdana" w:eastAsia="Times New Roman" w:hAnsi="Verdana" w:cs="Times New Roman"/>
          <w:b/>
          <w:bCs/>
          <w:color w:val="000000"/>
          <w:sz w:val="28"/>
          <w:lang w:val="es-ES" w:eastAsia="es-ES"/>
        </w:rPr>
      </w:pPr>
      <w:r w:rsidRPr="006B33C0">
        <w:rPr>
          <w:rFonts w:ascii="Verdana" w:eastAsia="Times New Roman" w:hAnsi="Verdana" w:cs="Times New Roman"/>
          <w:b/>
          <w:bCs/>
          <w:color w:val="000000"/>
          <w:sz w:val="28"/>
          <w:lang w:val="es-ES" w:eastAsia="es-ES"/>
        </w:rPr>
        <w:t>glandazuri@puce.edu.ec</w:t>
      </w:r>
    </w:p>
    <w:p w:rsidR="00BB07EF" w:rsidRDefault="00BB07EF" w:rsidP="00EC63DA">
      <w:pPr>
        <w:spacing w:after="0"/>
        <w:jc w:val="right"/>
        <w:rPr>
          <w:rFonts w:ascii="Verdana" w:eastAsia="Times New Roman" w:hAnsi="Verdana" w:cs="Times New Roman"/>
          <w:b/>
          <w:bCs/>
          <w:color w:val="000000"/>
          <w:sz w:val="28"/>
          <w:lang w:val="es-ES" w:eastAsia="es-ES"/>
        </w:rPr>
      </w:pPr>
    </w:p>
    <w:p w:rsidR="00C03717" w:rsidRDefault="00C03717" w:rsidP="00EC63DA">
      <w:pPr>
        <w:spacing w:after="0"/>
        <w:jc w:val="right"/>
        <w:rPr>
          <w:rFonts w:ascii="Verdana" w:eastAsia="Times New Roman" w:hAnsi="Verdana" w:cs="Times New Roman"/>
          <w:b/>
          <w:bCs/>
          <w:color w:val="000000"/>
          <w:sz w:val="28"/>
          <w:lang w:val="es-ES" w:eastAsia="es-ES"/>
        </w:rPr>
      </w:pPr>
    </w:p>
    <w:p w:rsidR="00C03717" w:rsidRDefault="00C03717" w:rsidP="00EC63DA">
      <w:pPr>
        <w:spacing w:after="0"/>
        <w:jc w:val="right"/>
        <w:rPr>
          <w:rFonts w:ascii="Verdana" w:eastAsia="Times New Roman" w:hAnsi="Verdana" w:cs="Times New Roman"/>
          <w:b/>
          <w:bCs/>
          <w:color w:val="000000"/>
          <w:sz w:val="28"/>
          <w:lang w:val="es-ES" w:eastAsia="es-ES"/>
        </w:rPr>
      </w:pPr>
    </w:p>
    <w:p w:rsidR="00C03717" w:rsidRDefault="00C03717" w:rsidP="00EC63DA">
      <w:pPr>
        <w:spacing w:after="0"/>
        <w:jc w:val="right"/>
        <w:rPr>
          <w:rFonts w:ascii="Verdana" w:eastAsia="Times New Roman" w:hAnsi="Verdana" w:cs="Times New Roman"/>
          <w:b/>
          <w:bCs/>
          <w:color w:val="000000"/>
          <w:sz w:val="28"/>
          <w:lang w:val="es-ES" w:eastAsia="es-ES"/>
        </w:rPr>
      </w:pPr>
    </w:p>
    <w:p w:rsidR="00C03717" w:rsidRPr="00EE4D50" w:rsidRDefault="00C03717" w:rsidP="00EC63DA">
      <w:pPr>
        <w:spacing w:after="0"/>
        <w:jc w:val="right"/>
        <w:rPr>
          <w:rFonts w:ascii="Verdana" w:eastAsia="Times New Roman" w:hAnsi="Verdana" w:cs="Times New Roman"/>
          <w:b/>
          <w:bCs/>
          <w:color w:val="000000"/>
          <w:sz w:val="28"/>
          <w:lang w:val="es-ES" w:eastAsia="es-ES"/>
        </w:rPr>
      </w:pPr>
    </w:p>
    <w:p w:rsidR="00BB07EF" w:rsidRPr="00EE4D50" w:rsidRDefault="00BB07EF" w:rsidP="00EC63DA">
      <w:pPr>
        <w:spacing w:after="0"/>
        <w:jc w:val="both"/>
        <w:rPr>
          <w:rFonts w:ascii="Verdana" w:eastAsia="Times New Roman" w:hAnsi="Verdana" w:cs="Times New Roman"/>
          <w:b/>
          <w:bCs/>
          <w:color w:val="000000"/>
          <w:sz w:val="24"/>
          <w:lang w:val="es-ES" w:eastAsia="es-ES"/>
        </w:rPr>
      </w:pPr>
    </w:p>
    <w:p w:rsidR="00BB07EF" w:rsidRPr="00EE4D50" w:rsidRDefault="00BB07EF" w:rsidP="00EC63DA">
      <w:pPr>
        <w:spacing w:after="0"/>
        <w:jc w:val="both"/>
        <w:rPr>
          <w:rFonts w:ascii="Verdana" w:eastAsia="Calibri" w:hAnsi="Verdana" w:cs="Times New Roman"/>
          <w:b/>
          <w:sz w:val="24"/>
          <w:lang w:val="es-ES"/>
        </w:rPr>
      </w:pPr>
    </w:p>
    <w:p w:rsidR="00BB07EF" w:rsidRPr="00EE4D50" w:rsidRDefault="00BB07EF" w:rsidP="00EC63DA">
      <w:pPr>
        <w:spacing w:after="0"/>
        <w:jc w:val="both"/>
        <w:rPr>
          <w:rFonts w:ascii="Verdana" w:eastAsia="Calibri" w:hAnsi="Verdana" w:cs="Times New Roman"/>
          <w:b/>
          <w:sz w:val="24"/>
          <w:lang w:val="es-ES"/>
        </w:rPr>
      </w:pPr>
    </w:p>
    <w:p w:rsidR="00BB07EF" w:rsidRPr="00EE4D50" w:rsidRDefault="00BB07EF" w:rsidP="00EC63DA">
      <w:pPr>
        <w:spacing w:after="0"/>
        <w:jc w:val="both"/>
        <w:rPr>
          <w:rFonts w:ascii="Verdana" w:eastAsia="Calibri" w:hAnsi="Verdana" w:cs="Times New Roman"/>
          <w:b/>
          <w:sz w:val="24"/>
          <w:lang w:val="es-ES"/>
        </w:rPr>
      </w:pPr>
    </w:p>
    <w:p w:rsidR="00B10406" w:rsidRPr="00EE4D50" w:rsidRDefault="0020000B" w:rsidP="00EC63DA">
      <w:pPr>
        <w:jc w:val="center"/>
        <w:rPr>
          <w:rFonts w:ascii="Verdana" w:eastAsia="Calibri" w:hAnsi="Verdana" w:cs="Times New Roman"/>
          <w:b/>
          <w:sz w:val="28"/>
          <w:lang w:val="es-ES"/>
        </w:rPr>
      </w:pPr>
      <w:r w:rsidRPr="00EE4D50">
        <w:rPr>
          <w:rFonts w:ascii="Verdana" w:eastAsia="Calibri" w:hAnsi="Verdana" w:cs="Times New Roman"/>
          <w:b/>
          <w:sz w:val="28"/>
          <w:lang w:val="es-ES"/>
        </w:rPr>
        <w:t>Q</w:t>
      </w:r>
      <w:r w:rsidRPr="006B33C0">
        <w:rPr>
          <w:rFonts w:ascii="Verdana" w:eastAsia="Calibri" w:hAnsi="Verdana" w:cs="Times New Roman"/>
          <w:b/>
          <w:sz w:val="28"/>
          <w:lang w:val="es-ES"/>
        </w:rPr>
        <w:t>u</w:t>
      </w:r>
      <w:r w:rsidR="00C76E8B">
        <w:rPr>
          <w:rFonts w:ascii="Verdana" w:eastAsia="Calibri" w:hAnsi="Verdana" w:cs="Times New Roman"/>
          <w:b/>
          <w:sz w:val="28"/>
          <w:lang w:val="es-ES"/>
        </w:rPr>
        <w:t>ito, junio</w:t>
      </w:r>
      <w:r w:rsidR="00BB07EF" w:rsidRPr="00EE4D50">
        <w:rPr>
          <w:rFonts w:ascii="Verdana" w:eastAsia="Calibri" w:hAnsi="Verdana" w:cs="Times New Roman"/>
          <w:b/>
          <w:sz w:val="28"/>
          <w:lang w:val="es-ES"/>
        </w:rPr>
        <w:t xml:space="preserve"> del 2017</w:t>
      </w:r>
    </w:p>
    <w:p w:rsidR="00EA7CC7" w:rsidRPr="00EE4D50" w:rsidRDefault="00EA7CC7" w:rsidP="00EC63DA">
      <w:pPr>
        <w:pStyle w:val="Ttulo1"/>
        <w:jc w:val="center"/>
        <w:rPr>
          <w:rFonts w:ascii="Verdana" w:hAnsi="Verdana" w:cs="Times New Roman"/>
          <w:i/>
          <w:color w:val="auto"/>
          <w:sz w:val="32"/>
          <w:szCs w:val="36"/>
        </w:rPr>
      </w:pPr>
      <w:bookmarkStart w:id="0" w:name="_Toc485137176"/>
      <w:r w:rsidRPr="00EE4D50">
        <w:rPr>
          <w:rFonts w:ascii="Verdana" w:hAnsi="Verdana" w:cs="Times New Roman"/>
          <w:i/>
          <w:color w:val="auto"/>
          <w:sz w:val="32"/>
          <w:szCs w:val="36"/>
        </w:rPr>
        <w:lastRenderedPageBreak/>
        <w:t>Resumen</w:t>
      </w:r>
      <w:bookmarkEnd w:id="0"/>
    </w:p>
    <w:p w:rsidR="00EA7CC7" w:rsidRPr="00EE4D50" w:rsidRDefault="00EA7CC7" w:rsidP="00EC63DA">
      <w:pPr>
        <w:jc w:val="center"/>
        <w:rPr>
          <w:rFonts w:ascii="Verdana" w:hAnsi="Verdana" w:cs="Times New Roman"/>
          <w:b/>
          <w:i/>
          <w:sz w:val="36"/>
        </w:rPr>
      </w:pPr>
    </w:p>
    <w:p w:rsidR="00EA7CC7" w:rsidRPr="00EE4D50" w:rsidRDefault="00EA7CC7" w:rsidP="00EC63DA">
      <w:pPr>
        <w:jc w:val="both"/>
        <w:rPr>
          <w:rFonts w:ascii="Verdana" w:hAnsi="Verdana" w:cs="Times New Roman"/>
        </w:rPr>
      </w:pPr>
      <w:r w:rsidRPr="00EE4D50">
        <w:rPr>
          <w:rFonts w:ascii="Verdana" w:hAnsi="Verdana" w:cs="Times New Roman"/>
        </w:rPr>
        <w:t xml:space="preserve">La presente disertación analiza al sector automotriz ecuatoriano, sector importante que </w:t>
      </w:r>
      <w:r w:rsidR="00A916DD">
        <w:rPr>
          <w:rFonts w:ascii="Verdana" w:hAnsi="Verdana" w:cs="Times New Roman"/>
        </w:rPr>
        <w:t>impulsa entre otros sectores al metalmecánico</w:t>
      </w:r>
      <w:r w:rsidRPr="00EE4D50">
        <w:rPr>
          <w:rFonts w:ascii="Verdana" w:hAnsi="Verdana" w:cs="Times New Roman"/>
        </w:rPr>
        <w:t>. El sector de mayor importancia dentro de esta rama es el ensambla</w:t>
      </w:r>
      <w:r w:rsidR="00A916DD">
        <w:rPr>
          <w:rFonts w:ascii="Verdana" w:hAnsi="Verdana" w:cs="Times New Roman"/>
        </w:rPr>
        <w:t>dor, cuyos actores constituyen</w:t>
      </w:r>
      <w:r w:rsidRPr="00EE4D50">
        <w:rPr>
          <w:rFonts w:ascii="Verdana" w:hAnsi="Verdana" w:cs="Times New Roman"/>
        </w:rPr>
        <w:t xml:space="preserve"> la oferta nacional y exportable de vehículos; y su encadenamiento productivo tiene como principal proveedor al sector autopartista, en donde se ubican empresas</w:t>
      </w:r>
      <w:r w:rsidR="00A916DD">
        <w:rPr>
          <w:rFonts w:ascii="Verdana" w:hAnsi="Verdana" w:cs="Times New Roman"/>
        </w:rPr>
        <w:t xml:space="preserve"> proveedoras de partes y piezas, fundamentalmente metalmecánicas, que con el </w:t>
      </w:r>
      <w:r w:rsidRPr="00EE4D50">
        <w:rPr>
          <w:rFonts w:ascii="Verdana" w:hAnsi="Verdana" w:cs="Times New Roman"/>
        </w:rPr>
        <w:t>CKD</w:t>
      </w:r>
      <w:r w:rsidR="00A916DD">
        <w:rPr>
          <w:rFonts w:ascii="Verdana" w:hAnsi="Verdana" w:cs="Times New Roman"/>
        </w:rPr>
        <w:t xml:space="preserve"> importado constituyen la base </w:t>
      </w:r>
      <w:r w:rsidR="00A916DD" w:rsidRPr="00EE4D50">
        <w:rPr>
          <w:rFonts w:ascii="Verdana" w:hAnsi="Verdana" w:cs="Times New Roman"/>
        </w:rPr>
        <w:t>para el ensamblaje de vehículos</w:t>
      </w:r>
      <w:r w:rsidRPr="00EE4D50">
        <w:rPr>
          <w:rFonts w:ascii="Verdana" w:hAnsi="Verdana" w:cs="Times New Roman"/>
        </w:rPr>
        <w:t>. Se enfatiza que si estas actividades económicas toman mayores incentivos para su crecimiento, como ha pasado en otras ocasiones, aumentaría sus escalas de producción con el objetivo de sustituir importaciones para el mercado local. El desarrollo del análisis contiene tres capítulos, los cuales se dividen en una reseña histórica dividida en tres momentos: primero, el inicio del sector automotriz en la década de los setentas hasta el inicio del esquema monetario de la dolarización (ciclo de desarrollo), luego otro momento durante los años 2003 y 2010 (ciclo de estabilidad) y se finaliza con el periodo 2011</w:t>
      </w:r>
      <w:r w:rsidR="00827344">
        <w:rPr>
          <w:rFonts w:ascii="Verdana" w:hAnsi="Verdana" w:cs="Times New Roman"/>
        </w:rPr>
        <w:t xml:space="preserve"> </w:t>
      </w:r>
      <w:r w:rsidRPr="00EE4D50">
        <w:rPr>
          <w:rFonts w:ascii="Verdana" w:hAnsi="Verdana" w:cs="Times New Roman"/>
        </w:rPr>
        <w:t xml:space="preserve">al 2015 (ciclo de auge y recesión). El último período es el más importante porque contiene un análisis estadístico y documental, nutrido con puntos de vista de actores relacionados directamente con el sector de estudio. Y concluir con que esta industria posee un alto valor agregado, tecnología y articulación con diversos sectores, de manera que tiene gran potencial para contribuir a la </w:t>
      </w:r>
      <w:r w:rsidR="00A916DD">
        <w:rPr>
          <w:rFonts w:ascii="Verdana" w:hAnsi="Verdana" w:cs="Times New Roman"/>
        </w:rPr>
        <w:t xml:space="preserve">diversificación de la </w:t>
      </w:r>
      <w:r w:rsidRPr="00EE4D50">
        <w:rPr>
          <w:rFonts w:ascii="Verdana" w:hAnsi="Verdana" w:cs="Times New Roman"/>
        </w:rPr>
        <w:t>matriz productiva del país.</w:t>
      </w:r>
    </w:p>
    <w:p w:rsidR="00EA7CC7" w:rsidRPr="00EE4D50" w:rsidRDefault="00EA7CC7" w:rsidP="00EC63DA">
      <w:pPr>
        <w:rPr>
          <w:rFonts w:ascii="Verdana" w:hAnsi="Verdana" w:cs="Times New Roman"/>
        </w:rPr>
      </w:pPr>
    </w:p>
    <w:p w:rsidR="00EA7CC7" w:rsidRPr="00EE4D50" w:rsidRDefault="00EA7CC7" w:rsidP="00EC63DA">
      <w:pPr>
        <w:rPr>
          <w:rFonts w:ascii="Verdana" w:hAnsi="Verdana" w:cs="Times New Roman"/>
        </w:rPr>
      </w:pPr>
      <w:r w:rsidRPr="00EE4D50">
        <w:rPr>
          <w:rFonts w:ascii="Verdana" w:hAnsi="Verdana" w:cs="Times New Roman"/>
          <w:b/>
          <w:i/>
        </w:rPr>
        <w:t>Palabras clave:</w:t>
      </w:r>
      <w:r w:rsidRPr="00EE4D50">
        <w:rPr>
          <w:rFonts w:ascii="Verdana" w:hAnsi="Verdana" w:cs="Times New Roman"/>
        </w:rPr>
        <w:t xml:space="preserve"> Sector automotriz, ensambladoras, autopartistas,</w:t>
      </w:r>
      <w:r w:rsidR="00A1147A">
        <w:rPr>
          <w:rFonts w:ascii="Verdana" w:hAnsi="Verdana" w:cs="Times New Roman"/>
        </w:rPr>
        <w:t xml:space="preserve"> CKD.</w:t>
      </w:r>
    </w:p>
    <w:p w:rsidR="00BB3D26" w:rsidRPr="00EE4D50" w:rsidRDefault="00BB3D26" w:rsidP="00EC63DA">
      <w:pPr>
        <w:rPr>
          <w:rFonts w:ascii="Verdana" w:hAnsi="Verdana" w:cs="Times New Roman"/>
        </w:rPr>
      </w:pPr>
    </w:p>
    <w:p w:rsidR="00BB07EF" w:rsidRPr="00EE4D50" w:rsidRDefault="00BB07EF" w:rsidP="00EC63DA">
      <w:pPr>
        <w:jc w:val="both"/>
        <w:rPr>
          <w:rFonts w:ascii="Verdana" w:eastAsia="Calibri" w:hAnsi="Verdana" w:cs="Times New Roman"/>
          <w:b/>
        </w:rPr>
      </w:pPr>
    </w:p>
    <w:p w:rsidR="00BB07EF" w:rsidRPr="00EE4D50" w:rsidRDefault="00BB07EF" w:rsidP="00EC63DA">
      <w:pPr>
        <w:jc w:val="both"/>
        <w:rPr>
          <w:rFonts w:ascii="Verdana" w:eastAsia="Calibri" w:hAnsi="Verdana" w:cs="Times New Roman"/>
          <w:b/>
        </w:rPr>
      </w:pPr>
    </w:p>
    <w:p w:rsidR="00BB07EF" w:rsidRPr="00EE4D50" w:rsidRDefault="00BB07EF" w:rsidP="00EC63DA">
      <w:pPr>
        <w:jc w:val="both"/>
        <w:rPr>
          <w:rFonts w:ascii="Verdana" w:eastAsia="Calibri" w:hAnsi="Verdana" w:cs="Times New Roman"/>
          <w:b/>
        </w:rPr>
      </w:pPr>
    </w:p>
    <w:p w:rsidR="00BB07EF" w:rsidRPr="00EE4D50" w:rsidRDefault="00BB07EF" w:rsidP="00EC63DA">
      <w:pPr>
        <w:jc w:val="both"/>
        <w:rPr>
          <w:rFonts w:ascii="Verdana" w:eastAsia="Calibri" w:hAnsi="Verdana" w:cs="Times New Roman"/>
          <w:b/>
        </w:rPr>
      </w:pPr>
    </w:p>
    <w:p w:rsidR="00BB07EF" w:rsidRPr="00EE4D50" w:rsidRDefault="00BB07EF" w:rsidP="00EC63DA">
      <w:pPr>
        <w:jc w:val="both"/>
        <w:rPr>
          <w:rFonts w:ascii="Verdana" w:eastAsia="Calibri" w:hAnsi="Verdana" w:cs="Times New Roman"/>
          <w:b/>
        </w:rPr>
      </w:pPr>
    </w:p>
    <w:p w:rsidR="00BB07EF" w:rsidRPr="00EE4D50" w:rsidRDefault="00BB07EF" w:rsidP="00EC63DA">
      <w:pPr>
        <w:jc w:val="both"/>
        <w:rPr>
          <w:rFonts w:ascii="Verdana" w:eastAsia="Calibri" w:hAnsi="Verdana" w:cs="Times New Roman"/>
          <w:b/>
        </w:rPr>
      </w:pPr>
    </w:p>
    <w:p w:rsidR="00294A80" w:rsidRPr="00EE4D50" w:rsidRDefault="00294A80" w:rsidP="00EC63DA">
      <w:pPr>
        <w:jc w:val="both"/>
        <w:rPr>
          <w:rFonts w:ascii="Verdana" w:eastAsia="Calibri" w:hAnsi="Verdana" w:cs="Times New Roman"/>
          <w:b/>
        </w:rPr>
      </w:pPr>
    </w:p>
    <w:p w:rsidR="00BB07EF" w:rsidRPr="00EE4D50" w:rsidRDefault="00BB07EF" w:rsidP="00EC63DA">
      <w:pPr>
        <w:pStyle w:val="Ttulo2"/>
        <w:rPr>
          <w:rFonts w:cs="Times New Roman"/>
        </w:rPr>
      </w:pPr>
    </w:p>
    <w:p w:rsidR="00095A1D" w:rsidRDefault="00095A1D" w:rsidP="00EC63DA">
      <w:pPr>
        <w:rPr>
          <w:rFonts w:ascii="Verdana" w:hAnsi="Verdana" w:cs="Times New Roman"/>
        </w:rPr>
      </w:pPr>
    </w:p>
    <w:p w:rsidR="005B103B" w:rsidRDefault="005B103B" w:rsidP="005B103B">
      <w:pPr>
        <w:pStyle w:val="Ttulo1"/>
        <w:jc w:val="center"/>
        <w:rPr>
          <w:rFonts w:ascii="Verdana" w:hAnsi="Verdana" w:cs="Times New Roman"/>
          <w:i/>
          <w:color w:val="auto"/>
          <w:sz w:val="32"/>
          <w:szCs w:val="36"/>
          <w:lang w:val="en-US"/>
        </w:rPr>
      </w:pPr>
      <w:r w:rsidRPr="005A78B6">
        <w:rPr>
          <w:rFonts w:ascii="Verdana" w:hAnsi="Verdana" w:cs="Times New Roman"/>
          <w:i/>
          <w:color w:val="auto"/>
          <w:sz w:val="32"/>
          <w:szCs w:val="36"/>
          <w:lang w:val="en-US"/>
        </w:rPr>
        <w:lastRenderedPageBreak/>
        <w:t>Summary</w:t>
      </w:r>
    </w:p>
    <w:p w:rsidR="005B103B" w:rsidRPr="007B1F55" w:rsidRDefault="005B103B" w:rsidP="005B103B">
      <w:pPr>
        <w:rPr>
          <w:lang w:val="en-US"/>
        </w:rPr>
      </w:pPr>
    </w:p>
    <w:p w:rsidR="005B103B" w:rsidRPr="005B103B" w:rsidRDefault="005B103B" w:rsidP="005B103B">
      <w:pPr>
        <w:jc w:val="both"/>
        <w:rPr>
          <w:rFonts w:ascii="Verdana" w:hAnsi="Verdana" w:cs="Times New Roman"/>
          <w:lang w:val="en-US"/>
        </w:rPr>
      </w:pPr>
      <w:r w:rsidRPr="005B103B">
        <w:rPr>
          <w:rFonts w:ascii="Verdana" w:hAnsi="Verdana" w:cs="Times New Roman"/>
          <w:lang w:val="en-US"/>
        </w:rPr>
        <w:t>The present dissertation allows analyzing the Ecuadorian automotive sector which is important because promote among other sectors the metal-mechanic industry. The most important sector within this branch is the assembler, whose actors constitute the national and exportable supply of vehicles; the first supplier is the auto parts sector which intervenes in the all production chain in which are located suppliers of parts and accessories, mainly metal-mechanics, which with the imported CKD (Completely Knock Down) constitute the basis for the assembly of vehicles. It is emphasized that if these economic activities take greater incentives for their growth, the same as in other occasions, the production scales would increase in order to substitute imports for the local market.</w:t>
      </w:r>
    </w:p>
    <w:p w:rsidR="005B103B" w:rsidRPr="005B103B" w:rsidRDefault="005B103B" w:rsidP="005B103B">
      <w:pPr>
        <w:jc w:val="both"/>
        <w:rPr>
          <w:rFonts w:ascii="Verdana" w:hAnsi="Verdana" w:cs="Times New Roman"/>
          <w:lang w:val="en-US"/>
        </w:rPr>
      </w:pPr>
      <w:r w:rsidRPr="005B103B">
        <w:rPr>
          <w:rFonts w:ascii="Verdana" w:hAnsi="Verdana" w:cs="Times New Roman"/>
          <w:lang w:val="en-US"/>
        </w:rPr>
        <w:t xml:space="preserve">The development of the analysis contains three chapters which are divided into a historical review divided into three moments: first, the beginning of the automotive sector in the 1970s to the beginning of the dollarization scheme (development cycle), second time during the years 2003 and 2010 (cycle of stability) at the end in the period 2011 to 2015 (boom and recession cycle). The last period is the most important because it contains a statistical and documentary analysis, </w:t>
      </w:r>
      <w:r w:rsidRPr="005B103B">
        <w:rPr>
          <w:rFonts w:cs="Times New Roman"/>
          <w:lang w:val="en-US"/>
        </w:rPr>
        <w:t>strengthened</w:t>
      </w:r>
      <w:r w:rsidRPr="005B103B">
        <w:rPr>
          <w:rFonts w:ascii="Verdana" w:hAnsi="Verdana" w:cs="Times New Roman"/>
          <w:lang w:val="en-US"/>
        </w:rPr>
        <w:t xml:space="preserve"> with points of view of actors directly related to the study sector.</w:t>
      </w:r>
    </w:p>
    <w:p w:rsidR="005B103B" w:rsidRPr="005B103B" w:rsidRDefault="005B103B" w:rsidP="005B103B">
      <w:pPr>
        <w:jc w:val="both"/>
        <w:rPr>
          <w:rFonts w:ascii="Verdana" w:hAnsi="Verdana" w:cs="Times New Roman"/>
          <w:lang w:val="en-US"/>
        </w:rPr>
      </w:pPr>
      <w:r w:rsidRPr="005B103B">
        <w:rPr>
          <w:rFonts w:ascii="Verdana" w:hAnsi="Verdana" w:cs="Times New Roman"/>
          <w:lang w:val="en-US"/>
        </w:rPr>
        <w:t>In conclusion, the automotive assembler sector has a high value added, technology and conjuncture with different sectors, so that it has great potential to contribute to the diversification of the country's productive matrix.</w:t>
      </w:r>
    </w:p>
    <w:p w:rsidR="005B103B" w:rsidRPr="007B1F55" w:rsidRDefault="005B103B" w:rsidP="005B103B">
      <w:pPr>
        <w:jc w:val="both"/>
        <w:rPr>
          <w:rFonts w:ascii="Verdana" w:hAnsi="Verdana"/>
          <w:lang w:val="en-US"/>
        </w:rPr>
      </w:pPr>
    </w:p>
    <w:p w:rsidR="005B103B" w:rsidRPr="00350816" w:rsidRDefault="005B103B" w:rsidP="005B103B">
      <w:pPr>
        <w:jc w:val="both"/>
        <w:rPr>
          <w:rFonts w:ascii="Verdana" w:hAnsi="Verdana" w:cs="Times New Roman"/>
          <w:lang w:val="en-US"/>
        </w:rPr>
      </w:pPr>
      <w:r w:rsidRPr="00350816">
        <w:rPr>
          <w:rFonts w:ascii="Verdana" w:hAnsi="Verdana" w:cs="Times New Roman"/>
          <w:b/>
          <w:lang w:val="en-US"/>
        </w:rPr>
        <w:t>Key words</w:t>
      </w:r>
      <w:r w:rsidRPr="00350816">
        <w:rPr>
          <w:rFonts w:ascii="Verdana" w:hAnsi="Verdana" w:cs="Times New Roman"/>
          <w:lang w:val="en-US"/>
        </w:rPr>
        <w:t>: automotive sector, assemblers, autoparts, CKD (Completely Knock Down)</w:t>
      </w:r>
    </w:p>
    <w:p w:rsidR="005B103B" w:rsidRPr="00350816" w:rsidRDefault="005B103B" w:rsidP="005B103B">
      <w:pPr>
        <w:rPr>
          <w:rFonts w:ascii="Verdana" w:hAnsi="Verdana"/>
          <w:lang w:val="en-US"/>
        </w:rPr>
      </w:pPr>
    </w:p>
    <w:p w:rsidR="003869EF" w:rsidRDefault="003869EF" w:rsidP="00EC63DA">
      <w:pPr>
        <w:rPr>
          <w:rFonts w:ascii="Verdana" w:hAnsi="Verdana" w:cs="Times New Roman"/>
          <w:lang w:val="en-US"/>
        </w:rPr>
      </w:pPr>
    </w:p>
    <w:p w:rsidR="005B103B" w:rsidRDefault="005B103B" w:rsidP="00EC63DA">
      <w:pPr>
        <w:rPr>
          <w:rFonts w:ascii="Verdana" w:hAnsi="Verdana" w:cs="Times New Roman"/>
          <w:lang w:val="en-US"/>
        </w:rPr>
      </w:pPr>
    </w:p>
    <w:p w:rsidR="005B103B" w:rsidRDefault="005B103B" w:rsidP="00EC63DA">
      <w:pPr>
        <w:rPr>
          <w:rFonts w:ascii="Verdana" w:hAnsi="Verdana" w:cs="Times New Roman"/>
          <w:lang w:val="en-US"/>
        </w:rPr>
      </w:pPr>
    </w:p>
    <w:p w:rsidR="005B103B" w:rsidRDefault="005B103B" w:rsidP="00EC63DA">
      <w:pPr>
        <w:rPr>
          <w:rFonts w:ascii="Verdana" w:hAnsi="Verdana" w:cs="Times New Roman"/>
          <w:lang w:val="en-US"/>
        </w:rPr>
      </w:pPr>
    </w:p>
    <w:p w:rsidR="005B103B" w:rsidRDefault="005B103B" w:rsidP="00EC63DA">
      <w:pPr>
        <w:rPr>
          <w:rFonts w:ascii="Verdana" w:hAnsi="Verdana" w:cs="Times New Roman"/>
          <w:lang w:val="en-US"/>
        </w:rPr>
      </w:pPr>
    </w:p>
    <w:p w:rsidR="005B103B" w:rsidRDefault="005B103B" w:rsidP="00EC63DA">
      <w:pPr>
        <w:rPr>
          <w:rFonts w:ascii="Verdana" w:hAnsi="Verdana" w:cs="Times New Roman"/>
          <w:lang w:val="en-US"/>
        </w:rPr>
      </w:pPr>
    </w:p>
    <w:p w:rsidR="005B103B" w:rsidRDefault="005B103B" w:rsidP="00EC63DA">
      <w:pPr>
        <w:rPr>
          <w:rFonts w:ascii="Verdana" w:hAnsi="Verdana" w:cs="Times New Roman"/>
          <w:lang w:val="en-US"/>
        </w:rPr>
      </w:pPr>
    </w:p>
    <w:p w:rsidR="005B103B" w:rsidRDefault="005B103B" w:rsidP="00EC63DA">
      <w:pPr>
        <w:rPr>
          <w:rFonts w:ascii="Verdana" w:hAnsi="Verdana" w:cs="Times New Roman"/>
          <w:lang w:val="en-US"/>
        </w:rPr>
      </w:pPr>
    </w:p>
    <w:p w:rsidR="005B103B" w:rsidRPr="005B103B" w:rsidRDefault="005B103B" w:rsidP="00EC63DA">
      <w:pPr>
        <w:rPr>
          <w:rFonts w:ascii="Verdana" w:hAnsi="Verdana" w:cs="Times New Roman"/>
          <w:lang w:val="en-US"/>
        </w:rPr>
      </w:pPr>
    </w:p>
    <w:p w:rsidR="00BB34D4" w:rsidRPr="005B103B" w:rsidRDefault="00BB34D4" w:rsidP="00EC63DA">
      <w:pPr>
        <w:rPr>
          <w:rFonts w:ascii="Verdana" w:hAnsi="Verdana" w:cs="Times New Roman"/>
          <w:lang w:val="en-US"/>
        </w:rPr>
      </w:pPr>
    </w:p>
    <w:p w:rsidR="00BB34D4" w:rsidRPr="005B103B" w:rsidRDefault="00BB34D4" w:rsidP="00EC63DA">
      <w:pPr>
        <w:rPr>
          <w:rFonts w:ascii="Verdana" w:hAnsi="Verdana" w:cs="Times New Roman"/>
          <w:lang w:val="en-US"/>
        </w:rPr>
      </w:pPr>
    </w:p>
    <w:p w:rsidR="00BB34D4" w:rsidRPr="005B103B" w:rsidRDefault="00BB34D4" w:rsidP="00EC63DA">
      <w:pPr>
        <w:rPr>
          <w:rFonts w:ascii="Verdana" w:hAnsi="Verdana" w:cs="Times New Roman"/>
          <w:lang w:val="en-US"/>
        </w:rPr>
      </w:pPr>
    </w:p>
    <w:p w:rsidR="003869EF" w:rsidRDefault="003869EF" w:rsidP="003869EF">
      <w:pPr>
        <w:jc w:val="right"/>
        <w:rPr>
          <w:rFonts w:ascii="Verdana" w:hAnsi="Verdana" w:cs="Times New Roman"/>
          <w:i/>
        </w:rPr>
      </w:pPr>
      <w:r w:rsidRPr="003869EF">
        <w:rPr>
          <w:rFonts w:ascii="Verdana" w:hAnsi="Verdana" w:cs="Times New Roman"/>
          <w:i/>
        </w:rPr>
        <w:t xml:space="preserve">A mis hijos </w:t>
      </w:r>
      <w:r>
        <w:rPr>
          <w:rFonts w:ascii="Verdana" w:hAnsi="Verdana" w:cs="Times New Roman"/>
          <w:i/>
        </w:rPr>
        <w:t>que son mi fuerza y mi orgullo</w:t>
      </w:r>
    </w:p>
    <w:p w:rsidR="003869EF" w:rsidRDefault="003869EF" w:rsidP="003869EF">
      <w:pPr>
        <w:jc w:val="right"/>
        <w:rPr>
          <w:rFonts w:ascii="Verdana" w:hAnsi="Verdana" w:cs="Times New Roman"/>
          <w:i/>
        </w:rPr>
      </w:pPr>
      <w:r>
        <w:rPr>
          <w:rFonts w:ascii="Verdana" w:hAnsi="Verdana" w:cs="Times New Roman"/>
          <w:i/>
        </w:rPr>
        <w:t>A mis p</w:t>
      </w:r>
      <w:r w:rsidR="00BB34D4">
        <w:rPr>
          <w:rFonts w:ascii="Verdana" w:hAnsi="Verdana" w:cs="Times New Roman"/>
          <w:i/>
        </w:rPr>
        <w:t>adres por su</w:t>
      </w:r>
      <w:r>
        <w:rPr>
          <w:rFonts w:ascii="Verdana" w:hAnsi="Verdana" w:cs="Times New Roman"/>
          <w:i/>
        </w:rPr>
        <w:t xml:space="preserve"> esfuerzo, dedicación y </w:t>
      </w:r>
      <w:r w:rsidR="00BB34D4">
        <w:rPr>
          <w:rFonts w:ascii="Verdana" w:hAnsi="Verdana" w:cs="Times New Roman"/>
          <w:i/>
        </w:rPr>
        <w:t>comprensión</w:t>
      </w:r>
    </w:p>
    <w:p w:rsidR="00BB34D4" w:rsidRDefault="00BB34D4" w:rsidP="003869EF">
      <w:pPr>
        <w:jc w:val="right"/>
        <w:rPr>
          <w:rFonts w:ascii="Verdana" w:hAnsi="Verdana" w:cs="Times New Roman"/>
          <w:i/>
        </w:rPr>
      </w:pPr>
    </w:p>
    <w:p w:rsidR="00BB34D4" w:rsidRDefault="00BB34D4" w:rsidP="003869EF">
      <w:pPr>
        <w:jc w:val="right"/>
        <w:rPr>
          <w:rFonts w:ascii="Verdana" w:hAnsi="Verdana" w:cs="Times New Roman"/>
          <w:i/>
        </w:rPr>
      </w:pPr>
    </w:p>
    <w:p w:rsidR="00BB34D4" w:rsidRDefault="00BB34D4" w:rsidP="003869EF">
      <w:pPr>
        <w:jc w:val="right"/>
        <w:rPr>
          <w:rFonts w:ascii="Verdana" w:hAnsi="Verdana" w:cs="Times New Roman"/>
          <w:i/>
        </w:rPr>
      </w:pPr>
    </w:p>
    <w:p w:rsidR="00BB34D4" w:rsidRDefault="00BB34D4" w:rsidP="003869EF">
      <w:pPr>
        <w:jc w:val="right"/>
        <w:rPr>
          <w:rFonts w:ascii="Verdana" w:hAnsi="Verdana" w:cs="Times New Roman"/>
          <w:i/>
        </w:rPr>
      </w:pPr>
    </w:p>
    <w:p w:rsidR="00BB34D4" w:rsidRDefault="00BB34D4" w:rsidP="003869EF">
      <w:pPr>
        <w:jc w:val="right"/>
        <w:rPr>
          <w:rFonts w:ascii="Verdana" w:hAnsi="Verdana" w:cs="Times New Roman"/>
          <w:i/>
        </w:rPr>
      </w:pPr>
    </w:p>
    <w:p w:rsidR="00BB34D4" w:rsidRDefault="00BB34D4" w:rsidP="003869EF">
      <w:pPr>
        <w:jc w:val="right"/>
        <w:rPr>
          <w:rFonts w:ascii="Verdana" w:hAnsi="Verdana" w:cs="Times New Roman"/>
          <w:i/>
        </w:rPr>
      </w:pPr>
    </w:p>
    <w:p w:rsidR="00BB34D4" w:rsidRDefault="00BB34D4" w:rsidP="003869EF">
      <w:pPr>
        <w:jc w:val="right"/>
        <w:rPr>
          <w:rFonts w:ascii="Verdana" w:hAnsi="Verdana" w:cs="Times New Roman"/>
          <w:i/>
        </w:rPr>
      </w:pPr>
    </w:p>
    <w:p w:rsidR="00BB34D4" w:rsidRDefault="00BB34D4" w:rsidP="003869EF">
      <w:pPr>
        <w:jc w:val="right"/>
        <w:rPr>
          <w:rFonts w:ascii="Verdana" w:hAnsi="Verdana" w:cs="Times New Roman"/>
          <w:i/>
        </w:rPr>
      </w:pPr>
    </w:p>
    <w:p w:rsidR="00BB34D4" w:rsidRDefault="00BB34D4" w:rsidP="003869EF">
      <w:pPr>
        <w:jc w:val="right"/>
        <w:rPr>
          <w:rFonts w:ascii="Verdana" w:hAnsi="Verdana" w:cs="Times New Roman"/>
          <w:i/>
        </w:rPr>
      </w:pPr>
    </w:p>
    <w:p w:rsidR="00BB34D4" w:rsidRDefault="00BB34D4" w:rsidP="003869EF">
      <w:pPr>
        <w:jc w:val="right"/>
        <w:rPr>
          <w:rFonts w:ascii="Verdana" w:hAnsi="Verdana" w:cs="Times New Roman"/>
          <w:i/>
        </w:rPr>
      </w:pPr>
    </w:p>
    <w:p w:rsidR="00BB34D4" w:rsidRDefault="00BB34D4" w:rsidP="003869EF">
      <w:pPr>
        <w:jc w:val="right"/>
        <w:rPr>
          <w:rFonts w:ascii="Verdana" w:hAnsi="Verdana" w:cs="Times New Roman"/>
          <w:i/>
        </w:rPr>
      </w:pPr>
    </w:p>
    <w:p w:rsidR="00BB34D4" w:rsidRDefault="00BB34D4" w:rsidP="003869EF">
      <w:pPr>
        <w:jc w:val="right"/>
        <w:rPr>
          <w:rFonts w:ascii="Verdana" w:hAnsi="Verdana" w:cs="Times New Roman"/>
          <w:i/>
        </w:rPr>
      </w:pPr>
    </w:p>
    <w:p w:rsidR="00BB34D4" w:rsidRDefault="00BB34D4" w:rsidP="003869EF">
      <w:pPr>
        <w:jc w:val="right"/>
        <w:rPr>
          <w:rFonts w:ascii="Verdana" w:hAnsi="Verdana" w:cs="Times New Roman"/>
          <w:i/>
        </w:rPr>
      </w:pPr>
    </w:p>
    <w:p w:rsidR="00BB34D4" w:rsidRDefault="00BB34D4" w:rsidP="003869EF">
      <w:pPr>
        <w:jc w:val="right"/>
        <w:rPr>
          <w:rFonts w:ascii="Verdana" w:hAnsi="Verdana" w:cs="Times New Roman"/>
          <w:i/>
        </w:rPr>
      </w:pPr>
    </w:p>
    <w:p w:rsidR="00BB34D4" w:rsidRDefault="00BB34D4" w:rsidP="003869EF">
      <w:pPr>
        <w:jc w:val="right"/>
        <w:rPr>
          <w:rFonts w:ascii="Verdana" w:hAnsi="Verdana" w:cs="Times New Roman"/>
          <w:i/>
        </w:rPr>
      </w:pPr>
    </w:p>
    <w:p w:rsidR="00BB34D4" w:rsidRDefault="00BB34D4" w:rsidP="003869EF">
      <w:pPr>
        <w:jc w:val="right"/>
        <w:rPr>
          <w:rFonts w:ascii="Verdana" w:hAnsi="Verdana" w:cs="Times New Roman"/>
          <w:i/>
        </w:rPr>
      </w:pPr>
    </w:p>
    <w:p w:rsidR="00BB34D4" w:rsidRDefault="00BB34D4" w:rsidP="003869EF">
      <w:pPr>
        <w:jc w:val="right"/>
        <w:rPr>
          <w:rFonts w:ascii="Verdana" w:hAnsi="Verdana" w:cs="Times New Roman"/>
          <w:i/>
        </w:rPr>
      </w:pPr>
    </w:p>
    <w:p w:rsidR="00BB34D4" w:rsidRDefault="00BB34D4" w:rsidP="003869EF">
      <w:pPr>
        <w:jc w:val="right"/>
        <w:rPr>
          <w:rFonts w:ascii="Verdana" w:hAnsi="Verdana" w:cs="Times New Roman"/>
          <w:i/>
        </w:rPr>
      </w:pPr>
    </w:p>
    <w:p w:rsidR="00BB34D4" w:rsidRDefault="00BB34D4" w:rsidP="003869EF">
      <w:pPr>
        <w:jc w:val="right"/>
        <w:rPr>
          <w:rFonts w:ascii="Verdana" w:hAnsi="Verdana" w:cs="Times New Roman"/>
          <w:i/>
        </w:rPr>
      </w:pPr>
    </w:p>
    <w:p w:rsidR="00BB34D4" w:rsidRDefault="00BB34D4" w:rsidP="003869EF">
      <w:pPr>
        <w:jc w:val="right"/>
        <w:rPr>
          <w:rFonts w:ascii="Verdana" w:hAnsi="Verdana" w:cs="Times New Roman"/>
          <w:i/>
        </w:rPr>
      </w:pPr>
    </w:p>
    <w:p w:rsidR="009F1305" w:rsidRDefault="009F1305" w:rsidP="003869EF">
      <w:pPr>
        <w:jc w:val="right"/>
        <w:rPr>
          <w:rFonts w:ascii="Verdana" w:hAnsi="Verdana" w:cs="Times New Roman"/>
          <w:i/>
        </w:rPr>
      </w:pPr>
    </w:p>
    <w:p w:rsidR="00BB34D4" w:rsidRPr="003869EF" w:rsidRDefault="00BB34D4" w:rsidP="003869EF">
      <w:pPr>
        <w:jc w:val="right"/>
        <w:rPr>
          <w:rFonts w:ascii="Verdana" w:hAnsi="Verdana" w:cs="Times New Roman"/>
          <w:i/>
        </w:rPr>
      </w:pPr>
    </w:p>
    <w:sdt>
      <w:sdtPr>
        <w:rPr>
          <w:rFonts w:ascii="Verdana" w:hAnsi="Verdana" w:cs="Times New Roman"/>
          <w:bCs/>
          <w:i/>
          <w:color w:val="000000" w:themeColor="text1"/>
          <w:lang w:val="es-ES"/>
        </w:rPr>
        <w:id w:val="1216087242"/>
        <w:docPartObj>
          <w:docPartGallery w:val="Table of Contents"/>
          <w:docPartUnique/>
        </w:docPartObj>
      </w:sdtPr>
      <w:sdtEndPr>
        <w:rPr>
          <w:bCs w:val="0"/>
        </w:rPr>
      </w:sdtEndPr>
      <w:sdtContent>
        <w:p w:rsidR="00B10406" w:rsidRPr="009F1305" w:rsidRDefault="00B10406" w:rsidP="00EC63DA">
          <w:pPr>
            <w:jc w:val="center"/>
            <w:rPr>
              <w:rFonts w:ascii="Verdana" w:hAnsi="Verdana" w:cs="Times New Roman"/>
              <w:b/>
              <w:i/>
            </w:rPr>
          </w:pPr>
          <w:r w:rsidRPr="009F1305">
            <w:rPr>
              <w:rFonts w:ascii="Verdana" w:eastAsia="Times New Roman" w:hAnsi="Verdana" w:cs="Times New Roman"/>
              <w:b/>
              <w:i/>
              <w:lang w:eastAsia="es-EC"/>
            </w:rPr>
            <w:t>Análisis del sector automotriz ecuatoriano. Periodo 2011-2015</w:t>
          </w:r>
        </w:p>
        <w:p w:rsidR="00095A1D" w:rsidRPr="009F1305" w:rsidRDefault="00095A1D" w:rsidP="00EC63DA">
          <w:pPr>
            <w:suppressAutoHyphens/>
            <w:autoSpaceDN w:val="0"/>
            <w:jc w:val="center"/>
            <w:textAlignment w:val="baseline"/>
            <w:rPr>
              <w:rFonts w:ascii="Verdana" w:hAnsi="Verdana" w:cs="Times New Roman"/>
              <w:b/>
              <w:i/>
              <w:color w:val="000000" w:themeColor="text1"/>
            </w:rPr>
          </w:pPr>
        </w:p>
        <w:p w:rsidR="009F1305" w:rsidRPr="009F1305" w:rsidRDefault="00BB07EF">
          <w:pPr>
            <w:pStyle w:val="TDC1"/>
            <w:tabs>
              <w:tab w:val="right" w:leader="dot" w:pos="9061"/>
            </w:tabs>
            <w:rPr>
              <w:rFonts w:ascii="Verdana" w:eastAsiaTheme="minorEastAsia" w:hAnsi="Verdana"/>
              <w:noProof/>
              <w:lang w:val="es-EC" w:eastAsia="es-EC"/>
            </w:rPr>
          </w:pPr>
          <w:r w:rsidRPr="009F1305">
            <w:rPr>
              <w:rFonts w:ascii="Verdana" w:hAnsi="Verdana" w:cs="Times New Roman"/>
              <w:i/>
              <w:color w:val="000000" w:themeColor="text1"/>
            </w:rPr>
            <w:fldChar w:fldCharType="begin"/>
          </w:r>
          <w:r w:rsidRPr="009F1305">
            <w:rPr>
              <w:rFonts w:ascii="Verdana" w:hAnsi="Verdana" w:cs="Times New Roman"/>
              <w:i/>
              <w:color w:val="000000" w:themeColor="text1"/>
            </w:rPr>
            <w:instrText xml:space="preserve"> TOC \o "1-3" \h \z \u </w:instrText>
          </w:r>
          <w:r w:rsidRPr="009F1305">
            <w:rPr>
              <w:rFonts w:ascii="Verdana" w:hAnsi="Verdana" w:cs="Times New Roman"/>
              <w:i/>
              <w:color w:val="000000" w:themeColor="text1"/>
            </w:rPr>
            <w:fldChar w:fldCharType="separate"/>
          </w:r>
          <w:hyperlink w:anchor="_Toc485137176" w:history="1">
            <w:r w:rsidR="009F1305" w:rsidRPr="009F1305">
              <w:rPr>
                <w:rStyle w:val="Hipervnculo"/>
                <w:rFonts w:ascii="Verdana" w:hAnsi="Verdana" w:cs="Times New Roman"/>
                <w:i/>
                <w:noProof/>
              </w:rPr>
              <w:t>Resumen</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_Toc485137176 \h </w:instrText>
            </w:r>
            <w:r w:rsidR="009F1305" w:rsidRPr="009F1305">
              <w:rPr>
                <w:rFonts w:ascii="Verdana" w:hAnsi="Verdana"/>
                <w:noProof/>
                <w:webHidden/>
              </w:rPr>
            </w:r>
            <w:r w:rsidR="009F1305" w:rsidRPr="009F1305">
              <w:rPr>
                <w:rFonts w:ascii="Verdana" w:hAnsi="Verdana"/>
                <w:noProof/>
                <w:webHidden/>
              </w:rPr>
              <w:fldChar w:fldCharType="separate"/>
            </w:r>
            <w:r w:rsidR="001630A5">
              <w:rPr>
                <w:rFonts w:ascii="Verdana" w:hAnsi="Verdana"/>
                <w:noProof/>
                <w:webHidden/>
              </w:rPr>
              <w:t>2</w:t>
            </w:r>
            <w:r w:rsidR="009F1305" w:rsidRPr="009F1305">
              <w:rPr>
                <w:rFonts w:ascii="Verdana" w:hAnsi="Verdana"/>
                <w:noProof/>
                <w:webHidden/>
              </w:rPr>
              <w:fldChar w:fldCharType="end"/>
            </w:r>
          </w:hyperlink>
        </w:p>
        <w:p w:rsidR="009F1305" w:rsidRPr="009F1305" w:rsidRDefault="001630A5">
          <w:pPr>
            <w:pStyle w:val="TDC1"/>
            <w:tabs>
              <w:tab w:val="right" w:leader="dot" w:pos="9061"/>
            </w:tabs>
            <w:rPr>
              <w:rFonts w:ascii="Verdana" w:eastAsiaTheme="minorEastAsia" w:hAnsi="Verdana"/>
              <w:noProof/>
              <w:lang w:val="es-EC" w:eastAsia="es-EC"/>
            </w:rPr>
          </w:pPr>
          <w:hyperlink w:anchor="_Toc485137177" w:history="1">
            <w:r w:rsidR="009F1305" w:rsidRPr="009F1305">
              <w:rPr>
                <w:rStyle w:val="Hipervnculo"/>
                <w:rFonts w:ascii="Verdana" w:hAnsi="Verdana" w:cs="Times New Roman"/>
                <w:i/>
                <w:noProof/>
              </w:rPr>
              <w:t>Introducción</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_Toc485137177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9</w:t>
            </w:r>
            <w:r w:rsidR="009F1305" w:rsidRPr="009F1305">
              <w:rPr>
                <w:rFonts w:ascii="Verdana" w:hAnsi="Verdana"/>
                <w:noProof/>
                <w:webHidden/>
              </w:rPr>
              <w:fldChar w:fldCharType="end"/>
            </w:r>
          </w:hyperlink>
        </w:p>
        <w:p w:rsidR="009F1305" w:rsidRPr="009F1305" w:rsidRDefault="001630A5">
          <w:pPr>
            <w:pStyle w:val="TDC1"/>
            <w:tabs>
              <w:tab w:val="right" w:leader="dot" w:pos="9061"/>
            </w:tabs>
            <w:rPr>
              <w:rFonts w:ascii="Verdana" w:eastAsiaTheme="minorEastAsia" w:hAnsi="Verdana"/>
              <w:noProof/>
              <w:lang w:val="es-EC" w:eastAsia="es-EC"/>
            </w:rPr>
          </w:pPr>
          <w:hyperlink w:anchor="_Toc485137178" w:history="1">
            <w:r w:rsidR="009F1305" w:rsidRPr="009F1305">
              <w:rPr>
                <w:rStyle w:val="Hipervnculo"/>
                <w:rFonts w:ascii="Verdana" w:hAnsi="Verdana" w:cs="Times New Roman"/>
                <w:i/>
                <w:noProof/>
              </w:rPr>
              <w:t>Metodología del trabajo</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_Toc485137178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12</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179" w:history="1">
            <w:r w:rsidR="009F1305" w:rsidRPr="009F1305">
              <w:rPr>
                <w:rStyle w:val="Hipervnculo"/>
                <w:rFonts w:ascii="Verdana" w:hAnsi="Verdana" w:cs="Times New Roman"/>
                <w:noProof/>
              </w:rPr>
              <w:t>Pregunta general:</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_Toc485137179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12</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180" w:history="1">
            <w:r w:rsidR="009F1305" w:rsidRPr="009F1305">
              <w:rPr>
                <w:rStyle w:val="Hipervnculo"/>
                <w:rFonts w:ascii="Verdana" w:hAnsi="Verdana"/>
                <w:noProof/>
              </w:rPr>
              <w:t>Preguntas específicas:</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_Toc485137180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12</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181" w:history="1">
            <w:r w:rsidR="009F1305" w:rsidRPr="009F1305">
              <w:rPr>
                <w:rStyle w:val="Hipervnculo"/>
                <w:rFonts w:ascii="Verdana" w:hAnsi="Verdana"/>
                <w:noProof/>
              </w:rPr>
              <w:t>Objetivo general:</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_Toc485137181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12</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182" w:history="1">
            <w:r w:rsidR="009F1305" w:rsidRPr="009F1305">
              <w:rPr>
                <w:rStyle w:val="Hipervnculo"/>
                <w:rFonts w:ascii="Verdana" w:hAnsi="Verdana"/>
                <w:noProof/>
              </w:rPr>
              <w:t>Objetivos específicos:</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_Toc485137182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12</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183" w:history="1">
            <w:r w:rsidR="009F1305" w:rsidRPr="009F1305">
              <w:rPr>
                <w:rStyle w:val="Hipervnculo"/>
                <w:rFonts w:ascii="Verdana" w:hAnsi="Verdana"/>
                <w:noProof/>
              </w:rPr>
              <w:t>Tipo de investigación</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_Toc485137183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12</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184" w:history="1">
            <w:r w:rsidR="009F1305" w:rsidRPr="009F1305">
              <w:rPr>
                <w:rStyle w:val="Hipervnculo"/>
                <w:rFonts w:ascii="Verdana" w:hAnsi="Verdana"/>
                <w:noProof/>
              </w:rPr>
              <w:t>Procedimiento metodológico</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_Toc485137184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13</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185" w:history="1">
            <w:r w:rsidR="009F1305" w:rsidRPr="009F1305">
              <w:rPr>
                <w:rStyle w:val="Hipervnculo"/>
                <w:rFonts w:ascii="Verdana" w:hAnsi="Verdana"/>
                <w:noProof/>
              </w:rPr>
              <w:t>Fuentes de información</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_Toc485137185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13</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186" w:history="1">
            <w:r w:rsidR="009F1305" w:rsidRPr="009F1305">
              <w:rPr>
                <w:rStyle w:val="Hipervnculo"/>
                <w:rFonts w:ascii="Verdana" w:hAnsi="Verdana"/>
                <w:noProof/>
              </w:rPr>
              <w:t>Variables e indicadores</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_Toc485137186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14</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187" w:history="1">
            <w:r w:rsidR="009F1305" w:rsidRPr="009F1305">
              <w:rPr>
                <w:rStyle w:val="Hipervnculo"/>
                <w:rFonts w:ascii="Verdana" w:hAnsi="Verdana" w:cs="Times New Roman"/>
                <w:noProof/>
              </w:rPr>
              <w:t>Delimitación</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_Toc485137187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15</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188" w:history="1">
            <w:r w:rsidR="009F1305" w:rsidRPr="009F1305">
              <w:rPr>
                <w:rStyle w:val="Hipervnculo"/>
                <w:rFonts w:ascii="Verdana" w:hAnsi="Verdana" w:cs="Times New Roman"/>
                <w:noProof/>
              </w:rPr>
              <w:t>Espacial:</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_Toc485137188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15</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189" w:history="1">
            <w:r w:rsidR="009F1305" w:rsidRPr="009F1305">
              <w:rPr>
                <w:rStyle w:val="Hipervnculo"/>
                <w:rFonts w:ascii="Verdana" w:hAnsi="Verdana" w:cs="Times New Roman"/>
                <w:noProof/>
              </w:rPr>
              <w:t>Temporal:</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_Toc485137189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15</w:t>
            </w:r>
            <w:r w:rsidR="009F1305" w:rsidRPr="009F1305">
              <w:rPr>
                <w:rFonts w:ascii="Verdana" w:hAnsi="Verdana"/>
                <w:noProof/>
                <w:webHidden/>
              </w:rPr>
              <w:fldChar w:fldCharType="end"/>
            </w:r>
          </w:hyperlink>
        </w:p>
        <w:p w:rsidR="009F1305" w:rsidRPr="009F1305" w:rsidRDefault="001630A5">
          <w:pPr>
            <w:pStyle w:val="TDC1"/>
            <w:tabs>
              <w:tab w:val="right" w:leader="dot" w:pos="9061"/>
            </w:tabs>
            <w:rPr>
              <w:rFonts w:ascii="Verdana" w:eastAsiaTheme="minorEastAsia" w:hAnsi="Verdana"/>
              <w:noProof/>
              <w:lang w:val="es-EC" w:eastAsia="es-EC"/>
            </w:rPr>
          </w:pPr>
          <w:hyperlink w:anchor="_Toc485137190" w:history="1">
            <w:r w:rsidR="009F1305" w:rsidRPr="009F1305">
              <w:rPr>
                <w:rStyle w:val="Hipervnculo"/>
                <w:rFonts w:ascii="Verdana" w:hAnsi="Verdana" w:cs="Times New Roman"/>
                <w:i/>
                <w:noProof/>
              </w:rPr>
              <w:t>Fundamentación teórica</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_Toc485137190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16</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191" w:history="1">
            <w:r w:rsidR="009F1305" w:rsidRPr="009F1305">
              <w:rPr>
                <w:rStyle w:val="Hipervnculo"/>
                <w:rFonts w:ascii="Verdana" w:hAnsi="Verdana" w:cs="Times New Roman"/>
                <w:noProof/>
              </w:rPr>
              <w:t>Adam Smith</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_Toc485137191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16</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192" w:history="1">
            <w:r w:rsidR="009F1305" w:rsidRPr="009F1305">
              <w:rPr>
                <w:rStyle w:val="Hipervnculo"/>
                <w:rFonts w:ascii="Verdana" w:hAnsi="Verdana" w:cs="Times New Roman"/>
                <w:noProof/>
              </w:rPr>
              <w:t>David Ricardo</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_Toc485137192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17</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193" w:history="1">
            <w:r w:rsidR="009F1305" w:rsidRPr="009F1305">
              <w:rPr>
                <w:rStyle w:val="Hipervnculo"/>
                <w:rFonts w:ascii="Verdana" w:hAnsi="Verdana" w:cs="Times New Roman"/>
                <w:noProof/>
              </w:rPr>
              <w:t>Competitividad</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_Toc485137193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18</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194" w:history="1">
            <w:r w:rsidR="009F1305" w:rsidRPr="009F1305">
              <w:rPr>
                <w:rStyle w:val="Hipervnculo"/>
                <w:rFonts w:ascii="Verdana" w:hAnsi="Verdana" w:cs="Times New Roman"/>
                <w:noProof/>
              </w:rPr>
              <w:t>Diamante De Porter</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_Toc485137194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20</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195" w:history="1">
            <w:r w:rsidR="009F1305" w:rsidRPr="009F1305">
              <w:rPr>
                <w:rStyle w:val="Hipervnculo"/>
                <w:rFonts w:ascii="Verdana" w:hAnsi="Verdana" w:cs="Times New Roman"/>
                <w:noProof/>
              </w:rPr>
              <w:t>Cadena de valor</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_Toc485137195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21</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196" w:history="1">
            <w:r w:rsidR="009F1305" w:rsidRPr="009F1305">
              <w:rPr>
                <w:rStyle w:val="Hipervnculo"/>
                <w:rFonts w:ascii="Verdana" w:hAnsi="Verdana" w:cs="Times New Roman"/>
                <w:noProof/>
              </w:rPr>
              <w:t>Cadena Productiva</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_Toc485137196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22</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197" w:history="1">
            <w:r w:rsidR="009F1305" w:rsidRPr="009F1305">
              <w:rPr>
                <w:rStyle w:val="Hipervnculo"/>
                <w:rFonts w:ascii="Verdana" w:hAnsi="Verdana" w:cs="Times New Roman"/>
                <w:noProof/>
              </w:rPr>
              <w:t>Estructuralismo e Industrialización</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_Toc485137197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23</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198" w:history="1">
            <w:r w:rsidR="009F1305" w:rsidRPr="009F1305">
              <w:rPr>
                <w:rStyle w:val="Hipervnculo"/>
                <w:rFonts w:ascii="Verdana" w:hAnsi="Verdana" w:cs="Times New Roman"/>
                <w:noProof/>
              </w:rPr>
              <w:t>Política Industrial</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_Toc485137198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26</w:t>
            </w:r>
            <w:r w:rsidR="009F1305" w:rsidRPr="009F1305">
              <w:rPr>
                <w:rFonts w:ascii="Verdana" w:hAnsi="Verdana"/>
                <w:noProof/>
                <w:webHidden/>
              </w:rPr>
              <w:fldChar w:fldCharType="end"/>
            </w:r>
          </w:hyperlink>
        </w:p>
        <w:bookmarkStart w:id="1" w:name="_GoBack"/>
        <w:p w:rsidR="009F1305" w:rsidRPr="009F1305" w:rsidRDefault="001630A5">
          <w:pPr>
            <w:pStyle w:val="TDC1"/>
            <w:tabs>
              <w:tab w:val="right" w:leader="dot" w:pos="9061"/>
            </w:tabs>
            <w:rPr>
              <w:rFonts w:ascii="Verdana" w:eastAsiaTheme="minorEastAsia" w:hAnsi="Verdana"/>
              <w:noProof/>
              <w:lang w:val="es-EC" w:eastAsia="es-EC"/>
            </w:rPr>
          </w:pPr>
          <w:r>
            <w:rPr>
              <w:noProof/>
            </w:rPr>
            <w:fldChar w:fldCharType="begin"/>
          </w:r>
          <w:r>
            <w:rPr>
              <w:noProof/>
            </w:rPr>
            <w:instrText xml:space="preserve"> HYPERLINK \l "_Toc485137199" </w:instrText>
          </w:r>
          <w:r w:rsidR="005B103B">
            <w:rPr>
              <w:noProof/>
            </w:rPr>
          </w:r>
          <w:r>
            <w:rPr>
              <w:noProof/>
            </w:rPr>
            <w:fldChar w:fldCharType="separate"/>
          </w:r>
          <w:r w:rsidR="009F1305" w:rsidRPr="009F1305">
            <w:rPr>
              <w:rStyle w:val="Hipervnculo"/>
              <w:rFonts w:ascii="Verdana" w:eastAsia="Calibri" w:hAnsi="Verdana" w:cs="Times New Roman"/>
              <w:i/>
              <w:noProof/>
            </w:rPr>
            <w:t>Capítulo 1</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_Toc485137199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27</w:t>
          </w:r>
          <w:r w:rsidR="009F1305" w:rsidRPr="009F1305">
            <w:rPr>
              <w:rFonts w:ascii="Verdana" w:hAnsi="Verdana"/>
              <w:noProof/>
              <w:webHidden/>
            </w:rPr>
            <w:fldChar w:fldCharType="end"/>
          </w:r>
          <w:r>
            <w:rPr>
              <w:rFonts w:ascii="Verdana" w:hAnsi="Verdana"/>
              <w:noProof/>
            </w:rPr>
            <w:fldChar w:fldCharType="end"/>
          </w:r>
        </w:p>
        <w:bookmarkEnd w:id="1"/>
        <w:p w:rsidR="009F1305" w:rsidRPr="009F1305" w:rsidRDefault="001630A5">
          <w:pPr>
            <w:pStyle w:val="TDC2"/>
            <w:tabs>
              <w:tab w:val="right" w:leader="dot" w:pos="9061"/>
            </w:tabs>
            <w:rPr>
              <w:rFonts w:ascii="Verdana" w:eastAsiaTheme="minorEastAsia" w:hAnsi="Verdana"/>
              <w:noProof/>
              <w:lang w:val="es-EC" w:eastAsia="es-EC"/>
            </w:rPr>
          </w:pPr>
          <w:r>
            <w:rPr>
              <w:noProof/>
            </w:rPr>
            <w:fldChar w:fldCharType="begin"/>
          </w:r>
          <w:r>
            <w:rPr>
              <w:noProof/>
            </w:rPr>
            <w:instrText xml:space="preserve"> HYPERLINK \l "_Toc485137200" </w:instrText>
          </w:r>
          <w:r w:rsidR="005B103B">
            <w:rPr>
              <w:noProof/>
            </w:rPr>
          </w:r>
          <w:r>
            <w:rPr>
              <w:noProof/>
            </w:rPr>
            <w:fldChar w:fldCharType="separate"/>
          </w:r>
          <w:r w:rsidR="009F1305" w:rsidRPr="009F1305">
            <w:rPr>
              <w:rStyle w:val="Hipervnculo"/>
              <w:rFonts w:ascii="Verdana" w:hAnsi="Verdana" w:cs="Times New Roman"/>
              <w:noProof/>
            </w:rPr>
            <w:t>Historia de la industria automotriz del Ecuador</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_Toc485137200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27</w:t>
          </w:r>
          <w:r w:rsidR="009F1305" w:rsidRPr="009F1305">
            <w:rPr>
              <w:rFonts w:ascii="Verdana" w:hAnsi="Verdana"/>
              <w:noProof/>
              <w:webHidden/>
            </w:rPr>
            <w:fldChar w:fldCharType="end"/>
          </w:r>
          <w:r>
            <w:rPr>
              <w:rFonts w:ascii="Verdana" w:hAnsi="Verdana"/>
              <w:noProof/>
            </w:rPr>
            <w:fldChar w:fldCharType="end"/>
          </w:r>
        </w:p>
        <w:p w:rsidR="009F1305" w:rsidRPr="009F1305" w:rsidRDefault="001630A5">
          <w:pPr>
            <w:pStyle w:val="TDC2"/>
            <w:tabs>
              <w:tab w:val="right" w:leader="dot" w:pos="9061"/>
            </w:tabs>
            <w:rPr>
              <w:rFonts w:ascii="Verdana" w:eastAsiaTheme="minorEastAsia" w:hAnsi="Verdana"/>
              <w:noProof/>
              <w:lang w:val="es-EC" w:eastAsia="es-EC"/>
            </w:rPr>
          </w:pPr>
          <w:hyperlink w:anchor="_Toc485137201" w:history="1">
            <w:r w:rsidR="009F1305" w:rsidRPr="009F1305">
              <w:rPr>
                <w:rStyle w:val="Hipervnculo"/>
                <w:rFonts w:ascii="Verdana" w:hAnsi="Verdana" w:cs="Times New Roman"/>
                <w:noProof/>
              </w:rPr>
              <w:t>Normativa Andina vigente del sector automotriz</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_Toc485137201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31</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202" w:history="1">
            <w:r w:rsidR="009F1305" w:rsidRPr="009F1305">
              <w:rPr>
                <w:rStyle w:val="Hipervnculo"/>
                <w:rFonts w:ascii="Verdana" w:hAnsi="Verdana" w:cs="Times New Roman"/>
                <w:noProof/>
              </w:rPr>
              <w:t>Ensambladoras de vehículos en Ecuador</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_Toc485137202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33</w:t>
            </w:r>
            <w:r w:rsidR="009F1305" w:rsidRPr="009F1305">
              <w:rPr>
                <w:rFonts w:ascii="Verdana" w:hAnsi="Verdana"/>
                <w:noProof/>
                <w:webHidden/>
              </w:rPr>
              <w:fldChar w:fldCharType="end"/>
            </w:r>
          </w:hyperlink>
        </w:p>
        <w:p w:rsidR="009F1305" w:rsidRPr="009F1305" w:rsidRDefault="001630A5">
          <w:pPr>
            <w:pStyle w:val="TDC3"/>
            <w:tabs>
              <w:tab w:val="right" w:leader="dot" w:pos="9061"/>
            </w:tabs>
            <w:rPr>
              <w:rFonts w:ascii="Verdana" w:eastAsiaTheme="minorEastAsia" w:hAnsi="Verdana"/>
              <w:noProof/>
              <w:lang w:eastAsia="es-EC"/>
            </w:rPr>
          </w:pPr>
          <w:hyperlink w:anchor="_Toc485137203" w:history="1">
            <w:r w:rsidR="009F1305" w:rsidRPr="009F1305">
              <w:rPr>
                <w:rStyle w:val="Hipervnculo"/>
                <w:rFonts w:ascii="Verdana" w:hAnsi="Verdana" w:cs="Times New Roman"/>
                <w:i/>
                <w:noProof/>
              </w:rPr>
              <w:t>Aymesa</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_Toc485137203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34</w:t>
            </w:r>
            <w:r w:rsidR="009F1305" w:rsidRPr="009F1305">
              <w:rPr>
                <w:rFonts w:ascii="Verdana" w:hAnsi="Verdana"/>
                <w:noProof/>
                <w:webHidden/>
              </w:rPr>
              <w:fldChar w:fldCharType="end"/>
            </w:r>
          </w:hyperlink>
        </w:p>
        <w:p w:rsidR="009F1305" w:rsidRPr="009F1305" w:rsidRDefault="001630A5">
          <w:pPr>
            <w:pStyle w:val="TDC3"/>
            <w:tabs>
              <w:tab w:val="right" w:leader="dot" w:pos="9061"/>
            </w:tabs>
            <w:rPr>
              <w:rFonts w:ascii="Verdana" w:eastAsiaTheme="minorEastAsia" w:hAnsi="Verdana"/>
              <w:noProof/>
              <w:lang w:eastAsia="es-EC"/>
            </w:rPr>
          </w:pPr>
          <w:hyperlink w:anchor="_Toc485137204" w:history="1">
            <w:r w:rsidR="009F1305" w:rsidRPr="009F1305">
              <w:rPr>
                <w:rStyle w:val="Hipervnculo"/>
                <w:rFonts w:ascii="Verdana" w:hAnsi="Verdana" w:cs="Times New Roman"/>
                <w:i/>
                <w:noProof/>
              </w:rPr>
              <w:t>Omnibus BB</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_Toc485137204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37</w:t>
            </w:r>
            <w:r w:rsidR="009F1305" w:rsidRPr="009F1305">
              <w:rPr>
                <w:rFonts w:ascii="Verdana" w:hAnsi="Verdana"/>
                <w:noProof/>
                <w:webHidden/>
              </w:rPr>
              <w:fldChar w:fldCharType="end"/>
            </w:r>
          </w:hyperlink>
        </w:p>
        <w:p w:rsidR="009F1305" w:rsidRPr="009F1305" w:rsidRDefault="001630A5">
          <w:pPr>
            <w:pStyle w:val="TDC3"/>
            <w:tabs>
              <w:tab w:val="right" w:leader="dot" w:pos="9061"/>
            </w:tabs>
            <w:rPr>
              <w:rFonts w:ascii="Verdana" w:eastAsiaTheme="minorEastAsia" w:hAnsi="Verdana"/>
              <w:noProof/>
              <w:lang w:eastAsia="es-EC"/>
            </w:rPr>
          </w:pPr>
          <w:hyperlink w:anchor="_Toc485137205" w:history="1">
            <w:r w:rsidR="009F1305" w:rsidRPr="009F1305">
              <w:rPr>
                <w:rStyle w:val="Hipervnculo"/>
                <w:rFonts w:ascii="Verdana" w:hAnsi="Verdana" w:cs="Times New Roman"/>
                <w:i/>
                <w:noProof/>
              </w:rPr>
              <w:t>Maresa</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_Toc485137205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39</w:t>
            </w:r>
            <w:r w:rsidR="009F1305" w:rsidRPr="009F1305">
              <w:rPr>
                <w:rFonts w:ascii="Verdana" w:hAnsi="Verdana"/>
                <w:noProof/>
                <w:webHidden/>
              </w:rPr>
              <w:fldChar w:fldCharType="end"/>
            </w:r>
          </w:hyperlink>
        </w:p>
        <w:p w:rsidR="009F1305" w:rsidRPr="009F1305" w:rsidRDefault="001630A5">
          <w:pPr>
            <w:pStyle w:val="TDC3"/>
            <w:tabs>
              <w:tab w:val="right" w:leader="dot" w:pos="9061"/>
            </w:tabs>
            <w:rPr>
              <w:rFonts w:ascii="Verdana" w:eastAsiaTheme="minorEastAsia" w:hAnsi="Verdana"/>
              <w:noProof/>
              <w:lang w:eastAsia="es-EC"/>
            </w:rPr>
          </w:pPr>
          <w:hyperlink w:anchor="_Toc485137206" w:history="1">
            <w:r w:rsidR="009F1305" w:rsidRPr="009F1305">
              <w:rPr>
                <w:rStyle w:val="Hipervnculo"/>
                <w:rFonts w:ascii="Verdana" w:hAnsi="Verdana" w:cs="Times New Roman"/>
                <w:i/>
                <w:noProof/>
              </w:rPr>
              <w:t>Coenansa</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_Toc485137206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41</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207" w:history="1">
            <w:r w:rsidR="009F1305" w:rsidRPr="009F1305">
              <w:rPr>
                <w:rStyle w:val="Hipervnculo"/>
                <w:rFonts w:ascii="Verdana" w:hAnsi="Verdana" w:cs="Times New Roman"/>
                <w:noProof/>
              </w:rPr>
              <w:t>Producción vehicular</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_Toc485137207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42</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208" w:history="1">
            <w:r w:rsidR="009F1305" w:rsidRPr="009F1305">
              <w:rPr>
                <w:rStyle w:val="Hipervnculo"/>
                <w:rFonts w:ascii="Verdana" w:hAnsi="Verdana" w:cs="Times New Roman"/>
                <w:noProof/>
              </w:rPr>
              <w:t>Exportaciones de vehículos</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_Toc485137208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46</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209" w:history="1">
            <w:r w:rsidR="009F1305" w:rsidRPr="009F1305">
              <w:rPr>
                <w:rStyle w:val="Hipervnculo"/>
                <w:rFonts w:ascii="Verdana" w:hAnsi="Verdana" w:cs="Times New Roman"/>
                <w:noProof/>
              </w:rPr>
              <w:t>Importación de vehículos</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_Toc485137209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47</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210" w:history="1">
            <w:r w:rsidR="009F1305" w:rsidRPr="009F1305">
              <w:rPr>
                <w:rStyle w:val="Hipervnculo"/>
                <w:rFonts w:ascii="Verdana" w:hAnsi="Verdana"/>
                <w:noProof/>
              </w:rPr>
              <w:t>Conclusiones capítulo 1</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_Toc485137210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48</w:t>
            </w:r>
            <w:r w:rsidR="009F1305" w:rsidRPr="009F1305">
              <w:rPr>
                <w:rFonts w:ascii="Verdana" w:hAnsi="Verdana"/>
                <w:noProof/>
                <w:webHidden/>
              </w:rPr>
              <w:fldChar w:fldCharType="end"/>
            </w:r>
          </w:hyperlink>
        </w:p>
        <w:p w:rsidR="009F1305" w:rsidRPr="009F1305" w:rsidRDefault="001630A5">
          <w:pPr>
            <w:pStyle w:val="TDC1"/>
            <w:tabs>
              <w:tab w:val="right" w:leader="dot" w:pos="9061"/>
            </w:tabs>
            <w:rPr>
              <w:rFonts w:ascii="Verdana" w:eastAsiaTheme="minorEastAsia" w:hAnsi="Verdana"/>
              <w:noProof/>
              <w:lang w:val="es-EC" w:eastAsia="es-EC"/>
            </w:rPr>
          </w:pPr>
          <w:hyperlink w:anchor="_Toc485137211" w:history="1">
            <w:r w:rsidR="009F1305" w:rsidRPr="009F1305">
              <w:rPr>
                <w:rStyle w:val="Hipervnculo"/>
                <w:rFonts w:ascii="Verdana" w:hAnsi="Verdana" w:cs="Times New Roman"/>
                <w:i/>
                <w:noProof/>
              </w:rPr>
              <w:t>Capítulo 2</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_Toc485137211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49</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212" w:history="1">
            <w:r w:rsidR="009F1305" w:rsidRPr="009F1305">
              <w:rPr>
                <w:rStyle w:val="Hipervnculo"/>
                <w:rFonts w:ascii="Verdana" w:hAnsi="Verdana" w:cs="Times New Roman"/>
                <w:noProof/>
              </w:rPr>
              <w:t>El Sector</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_Toc485137212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49</w:t>
            </w:r>
            <w:r w:rsidR="009F1305" w:rsidRPr="009F1305">
              <w:rPr>
                <w:rFonts w:ascii="Verdana" w:hAnsi="Verdana"/>
                <w:noProof/>
                <w:webHidden/>
              </w:rPr>
              <w:fldChar w:fldCharType="end"/>
            </w:r>
          </w:hyperlink>
        </w:p>
        <w:p w:rsidR="009F1305" w:rsidRPr="009F1305" w:rsidRDefault="001630A5">
          <w:pPr>
            <w:pStyle w:val="TDC3"/>
            <w:tabs>
              <w:tab w:val="right" w:leader="dot" w:pos="9061"/>
            </w:tabs>
            <w:rPr>
              <w:rFonts w:ascii="Verdana" w:eastAsiaTheme="minorEastAsia" w:hAnsi="Verdana"/>
              <w:noProof/>
              <w:lang w:eastAsia="es-EC"/>
            </w:rPr>
          </w:pPr>
          <w:hyperlink w:anchor="_Toc485137213" w:history="1">
            <w:r w:rsidR="009F1305" w:rsidRPr="009F1305">
              <w:rPr>
                <w:rStyle w:val="Hipervnculo"/>
                <w:rFonts w:ascii="Verdana" w:hAnsi="Verdana" w:cs="Times New Roman"/>
                <w:i/>
                <w:noProof/>
              </w:rPr>
              <w:t>Periodo 2003-2010</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_Toc485137213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53</w:t>
            </w:r>
            <w:r w:rsidR="009F1305" w:rsidRPr="009F1305">
              <w:rPr>
                <w:rFonts w:ascii="Verdana" w:hAnsi="Verdana"/>
                <w:noProof/>
                <w:webHidden/>
              </w:rPr>
              <w:fldChar w:fldCharType="end"/>
            </w:r>
          </w:hyperlink>
        </w:p>
        <w:p w:rsidR="009F1305" w:rsidRPr="009F1305" w:rsidRDefault="001630A5">
          <w:pPr>
            <w:pStyle w:val="TDC3"/>
            <w:tabs>
              <w:tab w:val="right" w:leader="dot" w:pos="9061"/>
            </w:tabs>
            <w:rPr>
              <w:rFonts w:ascii="Verdana" w:eastAsiaTheme="minorEastAsia" w:hAnsi="Verdana"/>
              <w:noProof/>
              <w:lang w:eastAsia="es-EC"/>
            </w:rPr>
          </w:pPr>
          <w:hyperlink w:anchor="_Toc485137214" w:history="1">
            <w:r w:rsidR="009F1305" w:rsidRPr="009F1305">
              <w:rPr>
                <w:rStyle w:val="Hipervnculo"/>
                <w:rFonts w:ascii="Verdana" w:hAnsi="Verdana" w:cs="Times New Roman"/>
                <w:i/>
                <w:noProof/>
              </w:rPr>
              <w:t>Periodo 2011-2015</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_Toc485137214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56</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215" w:history="1">
            <w:r w:rsidR="009F1305" w:rsidRPr="009F1305">
              <w:rPr>
                <w:rStyle w:val="Hipervnculo"/>
                <w:rFonts w:ascii="Verdana" w:hAnsi="Verdana" w:cs="Times New Roman"/>
                <w:noProof/>
              </w:rPr>
              <w:t>Producción de vehículos</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_Toc485137215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57</w:t>
            </w:r>
            <w:r w:rsidR="009F1305" w:rsidRPr="009F1305">
              <w:rPr>
                <w:rFonts w:ascii="Verdana" w:hAnsi="Verdana"/>
                <w:noProof/>
                <w:webHidden/>
              </w:rPr>
              <w:fldChar w:fldCharType="end"/>
            </w:r>
          </w:hyperlink>
        </w:p>
        <w:p w:rsidR="009F1305" w:rsidRPr="009F1305" w:rsidRDefault="001630A5">
          <w:pPr>
            <w:pStyle w:val="TDC1"/>
            <w:tabs>
              <w:tab w:val="right" w:leader="dot" w:pos="9061"/>
            </w:tabs>
            <w:rPr>
              <w:rFonts w:ascii="Verdana" w:eastAsiaTheme="minorEastAsia" w:hAnsi="Verdana"/>
              <w:noProof/>
              <w:lang w:val="es-EC" w:eastAsia="es-EC"/>
            </w:rPr>
          </w:pPr>
          <w:hyperlink w:anchor="_Toc485137216" w:history="1">
            <w:r w:rsidR="009F1305" w:rsidRPr="009F1305">
              <w:rPr>
                <w:rStyle w:val="Hipervnculo"/>
                <w:rFonts w:ascii="Verdana" w:hAnsi="Verdana" w:cs="Times New Roman"/>
                <w:i/>
                <w:noProof/>
              </w:rPr>
              <w:t>Principales mercados de destino</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_Toc485137216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64</w:t>
            </w:r>
            <w:r w:rsidR="009F1305" w:rsidRPr="009F1305">
              <w:rPr>
                <w:rFonts w:ascii="Verdana" w:hAnsi="Verdana"/>
                <w:noProof/>
                <w:webHidden/>
              </w:rPr>
              <w:fldChar w:fldCharType="end"/>
            </w:r>
          </w:hyperlink>
        </w:p>
        <w:p w:rsidR="009F1305" w:rsidRPr="009F1305" w:rsidRDefault="001630A5">
          <w:pPr>
            <w:pStyle w:val="TDC3"/>
            <w:tabs>
              <w:tab w:val="right" w:leader="dot" w:pos="9061"/>
            </w:tabs>
            <w:rPr>
              <w:rFonts w:ascii="Verdana" w:eastAsiaTheme="minorEastAsia" w:hAnsi="Verdana"/>
              <w:noProof/>
              <w:lang w:eastAsia="es-EC"/>
            </w:rPr>
          </w:pPr>
          <w:hyperlink w:anchor="_Toc485137217" w:history="1">
            <w:r w:rsidR="009F1305" w:rsidRPr="009F1305">
              <w:rPr>
                <w:rStyle w:val="Hipervnculo"/>
                <w:rFonts w:ascii="Verdana" w:hAnsi="Verdana" w:cs="Times New Roman"/>
                <w:i/>
                <w:noProof/>
              </w:rPr>
              <w:t>Exportación</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_Toc485137217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64</w:t>
            </w:r>
            <w:r w:rsidR="009F1305" w:rsidRPr="009F1305">
              <w:rPr>
                <w:rFonts w:ascii="Verdana" w:hAnsi="Verdana"/>
                <w:noProof/>
                <w:webHidden/>
              </w:rPr>
              <w:fldChar w:fldCharType="end"/>
            </w:r>
          </w:hyperlink>
        </w:p>
        <w:p w:rsidR="009F1305" w:rsidRPr="009F1305" w:rsidRDefault="001630A5">
          <w:pPr>
            <w:pStyle w:val="TDC3"/>
            <w:tabs>
              <w:tab w:val="right" w:leader="dot" w:pos="9061"/>
            </w:tabs>
            <w:rPr>
              <w:rFonts w:ascii="Verdana" w:eastAsiaTheme="minorEastAsia" w:hAnsi="Verdana"/>
              <w:noProof/>
              <w:lang w:eastAsia="es-EC"/>
            </w:rPr>
          </w:pPr>
          <w:hyperlink w:anchor="_Toc485137218" w:history="1">
            <w:r w:rsidR="009F1305" w:rsidRPr="009F1305">
              <w:rPr>
                <w:rStyle w:val="Hipervnculo"/>
                <w:rFonts w:ascii="Verdana" w:hAnsi="Verdana" w:cs="Times New Roman"/>
                <w:i/>
                <w:noProof/>
              </w:rPr>
              <w:t>Importación</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_Toc485137218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65</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219" w:history="1">
            <w:r w:rsidR="009F1305" w:rsidRPr="009F1305">
              <w:rPr>
                <w:rStyle w:val="Hipervnculo"/>
                <w:rFonts w:ascii="Verdana" w:hAnsi="Verdana" w:cs="Times New Roman"/>
                <w:noProof/>
              </w:rPr>
              <w:t>Ventas de vehículos</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_Toc485137219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66</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220" w:history="1">
            <w:r w:rsidR="009F1305" w:rsidRPr="009F1305">
              <w:rPr>
                <w:rStyle w:val="Hipervnculo"/>
                <w:rFonts w:ascii="Verdana" w:hAnsi="Verdana" w:cs="Times New Roman"/>
                <w:noProof/>
              </w:rPr>
              <w:t>Composición del mercado automotor ecuatoriano según principales marcas comercializadas.</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_Toc485137220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69</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221" w:history="1">
            <w:r w:rsidR="009F1305" w:rsidRPr="009F1305">
              <w:rPr>
                <w:rStyle w:val="Hipervnculo"/>
                <w:rFonts w:ascii="Verdana" w:hAnsi="Verdana"/>
                <w:noProof/>
              </w:rPr>
              <w:t>Conclusiones capítulo 2</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_Toc485137221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70</w:t>
            </w:r>
            <w:r w:rsidR="009F1305" w:rsidRPr="009F1305">
              <w:rPr>
                <w:rFonts w:ascii="Verdana" w:hAnsi="Verdana"/>
                <w:noProof/>
                <w:webHidden/>
              </w:rPr>
              <w:fldChar w:fldCharType="end"/>
            </w:r>
          </w:hyperlink>
        </w:p>
        <w:p w:rsidR="009F1305" w:rsidRPr="009F1305" w:rsidRDefault="001630A5">
          <w:pPr>
            <w:pStyle w:val="TDC1"/>
            <w:tabs>
              <w:tab w:val="right" w:leader="dot" w:pos="9061"/>
            </w:tabs>
            <w:rPr>
              <w:rFonts w:ascii="Verdana" w:eastAsiaTheme="minorEastAsia" w:hAnsi="Verdana"/>
              <w:noProof/>
              <w:lang w:val="es-EC" w:eastAsia="es-EC"/>
            </w:rPr>
          </w:pPr>
          <w:hyperlink w:anchor="_Toc485137222" w:history="1">
            <w:r w:rsidR="009F1305" w:rsidRPr="009F1305">
              <w:rPr>
                <w:rStyle w:val="Hipervnculo"/>
                <w:rFonts w:ascii="Verdana" w:hAnsi="Verdana" w:cs="Times New Roman"/>
                <w:i/>
                <w:noProof/>
              </w:rPr>
              <w:t>Capítulo 3</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_Toc485137222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71</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223" w:history="1">
            <w:r w:rsidR="009F1305" w:rsidRPr="009F1305">
              <w:rPr>
                <w:rStyle w:val="Hipervnculo"/>
                <w:rFonts w:ascii="Verdana" w:hAnsi="Verdana" w:cs="Times New Roman"/>
                <w:noProof/>
              </w:rPr>
              <w:t>El sector automotriz en la economía ecuatoriana</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_Toc485137223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71</w:t>
            </w:r>
            <w:r w:rsidR="009F1305" w:rsidRPr="009F1305">
              <w:rPr>
                <w:rFonts w:ascii="Verdana" w:hAnsi="Verdana"/>
                <w:noProof/>
                <w:webHidden/>
              </w:rPr>
              <w:fldChar w:fldCharType="end"/>
            </w:r>
          </w:hyperlink>
        </w:p>
        <w:p w:rsidR="009F1305" w:rsidRPr="009F1305" w:rsidRDefault="001630A5">
          <w:pPr>
            <w:pStyle w:val="TDC3"/>
            <w:tabs>
              <w:tab w:val="right" w:leader="dot" w:pos="9061"/>
            </w:tabs>
            <w:rPr>
              <w:rFonts w:ascii="Verdana" w:eastAsiaTheme="minorEastAsia" w:hAnsi="Verdana"/>
              <w:noProof/>
              <w:lang w:eastAsia="es-EC"/>
            </w:rPr>
          </w:pPr>
          <w:hyperlink w:anchor="_Toc485137224" w:history="1">
            <w:r w:rsidR="009F1305" w:rsidRPr="009F1305">
              <w:rPr>
                <w:rStyle w:val="Hipervnculo"/>
                <w:rFonts w:ascii="Verdana" w:hAnsi="Verdana" w:cs="Times New Roman"/>
                <w:i/>
                <w:noProof/>
              </w:rPr>
              <w:t>Participación del sector en el PIB</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_Toc485137224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72</w:t>
            </w:r>
            <w:r w:rsidR="009F1305" w:rsidRPr="009F1305">
              <w:rPr>
                <w:rFonts w:ascii="Verdana" w:hAnsi="Verdana"/>
                <w:noProof/>
                <w:webHidden/>
              </w:rPr>
              <w:fldChar w:fldCharType="end"/>
            </w:r>
          </w:hyperlink>
        </w:p>
        <w:p w:rsidR="009F1305" w:rsidRPr="009F1305" w:rsidRDefault="001630A5">
          <w:pPr>
            <w:pStyle w:val="TDC3"/>
            <w:tabs>
              <w:tab w:val="right" w:leader="dot" w:pos="9061"/>
            </w:tabs>
            <w:rPr>
              <w:rFonts w:ascii="Verdana" w:eastAsiaTheme="minorEastAsia" w:hAnsi="Verdana"/>
              <w:noProof/>
              <w:lang w:eastAsia="es-EC"/>
            </w:rPr>
          </w:pPr>
          <w:hyperlink w:anchor="_Toc485137225" w:history="1">
            <w:r w:rsidR="009F1305" w:rsidRPr="009F1305">
              <w:rPr>
                <w:rStyle w:val="Hipervnculo"/>
                <w:rFonts w:ascii="Verdana" w:hAnsi="Verdana" w:cs="Times New Roman"/>
                <w:i/>
                <w:noProof/>
              </w:rPr>
              <w:t>Formación bruta de capital fijo</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_Toc485137225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74</w:t>
            </w:r>
            <w:r w:rsidR="009F1305" w:rsidRPr="009F1305">
              <w:rPr>
                <w:rFonts w:ascii="Verdana" w:hAnsi="Verdana"/>
                <w:noProof/>
                <w:webHidden/>
              </w:rPr>
              <w:fldChar w:fldCharType="end"/>
            </w:r>
          </w:hyperlink>
        </w:p>
        <w:p w:rsidR="009F1305" w:rsidRPr="009F1305" w:rsidRDefault="001630A5">
          <w:pPr>
            <w:pStyle w:val="TDC3"/>
            <w:tabs>
              <w:tab w:val="right" w:leader="dot" w:pos="9061"/>
            </w:tabs>
            <w:rPr>
              <w:rFonts w:ascii="Verdana" w:eastAsiaTheme="minorEastAsia" w:hAnsi="Verdana"/>
              <w:noProof/>
              <w:lang w:eastAsia="es-EC"/>
            </w:rPr>
          </w:pPr>
          <w:hyperlink w:anchor="_Toc485137226" w:history="1">
            <w:r w:rsidR="009F1305" w:rsidRPr="009F1305">
              <w:rPr>
                <w:rStyle w:val="Hipervnculo"/>
                <w:rFonts w:ascii="Verdana" w:hAnsi="Verdana" w:cs="Times New Roman"/>
                <w:i/>
                <w:noProof/>
              </w:rPr>
              <w:t>Empleo generado por el sector</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_Toc485137226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75</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227" w:history="1">
            <w:r w:rsidR="009F1305" w:rsidRPr="009F1305">
              <w:rPr>
                <w:rStyle w:val="Hipervnculo"/>
                <w:rFonts w:ascii="Verdana" w:hAnsi="Verdana" w:cs="Times New Roman"/>
                <w:noProof/>
              </w:rPr>
              <w:t>Casos internacionales de la industria automotriz</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_Toc485137227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77</w:t>
            </w:r>
            <w:r w:rsidR="009F1305" w:rsidRPr="009F1305">
              <w:rPr>
                <w:rFonts w:ascii="Verdana" w:hAnsi="Verdana"/>
                <w:noProof/>
                <w:webHidden/>
              </w:rPr>
              <w:fldChar w:fldCharType="end"/>
            </w:r>
          </w:hyperlink>
        </w:p>
        <w:p w:rsidR="009F1305" w:rsidRPr="009F1305" w:rsidRDefault="001630A5">
          <w:pPr>
            <w:pStyle w:val="TDC3"/>
            <w:tabs>
              <w:tab w:val="right" w:leader="dot" w:pos="9061"/>
            </w:tabs>
            <w:rPr>
              <w:rFonts w:ascii="Verdana" w:eastAsiaTheme="minorEastAsia" w:hAnsi="Verdana"/>
              <w:noProof/>
              <w:lang w:eastAsia="es-EC"/>
            </w:rPr>
          </w:pPr>
          <w:hyperlink w:anchor="_Toc485137228" w:history="1">
            <w:r w:rsidR="009F1305" w:rsidRPr="009F1305">
              <w:rPr>
                <w:rStyle w:val="Hipervnculo"/>
                <w:rFonts w:ascii="Verdana" w:hAnsi="Verdana" w:cs="Times New Roman"/>
                <w:i/>
                <w:noProof/>
              </w:rPr>
              <w:t>La industria automotriz en Argentina</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_Toc485137228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77</w:t>
            </w:r>
            <w:r w:rsidR="009F1305" w:rsidRPr="009F1305">
              <w:rPr>
                <w:rFonts w:ascii="Verdana" w:hAnsi="Verdana"/>
                <w:noProof/>
                <w:webHidden/>
              </w:rPr>
              <w:fldChar w:fldCharType="end"/>
            </w:r>
          </w:hyperlink>
        </w:p>
        <w:p w:rsidR="009F1305" w:rsidRPr="009F1305" w:rsidRDefault="001630A5">
          <w:pPr>
            <w:pStyle w:val="TDC3"/>
            <w:tabs>
              <w:tab w:val="right" w:leader="dot" w:pos="9061"/>
            </w:tabs>
            <w:rPr>
              <w:rFonts w:ascii="Verdana" w:eastAsiaTheme="minorEastAsia" w:hAnsi="Verdana"/>
              <w:noProof/>
              <w:lang w:eastAsia="es-EC"/>
            </w:rPr>
          </w:pPr>
          <w:hyperlink w:anchor="_Toc485137229" w:history="1">
            <w:r w:rsidR="009F1305" w:rsidRPr="009F1305">
              <w:rPr>
                <w:rStyle w:val="Hipervnculo"/>
                <w:rFonts w:ascii="Verdana" w:hAnsi="Verdana" w:cs="Times New Roman"/>
                <w:i/>
                <w:noProof/>
              </w:rPr>
              <w:t>La industria automotriz en México</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_Toc485137229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79</w:t>
            </w:r>
            <w:r w:rsidR="009F1305" w:rsidRPr="009F1305">
              <w:rPr>
                <w:rFonts w:ascii="Verdana" w:hAnsi="Verdana"/>
                <w:noProof/>
                <w:webHidden/>
              </w:rPr>
              <w:fldChar w:fldCharType="end"/>
            </w:r>
          </w:hyperlink>
        </w:p>
        <w:p w:rsidR="009F1305" w:rsidRPr="009F1305" w:rsidRDefault="001630A5">
          <w:pPr>
            <w:pStyle w:val="TDC3"/>
            <w:tabs>
              <w:tab w:val="right" w:leader="dot" w:pos="9061"/>
            </w:tabs>
            <w:rPr>
              <w:rFonts w:ascii="Verdana" w:eastAsiaTheme="minorEastAsia" w:hAnsi="Verdana"/>
              <w:noProof/>
              <w:lang w:eastAsia="es-EC"/>
            </w:rPr>
          </w:pPr>
          <w:hyperlink w:anchor="_Toc485137230" w:history="1">
            <w:r w:rsidR="009F1305" w:rsidRPr="009F1305">
              <w:rPr>
                <w:rStyle w:val="Hipervnculo"/>
                <w:rFonts w:ascii="Verdana" w:hAnsi="Verdana" w:cs="Times New Roman"/>
                <w:i/>
                <w:noProof/>
              </w:rPr>
              <w:t>Industria automotriz en Colombia</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_Toc485137230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81</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231" w:history="1">
            <w:r w:rsidR="009F1305" w:rsidRPr="009F1305">
              <w:rPr>
                <w:rStyle w:val="Hipervnculo"/>
                <w:rFonts w:ascii="Verdana" w:hAnsi="Verdana" w:cs="Times New Roman"/>
                <w:noProof/>
              </w:rPr>
              <w:t>Medidas que afectan al sector</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_Toc485137231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83</w:t>
            </w:r>
            <w:r w:rsidR="009F1305" w:rsidRPr="009F1305">
              <w:rPr>
                <w:rFonts w:ascii="Verdana" w:hAnsi="Verdana"/>
                <w:noProof/>
                <w:webHidden/>
              </w:rPr>
              <w:fldChar w:fldCharType="end"/>
            </w:r>
          </w:hyperlink>
        </w:p>
        <w:p w:rsidR="009F1305" w:rsidRPr="009F1305" w:rsidRDefault="001630A5">
          <w:pPr>
            <w:pStyle w:val="TDC3"/>
            <w:tabs>
              <w:tab w:val="right" w:leader="dot" w:pos="9061"/>
            </w:tabs>
            <w:rPr>
              <w:rFonts w:ascii="Verdana" w:eastAsiaTheme="minorEastAsia" w:hAnsi="Verdana"/>
              <w:noProof/>
              <w:lang w:eastAsia="es-EC"/>
            </w:rPr>
          </w:pPr>
          <w:hyperlink w:anchor="_Toc485137232" w:history="1">
            <w:r w:rsidR="009F1305" w:rsidRPr="009F1305">
              <w:rPr>
                <w:rStyle w:val="Hipervnculo"/>
                <w:rFonts w:ascii="Verdana" w:hAnsi="Verdana" w:cs="Times New Roman"/>
                <w:i/>
                <w:noProof/>
              </w:rPr>
              <w:t>Año 2011</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_Toc485137232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83</w:t>
            </w:r>
            <w:r w:rsidR="009F1305" w:rsidRPr="009F1305">
              <w:rPr>
                <w:rFonts w:ascii="Verdana" w:hAnsi="Verdana"/>
                <w:noProof/>
                <w:webHidden/>
              </w:rPr>
              <w:fldChar w:fldCharType="end"/>
            </w:r>
          </w:hyperlink>
        </w:p>
        <w:p w:rsidR="009F1305" w:rsidRPr="009F1305" w:rsidRDefault="001630A5">
          <w:pPr>
            <w:pStyle w:val="TDC3"/>
            <w:tabs>
              <w:tab w:val="right" w:leader="dot" w:pos="9061"/>
            </w:tabs>
            <w:rPr>
              <w:rFonts w:ascii="Verdana" w:eastAsiaTheme="minorEastAsia" w:hAnsi="Verdana"/>
              <w:noProof/>
              <w:lang w:eastAsia="es-EC"/>
            </w:rPr>
          </w:pPr>
          <w:hyperlink w:anchor="_Toc485137233" w:history="1">
            <w:r w:rsidR="009F1305" w:rsidRPr="009F1305">
              <w:rPr>
                <w:rStyle w:val="Hipervnculo"/>
                <w:rFonts w:ascii="Verdana" w:hAnsi="Verdana" w:cs="Times New Roman"/>
                <w:i/>
                <w:noProof/>
              </w:rPr>
              <w:t>Año 2012</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_Toc485137233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84</w:t>
            </w:r>
            <w:r w:rsidR="009F1305" w:rsidRPr="009F1305">
              <w:rPr>
                <w:rFonts w:ascii="Verdana" w:hAnsi="Verdana"/>
                <w:noProof/>
                <w:webHidden/>
              </w:rPr>
              <w:fldChar w:fldCharType="end"/>
            </w:r>
          </w:hyperlink>
        </w:p>
        <w:p w:rsidR="009F1305" w:rsidRPr="009F1305" w:rsidRDefault="001630A5">
          <w:pPr>
            <w:pStyle w:val="TDC3"/>
            <w:tabs>
              <w:tab w:val="right" w:leader="dot" w:pos="9061"/>
            </w:tabs>
            <w:rPr>
              <w:rFonts w:ascii="Verdana" w:eastAsiaTheme="minorEastAsia" w:hAnsi="Verdana"/>
              <w:noProof/>
              <w:lang w:eastAsia="es-EC"/>
            </w:rPr>
          </w:pPr>
          <w:hyperlink w:anchor="_Toc485137234" w:history="1">
            <w:r w:rsidR="009F1305" w:rsidRPr="009F1305">
              <w:rPr>
                <w:rStyle w:val="Hipervnculo"/>
                <w:rFonts w:ascii="Verdana" w:hAnsi="Verdana" w:cs="Times New Roman"/>
                <w:i/>
                <w:noProof/>
              </w:rPr>
              <w:t>Año 2013</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_Toc485137234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85</w:t>
            </w:r>
            <w:r w:rsidR="009F1305" w:rsidRPr="009F1305">
              <w:rPr>
                <w:rFonts w:ascii="Verdana" w:hAnsi="Verdana"/>
                <w:noProof/>
                <w:webHidden/>
              </w:rPr>
              <w:fldChar w:fldCharType="end"/>
            </w:r>
          </w:hyperlink>
        </w:p>
        <w:p w:rsidR="009F1305" w:rsidRPr="009F1305" w:rsidRDefault="001630A5">
          <w:pPr>
            <w:pStyle w:val="TDC3"/>
            <w:tabs>
              <w:tab w:val="right" w:leader="dot" w:pos="9061"/>
            </w:tabs>
            <w:rPr>
              <w:rFonts w:ascii="Verdana" w:eastAsiaTheme="minorEastAsia" w:hAnsi="Verdana"/>
              <w:noProof/>
              <w:lang w:eastAsia="es-EC"/>
            </w:rPr>
          </w:pPr>
          <w:hyperlink w:anchor="_Toc485137235" w:history="1">
            <w:r w:rsidR="009F1305" w:rsidRPr="009F1305">
              <w:rPr>
                <w:rStyle w:val="Hipervnculo"/>
                <w:rFonts w:ascii="Verdana" w:hAnsi="Verdana" w:cs="Times New Roman"/>
                <w:i/>
                <w:noProof/>
              </w:rPr>
              <w:t>Año 2014</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_Toc485137235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86</w:t>
            </w:r>
            <w:r w:rsidR="009F1305" w:rsidRPr="009F1305">
              <w:rPr>
                <w:rFonts w:ascii="Verdana" w:hAnsi="Verdana"/>
                <w:noProof/>
                <w:webHidden/>
              </w:rPr>
              <w:fldChar w:fldCharType="end"/>
            </w:r>
          </w:hyperlink>
        </w:p>
        <w:p w:rsidR="009F1305" w:rsidRPr="009F1305" w:rsidRDefault="001630A5">
          <w:pPr>
            <w:pStyle w:val="TDC3"/>
            <w:tabs>
              <w:tab w:val="right" w:leader="dot" w:pos="9061"/>
            </w:tabs>
            <w:rPr>
              <w:rFonts w:ascii="Verdana" w:eastAsiaTheme="minorEastAsia" w:hAnsi="Verdana"/>
              <w:noProof/>
              <w:lang w:eastAsia="es-EC"/>
            </w:rPr>
          </w:pPr>
          <w:hyperlink w:anchor="_Toc485137236" w:history="1">
            <w:r w:rsidR="009F1305" w:rsidRPr="009F1305">
              <w:rPr>
                <w:rStyle w:val="Hipervnculo"/>
                <w:rFonts w:ascii="Verdana" w:hAnsi="Verdana" w:cs="Times New Roman"/>
                <w:i/>
                <w:noProof/>
              </w:rPr>
              <w:t>Año 2015</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_Toc485137236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86</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237" w:history="1">
            <w:r w:rsidR="009F1305" w:rsidRPr="009F1305">
              <w:rPr>
                <w:rStyle w:val="Hipervnculo"/>
                <w:rFonts w:ascii="Verdana" w:hAnsi="Verdana" w:cs="Times New Roman"/>
                <w:noProof/>
              </w:rPr>
              <w:t>FODA del sector automotriz</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_Toc485137237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88</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238" w:history="1">
            <w:r w:rsidR="009F1305" w:rsidRPr="009F1305">
              <w:rPr>
                <w:rStyle w:val="Hipervnculo"/>
                <w:rFonts w:ascii="Verdana" w:hAnsi="Verdana" w:cs="Times New Roman"/>
                <w:noProof/>
              </w:rPr>
              <w:t>Estado actual del sector automotriz</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_Toc485137238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89</w:t>
            </w:r>
            <w:r w:rsidR="009F1305" w:rsidRPr="009F1305">
              <w:rPr>
                <w:rFonts w:ascii="Verdana" w:hAnsi="Verdana"/>
                <w:noProof/>
                <w:webHidden/>
              </w:rPr>
              <w:fldChar w:fldCharType="end"/>
            </w:r>
          </w:hyperlink>
        </w:p>
        <w:p w:rsidR="009F1305" w:rsidRPr="009F1305" w:rsidRDefault="001630A5">
          <w:pPr>
            <w:pStyle w:val="TDC3"/>
            <w:tabs>
              <w:tab w:val="right" w:leader="dot" w:pos="9061"/>
            </w:tabs>
            <w:rPr>
              <w:rFonts w:ascii="Verdana" w:eastAsiaTheme="minorEastAsia" w:hAnsi="Verdana"/>
              <w:noProof/>
              <w:lang w:eastAsia="es-EC"/>
            </w:rPr>
          </w:pPr>
          <w:hyperlink w:anchor="_Toc485137239" w:history="1">
            <w:r w:rsidR="009F1305" w:rsidRPr="009F1305">
              <w:rPr>
                <w:rStyle w:val="Hipervnculo"/>
                <w:rFonts w:ascii="Verdana" w:hAnsi="Verdana" w:cs="Times New Roman"/>
                <w:i/>
                <w:noProof/>
              </w:rPr>
              <w:t>Salida de Maresa</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_Toc485137239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90</w:t>
            </w:r>
            <w:r w:rsidR="009F1305" w:rsidRPr="009F1305">
              <w:rPr>
                <w:rFonts w:ascii="Verdana" w:hAnsi="Verdana"/>
                <w:noProof/>
                <w:webHidden/>
              </w:rPr>
              <w:fldChar w:fldCharType="end"/>
            </w:r>
          </w:hyperlink>
        </w:p>
        <w:p w:rsidR="009F1305" w:rsidRPr="009F1305" w:rsidRDefault="001630A5">
          <w:pPr>
            <w:pStyle w:val="TDC3"/>
            <w:tabs>
              <w:tab w:val="right" w:leader="dot" w:pos="9061"/>
            </w:tabs>
            <w:rPr>
              <w:rFonts w:ascii="Verdana" w:eastAsiaTheme="minorEastAsia" w:hAnsi="Verdana"/>
              <w:noProof/>
              <w:lang w:eastAsia="es-EC"/>
            </w:rPr>
          </w:pPr>
          <w:hyperlink w:anchor="_Toc485137240" w:history="1">
            <w:r w:rsidR="009F1305" w:rsidRPr="009F1305">
              <w:rPr>
                <w:rStyle w:val="Hipervnculo"/>
                <w:rFonts w:ascii="Verdana" w:hAnsi="Verdana" w:cs="Times New Roman"/>
                <w:i/>
                <w:noProof/>
              </w:rPr>
              <w:t>Recesión del sector</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_Toc485137240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90</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241" w:history="1">
            <w:r w:rsidR="009F1305" w:rsidRPr="009F1305">
              <w:rPr>
                <w:rStyle w:val="Hipervnculo"/>
                <w:rFonts w:ascii="Verdana" w:hAnsi="Verdana" w:cs="Times New Roman"/>
                <w:noProof/>
              </w:rPr>
              <w:t>Entrevista</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_Toc485137241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92</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242" w:history="1">
            <w:r w:rsidR="009F1305" w:rsidRPr="009F1305">
              <w:rPr>
                <w:rStyle w:val="Hipervnculo"/>
                <w:rFonts w:ascii="Verdana" w:hAnsi="Verdana" w:cs="Times New Roman"/>
                <w:noProof/>
              </w:rPr>
              <w:t>Propuestas de política industrial para el sector automotor</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_Toc485137242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97</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243" w:history="1">
            <w:r w:rsidR="009F1305" w:rsidRPr="009F1305">
              <w:rPr>
                <w:rStyle w:val="Hipervnculo"/>
                <w:rFonts w:ascii="Verdana" w:hAnsi="Verdana" w:cs="Times New Roman"/>
                <w:noProof/>
              </w:rPr>
              <w:t>Empresas autopartistas sobre política industrial</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_Toc485137243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98</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244" w:history="1">
            <w:r w:rsidR="009F1305" w:rsidRPr="009F1305">
              <w:rPr>
                <w:rStyle w:val="Hipervnculo"/>
                <w:rFonts w:ascii="Verdana" w:hAnsi="Verdana" w:cs="Times New Roman"/>
                <w:noProof/>
              </w:rPr>
              <w:t>Empresas ensambladoras sobre política industrial</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_Toc485137244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99</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245" w:history="1">
            <w:r w:rsidR="009F1305" w:rsidRPr="009F1305">
              <w:rPr>
                <w:rStyle w:val="Hipervnculo"/>
                <w:rFonts w:ascii="Verdana" w:hAnsi="Verdana" w:cs="Times New Roman"/>
                <w:noProof/>
              </w:rPr>
              <w:t>Resolución</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_Toc485137245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99</w:t>
            </w:r>
            <w:r w:rsidR="009F1305" w:rsidRPr="009F1305">
              <w:rPr>
                <w:rFonts w:ascii="Verdana" w:hAnsi="Verdana"/>
                <w:noProof/>
                <w:webHidden/>
              </w:rPr>
              <w:fldChar w:fldCharType="end"/>
            </w:r>
          </w:hyperlink>
        </w:p>
        <w:p w:rsidR="009F1305" w:rsidRPr="009F1305" w:rsidRDefault="001630A5">
          <w:pPr>
            <w:pStyle w:val="TDC2"/>
            <w:tabs>
              <w:tab w:val="right" w:leader="dot" w:pos="9061"/>
            </w:tabs>
            <w:rPr>
              <w:rFonts w:ascii="Verdana" w:eastAsiaTheme="minorEastAsia" w:hAnsi="Verdana"/>
              <w:noProof/>
              <w:lang w:val="es-EC" w:eastAsia="es-EC"/>
            </w:rPr>
          </w:pPr>
          <w:hyperlink w:anchor="_Toc485137246" w:history="1">
            <w:r w:rsidR="009F1305" w:rsidRPr="009F1305">
              <w:rPr>
                <w:rStyle w:val="Hipervnculo"/>
                <w:rFonts w:ascii="Verdana" w:hAnsi="Verdana"/>
                <w:noProof/>
              </w:rPr>
              <w:t>Conclusiones capítulo 3</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_Toc485137246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100</w:t>
            </w:r>
            <w:r w:rsidR="009F1305" w:rsidRPr="009F1305">
              <w:rPr>
                <w:rFonts w:ascii="Verdana" w:hAnsi="Verdana"/>
                <w:noProof/>
                <w:webHidden/>
              </w:rPr>
              <w:fldChar w:fldCharType="end"/>
            </w:r>
          </w:hyperlink>
        </w:p>
        <w:p w:rsidR="009F1305" w:rsidRPr="009F1305" w:rsidRDefault="001630A5">
          <w:pPr>
            <w:pStyle w:val="TDC1"/>
            <w:tabs>
              <w:tab w:val="right" w:leader="dot" w:pos="9061"/>
            </w:tabs>
            <w:rPr>
              <w:rFonts w:ascii="Verdana" w:eastAsiaTheme="minorEastAsia" w:hAnsi="Verdana"/>
              <w:noProof/>
              <w:lang w:val="es-EC" w:eastAsia="es-EC"/>
            </w:rPr>
          </w:pPr>
          <w:hyperlink w:anchor="_Toc485137247" w:history="1">
            <w:r w:rsidR="009F1305" w:rsidRPr="009F1305">
              <w:rPr>
                <w:rStyle w:val="Hipervnculo"/>
                <w:rFonts w:ascii="Verdana" w:hAnsi="Verdana" w:cs="Times New Roman"/>
                <w:i/>
                <w:noProof/>
              </w:rPr>
              <w:t>Conclusiones</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_Toc485137247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102</w:t>
            </w:r>
            <w:r w:rsidR="009F1305" w:rsidRPr="009F1305">
              <w:rPr>
                <w:rFonts w:ascii="Verdana" w:hAnsi="Verdana"/>
                <w:noProof/>
                <w:webHidden/>
              </w:rPr>
              <w:fldChar w:fldCharType="end"/>
            </w:r>
          </w:hyperlink>
        </w:p>
        <w:p w:rsidR="009F1305" w:rsidRPr="009F1305" w:rsidRDefault="001630A5">
          <w:pPr>
            <w:pStyle w:val="TDC1"/>
            <w:tabs>
              <w:tab w:val="right" w:leader="dot" w:pos="9061"/>
            </w:tabs>
            <w:rPr>
              <w:rFonts w:ascii="Verdana" w:eastAsiaTheme="minorEastAsia" w:hAnsi="Verdana"/>
              <w:noProof/>
              <w:lang w:val="es-EC" w:eastAsia="es-EC"/>
            </w:rPr>
          </w:pPr>
          <w:hyperlink w:anchor="_Toc485137248" w:history="1">
            <w:r w:rsidR="009F1305" w:rsidRPr="009F1305">
              <w:rPr>
                <w:rStyle w:val="Hipervnculo"/>
                <w:rFonts w:ascii="Verdana" w:hAnsi="Verdana" w:cs="Times New Roman"/>
                <w:i/>
                <w:noProof/>
              </w:rPr>
              <w:t>Recomendaciones</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_Toc485137248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104</w:t>
            </w:r>
            <w:r w:rsidR="009F1305" w:rsidRPr="009F1305">
              <w:rPr>
                <w:rFonts w:ascii="Verdana" w:hAnsi="Verdana"/>
                <w:noProof/>
                <w:webHidden/>
              </w:rPr>
              <w:fldChar w:fldCharType="end"/>
            </w:r>
          </w:hyperlink>
        </w:p>
        <w:p w:rsidR="009F1305" w:rsidRPr="009F1305" w:rsidRDefault="001630A5">
          <w:pPr>
            <w:pStyle w:val="TDC1"/>
            <w:tabs>
              <w:tab w:val="right" w:leader="dot" w:pos="9061"/>
            </w:tabs>
            <w:rPr>
              <w:rFonts w:ascii="Verdana" w:eastAsiaTheme="minorEastAsia" w:hAnsi="Verdana"/>
              <w:noProof/>
              <w:lang w:val="es-EC" w:eastAsia="es-EC"/>
            </w:rPr>
          </w:pPr>
          <w:hyperlink w:anchor="_Toc485137249" w:history="1">
            <w:r w:rsidR="009F1305" w:rsidRPr="009F1305">
              <w:rPr>
                <w:rStyle w:val="Hipervnculo"/>
                <w:rFonts w:ascii="Verdana" w:hAnsi="Verdana" w:cs="Times New Roman"/>
                <w:i/>
                <w:noProof/>
              </w:rPr>
              <w:t>Referencias Bibliográficas</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_Toc485137249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106</w:t>
            </w:r>
            <w:r w:rsidR="009F1305" w:rsidRPr="009F1305">
              <w:rPr>
                <w:rFonts w:ascii="Verdana" w:hAnsi="Verdana"/>
                <w:noProof/>
                <w:webHidden/>
              </w:rPr>
              <w:fldChar w:fldCharType="end"/>
            </w:r>
          </w:hyperlink>
        </w:p>
        <w:p w:rsidR="009F1305" w:rsidRPr="009F1305" w:rsidRDefault="001630A5">
          <w:pPr>
            <w:pStyle w:val="TDC1"/>
            <w:tabs>
              <w:tab w:val="right" w:leader="dot" w:pos="9061"/>
            </w:tabs>
            <w:rPr>
              <w:rFonts w:ascii="Verdana" w:eastAsiaTheme="minorEastAsia" w:hAnsi="Verdana"/>
              <w:noProof/>
              <w:lang w:val="es-EC" w:eastAsia="es-EC"/>
            </w:rPr>
          </w:pPr>
          <w:hyperlink w:anchor="_Toc485137250" w:history="1">
            <w:r w:rsidR="009F1305" w:rsidRPr="009F1305">
              <w:rPr>
                <w:rStyle w:val="Hipervnculo"/>
                <w:rFonts w:ascii="Verdana" w:hAnsi="Verdana"/>
                <w:i/>
                <w:noProof/>
              </w:rPr>
              <w:t>Anexos</w:t>
            </w:r>
            <w:r w:rsidR="009F1305" w:rsidRPr="009F1305">
              <w:rPr>
                <w:rFonts w:ascii="Verdana" w:hAnsi="Verdana"/>
                <w:noProof/>
                <w:webHidden/>
              </w:rPr>
              <w:tab/>
            </w:r>
            <w:r w:rsidR="009F1305" w:rsidRPr="009F1305">
              <w:rPr>
                <w:rFonts w:ascii="Verdana" w:hAnsi="Verdana"/>
                <w:noProof/>
                <w:webHidden/>
              </w:rPr>
              <w:fldChar w:fldCharType="begin"/>
            </w:r>
            <w:r w:rsidR="009F1305" w:rsidRPr="009F1305">
              <w:rPr>
                <w:rFonts w:ascii="Verdana" w:hAnsi="Verdana"/>
                <w:noProof/>
                <w:webHidden/>
              </w:rPr>
              <w:instrText xml:space="preserve"> PAGEREF _Toc485137250 \h </w:instrText>
            </w:r>
            <w:r w:rsidR="009F1305" w:rsidRPr="009F1305">
              <w:rPr>
                <w:rFonts w:ascii="Verdana" w:hAnsi="Verdana"/>
                <w:noProof/>
                <w:webHidden/>
              </w:rPr>
            </w:r>
            <w:r w:rsidR="009F1305" w:rsidRPr="009F1305">
              <w:rPr>
                <w:rFonts w:ascii="Verdana" w:hAnsi="Verdana"/>
                <w:noProof/>
                <w:webHidden/>
              </w:rPr>
              <w:fldChar w:fldCharType="separate"/>
            </w:r>
            <w:r>
              <w:rPr>
                <w:rFonts w:ascii="Verdana" w:hAnsi="Verdana"/>
                <w:noProof/>
                <w:webHidden/>
              </w:rPr>
              <w:t>113</w:t>
            </w:r>
            <w:r w:rsidR="009F1305" w:rsidRPr="009F1305">
              <w:rPr>
                <w:rFonts w:ascii="Verdana" w:hAnsi="Verdana"/>
                <w:noProof/>
                <w:webHidden/>
              </w:rPr>
              <w:fldChar w:fldCharType="end"/>
            </w:r>
          </w:hyperlink>
        </w:p>
        <w:p w:rsidR="00E8274D" w:rsidRPr="009F1305" w:rsidRDefault="00BB07EF" w:rsidP="00EC63DA">
          <w:pPr>
            <w:spacing w:after="60"/>
            <w:jc w:val="both"/>
            <w:rPr>
              <w:rFonts w:ascii="Verdana" w:hAnsi="Verdana" w:cs="Times New Roman"/>
              <w:b/>
              <w:bCs/>
              <w:i/>
              <w:lang w:val="es-ES"/>
            </w:rPr>
          </w:pPr>
          <w:r w:rsidRPr="009F1305">
            <w:rPr>
              <w:rFonts w:ascii="Verdana" w:hAnsi="Verdana" w:cs="Times New Roman"/>
              <w:bCs/>
              <w:i/>
              <w:color w:val="000000" w:themeColor="text1"/>
              <w:lang w:val="es-ES"/>
            </w:rPr>
            <w:fldChar w:fldCharType="end"/>
          </w:r>
        </w:p>
        <w:p w:rsidR="00F12876" w:rsidRPr="00E8274D" w:rsidRDefault="001630A5" w:rsidP="00EC63DA">
          <w:pPr>
            <w:spacing w:after="60"/>
            <w:jc w:val="both"/>
            <w:rPr>
              <w:rFonts w:ascii="Verdana" w:hAnsi="Verdana" w:cs="Times New Roman"/>
              <w:b/>
              <w:bCs/>
              <w:lang w:val="es-ES"/>
            </w:rPr>
          </w:pPr>
        </w:p>
      </w:sdtContent>
    </w:sdt>
    <w:p w:rsidR="002C450F" w:rsidRPr="00EE4D50" w:rsidRDefault="002C450F" w:rsidP="00EC63DA">
      <w:pPr>
        <w:spacing w:line="360" w:lineRule="auto"/>
        <w:jc w:val="center"/>
        <w:rPr>
          <w:rFonts w:ascii="Verdana" w:eastAsiaTheme="majorEastAsia" w:hAnsi="Verdana" w:cs="Times New Roman"/>
          <w:b/>
          <w:bCs/>
          <w:i/>
          <w:sz w:val="32"/>
          <w:szCs w:val="36"/>
          <w:lang w:val="es-ES" w:eastAsia="es-EC"/>
        </w:rPr>
      </w:pPr>
      <w:r w:rsidRPr="00EE4D50">
        <w:rPr>
          <w:rFonts w:ascii="Verdana" w:eastAsiaTheme="majorEastAsia" w:hAnsi="Verdana" w:cs="Times New Roman"/>
          <w:b/>
          <w:bCs/>
          <w:i/>
          <w:sz w:val="32"/>
          <w:szCs w:val="36"/>
          <w:lang w:val="es-ES" w:eastAsia="es-EC"/>
        </w:rPr>
        <w:t>Índice de Figuras</w:t>
      </w:r>
    </w:p>
    <w:p w:rsidR="00440F86" w:rsidRPr="00EE4D50" w:rsidRDefault="00C95607" w:rsidP="00EC63DA">
      <w:pPr>
        <w:pStyle w:val="TDC1"/>
        <w:tabs>
          <w:tab w:val="right" w:leader="dot" w:pos="9061"/>
        </w:tabs>
        <w:spacing w:after="60"/>
        <w:jc w:val="both"/>
        <w:rPr>
          <w:rFonts w:ascii="Verdana" w:hAnsi="Verdana" w:cs="Times New Roman"/>
          <w:noProof/>
          <w:color w:val="0000FF"/>
          <w:u w:val="single"/>
        </w:rPr>
      </w:pPr>
      <w:r w:rsidRPr="00EE4D50">
        <w:rPr>
          <w:rStyle w:val="Hipervnculo"/>
          <w:rFonts w:ascii="Verdana" w:hAnsi="Verdana" w:cs="Times New Roman"/>
          <w:noProof/>
        </w:rPr>
        <w:fldChar w:fldCharType="begin"/>
      </w:r>
      <w:r w:rsidRPr="00EE4D50">
        <w:rPr>
          <w:rStyle w:val="Hipervnculo"/>
          <w:rFonts w:ascii="Verdana" w:hAnsi="Verdana" w:cs="Times New Roman"/>
          <w:noProof/>
        </w:rPr>
        <w:instrText xml:space="preserve"> TOC \h \z \c "Figura" </w:instrText>
      </w:r>
      <w:r w:rsidRPr="00EE4D50">
        <w:rPr>
          <w:rStyle w:val="Hipervnculo"/>
          <w:rFonts w:ascii="Verdana" w:hAnsi="Verdana" w:cs="Times New Roman"/>
          <w:noProof/>
        </w:rPr>
        <w:fldChar w:fldCharType="separate"/>
      </w:r>
      <w:hyperlink w:anchor="_Toc473640026" w:history="1">
        <w:r w:rsidRPr="00EE4D50">
          <w:rPr>
            <w:rStyle w:val="Hipervnculo"/>
            <w:rFonts w:ascii="Verdana" w:hAnsi="Verdana" w:cs="Times New Roman"/>
            <w:i/>
            <w:noProof/>
          </w:rPr>
          <w:t>Figura 1: Diamante de Porter</w:t>
        </w:r>
        <w:r w:rsidRPr="00EE4D50">
          <w:rPr>
            <w:rStyle w:val="Hipervnculo"/>
            <w:rFonts w:ascii="Verdana" w:hAnsi="Verdana" w:cs="Times New Roman"/>
            <w:noProof/>
            <w:webHidden/>
          </w:rPr>
          <w:tab/>
        </w:r>
        <w:r w:rsidRPr="00EE4D50">
          <w:rPr>
            <w:rStyle w:val="Hipervnculo"/>
            <w:rFonts w:ascii="Verdana" w:hAnsi="Verdana" w:cs="Times New Roman"/>
            <w:noProof/>
            <w:webHidden/>
          </w:rPr>
          <w:fldChar w:fldCharType="begin"/>
        </w:r>
        <w:r w:rsidRPr="00EE4D50">
          <w:rPr>
            <w:rStyle w:val="Hipervnculo"/>
            <w:rFonts w:ascii="Verdana" w:hAnsi="Verdana" w:cs="Times New Roman"/>
            <w:noProof/>
            <w:webHidden/>
          </w:rPr>
          <w:instrText xml:space="preserve"> PAGEREF _Toc473640026 \h </w:instrText>
        </w:r>
        <w:r w:rsidRPr="00EE4D50">
          <w:rPr>
            <w:rStyle w:val="Hipervnculo"/>
            <w:rFonts w:ascii="Verdana" w:hAnsi="Verdana" w:cs="Times New Roman"/>
            <w:noProof/>
            <w:webHidden/>
          </w:rPr>
        </w:r>
        <w:r w:rsidRPr="00EE4D50">
          <w:rPr>
            <w:rStyle w:val="Hipervnculo"/>
            <w:rFonts w:ascii="Verdana" w:hAnsi="Verdana" w:cs="Times New Roman"/>
            <w:noProof/>
            <w:webHidden/>
          </w:rPr>
          <w:fldChar w:fldCharType="separate"/>
        </w:r>
        <w:r w:rsidR="001630A5">
          <w:rPr>
            <w:rStyle w:val="Hipervnculo"/>
            <w:rFonts w:ascii="Verdana" w:hAnsi="Verdana" w:cs="Times New Roman"/>
            <w:noProof/>
            <w:webHidden/>
          </w:rPr>
          <w:t>20</w:t>
        </w:r>
        <w:r w:rsidRPr="00EE4D50">
          <w:rPr>
            <w:rStyle w:val="Hipervnculo"/>
            <w:rFonts w:ascii="Verdana" w:hAnsi="Verdana" w:cs="Times New Roman"/>
            <w:noProof/>
            <w:webHidden/>
          </w:rPr>
          <w:fldChar w:fldCharType="end"/>
        </w:r>
      </w:hyperlink>
    </w:p>
    <w:p w:rsidR="00C95607" w:rsidRPr="00EE4D50" w:rsidRDefault="001630A5" w:rsidP="00EC63DA">
      <w:pPr>
        <w:pStyle w:val="TDC1"/>
        <w:tabs>
          <w:tab w:val="right" w:leader="dot" w:pos="9061"/>
        </w:tabs>
        <w:spacing w:after="60"/>
        <w:jc w:val="both"/>
        <w:rPr>
          <w:rStyle w:val="Hipervnculo"/>
          <w:rFonts w:ascii="Verdana" w:hAnsi="Verdana" w:cs="Times New Roman"/>
          <w:noProof/>
        </w:rPr>
      </w:pPr>
      <w:hyperlink w:anchor="_Toc473640027" w:history="1">
        <w:r w:rsidR="00C95607" w:rsidRPr="00EE4D50">
          <w:rPr>
            <w:rStyle w:val="Hipervnculo"/>
            <w:rFonts w:ascii="Verdana" w:hAnsi="Verdana" w:cs="Times New Roman"/>
            <w:i/>
            <w:noProof/>
          </w:rPr>
          <w:t>Figura 2: Esquema de cadena productiva</w:t>
        </w:r>
        <w:r w:rsidR="00C95607" w:rsidRPr="00EE4D50">
          <w:rPr>
            <w:rStyle w:val="Hipervnculo"/>
            <w:rFonts w:ascii="Verdana" w:hAnsi="Verdana" w:cs="Times New Roman"/>
            <w:noProof/>
            <w:webHidden/>
          </w:rPr>
          <w:tab/>
        </w:r>
        <w:r w:rsidR="00C95607" w:rsidRPr="00EE4D50">
          <w:rPr>
            <w:rStyle w:val="Hipervnculo"/>
            <w:rFonts w:ascii="Verdana" w:hAnsi="Verdana" w:cs="Times New Roman"/>
            <w:noProof/>
            <w:webHidden/>
          </w:rPr>
          <w:fldChar w:fldCharType="begin"/>
        </w:r>
        <w:r w:rsidR="00C95607" w:rsidRPr="00EE4D50">
          <w:rPr>
            <w:rStyle w:val="Hipervnculo"/>
            <w:rFonts w:ascii="Verdana" w:hAnsi="Verdana" w:cs="Times New Roman"/>
            <w:noProof/>
            <w:webHidden/>
          </w:rPr>
          <w:instrText xml:space="preserve"> PAGEREF _Toc473640027 \h </w:instrText>
        </w:r>
        <w:r w:rsidR="00C95607" w:rsidRPr="00EE4D50">
          <w:rPr>
            <w:rStyle w:val="Hipervnculo"/>
            <w:rFonts w:ascii="Verdana" w:hAnsi="Verdana" w:cs="Times New Roman"/>
            <w:noProof/>
            <w:webHidden/>
          </w:rPr>
        </w:r>
        <w:r w:rsidR="00C95607" w:rsidRPr="00EE4D50">
          <w:rPr>
            <w:rStyle w:val="Hipervnculo"/>
            <w:rFonts w:ascii="Verdana" w:hAnsi="Verdana" w:cs="Times New Roman"/>
            <w:noProof/>
            <w:webHidden/>
          </w:rPr>
          <w:fldChar w:fldCharType="separate"/>
        </w:r>
        <w:r>
          <w:rPr>
            <w:rStyle w:val="Hipervnculo"/>
            <w:rFonts w:ascii="Verdana" w:hAnsi="Verdana" w:cs="Times New Roman"/>
            <w:noProof/>
            <w:webHidden/>
          </w:rPr>
          <w:t>23</w:t>
        </w:r>
        <w:r w:rsidR="00C95607" w:rsidRPr="00EE4D50">
          <w:rPr>
            <w:rStyle w:val="Hipervnculo"/>
            <w:rFonts w:ascii="Verdana" w:hAnsi="Verdana" w:cs="Times New Roman"/>
            <w:noProof/>
            <w:webHidden/>
          </w:rPr>
          <w:fldChar w:fldCharType="end"/>
        </w:r>
      </w:hyperlink>
    </w:p>
    <w:p w:rsidR="00C95607" w:rsidRPr="00EE4D50" w:rsidRDefault="001630A5" w:rsidP="00EC63DA">
      <w:pPr>
        <w:pStyle w:val="TDC1"/>
        <w:tabs>
          <w:tab w:val="right" w:leader="dot" w:pos="9061"/>
        </w:tabs>
        <w:spacing w:after="60"/>
        <w:jc w:val="both"/>
        <w:rPr>
          <w:rStyle w:val="Hipervnculo"/>
          <w:rFonts w:ascii="Verdana" w:hAnsi="Verdana" w:cs="Times New Roman"/>
          <w:noProof/>
        </w:rPr>
      </w:pPr>
      <w:hyperlink w:anchor="_Toc473640028" w:history="1">
        <w:r w:rsidR="00C95607" w:rsidRPr="00EE4D50">
          <w:rPr>
            <w:rStyle w:val="Hipervnculo"/>
            <w:rFonts w:ascii="Verdana" w:hAnsi="Verdana" w:cs="Times New Roman"/>
            <w:i/>
            <w:noProof/>
          </w:rPr>
          <w:t>Figura 3: Primer vehículo ensamblado en Ecuador: Andino 1973</w:t>
        </w:r>
        <w:r w:rsidR="00C95607" w:rsidRPr="00EE4D50">
          <w:rPr>
            <w:rStyle w:val="Hipervnculo"/>
            <w:rFonts w:ascii="Verdana" w:hAnsi="Verdana" w:cs="Times New Roman"/>
            <w:noProof/>
            <w:webHidden/>
          </w:rPr>
          <w:tab/>
        </w:r>
        <w:r w:rsidR="00C95607" w:rsidRPr="00EE4D50">
          <w:rPr>
            <w:rStyle w:val="Hipervnculo"/>
            <w:rFonts w:ascii="Verdana" w:hAnsi="Verdana" w:cs="Times New Roman"/>
            <w:noProof/>
            <w:webHidden/>
          </w:rPr>
          <w:fldChar w:fldCharType="begin"/>
        </w:r>
        <w:r w:rsidR="00C95607" w:rsidRPr="00EE4D50">
          <w:rPr>
            <w:rStyle w:val="Hipervnculo"/>
            <w:rFonts w:ascii="Verdana" w:hAnsi="Verdana" w:cs="Times New Roman"/>
            <w:noProof/>
            <w:webHidden/>
          </w:rPr>
          <w:instrText xml:space="preserve"> PAGEREF _Toc473640028 \h </w:instrText>
        </w:r>
        <w:r w:rsidR="00C95607" w:rsidRPr="00EE4D50">
          <w:rPr>
            <w:rStyle w:val="Hipervnculo"/>
            <w:rFonts w:ascii="Verdana" w:hAnsi="Verdana" w:cs="Times New Roman"/>
            <w:noProof/>
            <w:webHidden/>
          </w:rPr>
        </w:r>
        <w:r w:rsidR="00C95607" w:rsidRPr="00EE4D50">
          <w:rPr>
            <w:rStyle w:val="Hipervnculo"/>
            <w:rFonts w:ascii="Verdana" w:hAnsi="Verdana" w:cs="Times New Roman"/>
            <w:noProof/>
            <w:webHidden/>
          </w:rPr>
          <w:fldChar w:fldCharType="separate"/>
        </w:r>
        <w:r>
          <w:rPr>
            <w:rStyle w:val="Hipervnculo"/>
            <w:rFonts w:ascii="Verdana" w:hAnsi="Verdana" w:cs="Times New Roman"/>
            <w:noProof/>
            <w:webHidden/>
          </w:rPr>
          <w:t>28</w:t>
        </w:r>
        <w:r w:rsidR="00C95607" w:rsidRPr="00EE4D50">
          <w:rPr>
            <w:rStyle w:val="Hipervnculo"/>
            <w:rFonts w:ascii="Verdana" w:hAnsi="Verdana" w:cs="Times New Roman"/>
            <w:noProof/>
            <w:webHidden/>
          </w:rPr>
          <w:fldChar w:fldCharType="end"/>
        </w:r>
      </w:hyperlink>
    </w:p>
    <w:p w:rsidR="00C95607" w:rsidRPr="00EE4D50" w:rsidRDefault="001630A5" w:rsidP="00EC63DA">
      <w:pPr>
        <w:pStyle w:val="TDC1"/>
        <w:tabs>
          <w:tab w:val="right" w:leader="dot" w:pos="9061"/>
        </w:tabs>
        <w:spacing w:after="60"/>
        <w:jc w:val="both"/>
        <w:rPr>
          <w:rStyle w:val="Hipervnculo"/>
          <w:rFonts w:ascii="Verdana" w:hAnsi="Verdana" w:cs="Times New Roman"/>
          <w:noProof/>
        </w:rPr>
      </w:pPr>
      <w:hyperlink w:anchor="_Toc473640029" w:history="1">
        <w:r w:rsidR="00C95607" w:rsidRPr="00EE4D50">
          <w:rPr>
            <w:rStyle w:val="Hipervnculo"/>
            <w:rFonts w:ascii="Verdana" w:hAnsi="Verdana" w:cs="Times New Roman"/>
            <w:i/>
            <w:noProof/>
          </w:rPr>
          <w:t>Figura 4: Logotipo de Aymesa</w:t>
        </w:r>
        <w:r w:rsidR="00C95607" w:rsidRPr="00EE4D50">
          <w:rPr>
            <w:rStyle w:val="Hipervnculo"/>
            <w:rFonts w:ascii="Verdana" w:hAnsi="Verdana" w:cs="Times New Roman"/>
            <w:noProof/>
            <w:webHidden/>
          </w:rPr>
          <w:tab/>
        </w:r>
        <w:r w:rsidR="00C95607" w:rsidRPr="00EE4D50">
          <w:rPr>
            <w:rStyle w:val="Hipervnculo"/>
            <w:rFonts w:ascii="Verdana" w:hAnsi="Verdana" w:cs="Times New Roman"/>
            <w:noProof/>
            <w:webHidden/>
          </w:rPr>
          <w:fldChar w:fldCharType="begin"/>
        </w:r>
        <w:r w:rsidR="00C95607" w:rsidRPr="00EE4D50">
          <w:rPr>
            <w:rStyle w:val="Hipervnculo"/>
            <w:rFonts w:ascii="Verdana" w:hAnsi="Verdana" w:cs="Times New Roman"/>
            <w:noProof/>
            <w:webHidden/>
          </w:rPr>
          <w:instrText xml:space="preserve"> PAGEREF _Toc473640029 \h </w:instrText>
        </w:r>
        <w:r w:rsidR="00C95607" w:rsidRPr="00EE4D50">
          <w:rPr>
            <w:rStyle w:val="Hipervnculo"/>
            <w:rFonts w:ascii="Verdana" w:hAnsi="Verdana" w:cs="Times New Roman"/>
            <w:noProof/>
            <w:webHidden/>
          </w:rPr>
        </w:r>
        <w:r w:rsidR="00C95607" w:rsidRPr="00EE4D50">
          <w:rPr>
            <w:rStyle w:val="Hipervnculo"/>
            <w:rFonts w:ascii="Verdana" w:hAnsi="Verdana" w:cs="Times New Roman"/>
            <w:noProof/>
            <w:webHidden/>
          </w:rPr>
          <w:fldChar w:fldCharType="separate"/>
        </w:r>
        <w:r>
          <w:rPr>
            <w:rStyle w:val="Hipervnculo"/>
            <w:rFonts w:ascii="Verdana" w:hAnsi="Verdana" w:cs="Times New Roman"/>
            <w:noProof/>
            <w:webHidden/>
          </w:rPr>
          <w:t>34</w:t>
        </w:r>
        <w:r w:rsidR="00C95607" w:rsidRPr="00EE4D50">
          <w:rPr>
            <w:rStyle w:val="Hipervnculo"/>
            <w:rFonts w:ascii="Verdana" w:hAnsi="Verdana" w:cs="Times New Roman"/>
            <w:noProof/>
            <w:webHidden/>
          </w:rPr>
          <w:fldChar w:fldCharType="end"/>
        </w:r>
      </w:hyperlink>
    </w:p>
    <w:p w:rsidR="00C95607" w:rsidRPr="00EE4D50" w:rsidRDefault="001630A5" w:rsidP="00EC63DA">
      <w:pPr>
        <w:pStyle w:val="TDC1"/>
        <w:tabs>
          <w:tab w:val="right" w:leader="dot" w:pos="9061"/>
        </w:tabs>
        <w:spacing w:after="60"/>
        <w:jc w:val="both"/>
        <w:rPr>
          <w:rStyle w:val="Hipervnculo"/>
          <w:rFonts w:ascii="Verdana" w:hAnsi="Verdana" w:cs="Times New Roman"/>
          <w:noProof/>
        </w:rPr>
      </w:pPr>
      <w:hyperlink w:anchor="_Toc473640030" w:history="1">
        <w:r w:rsidR="00C95607" w:rsidRPr="00EE4D50">
          <w:rPr>
            <w:rStyle w:val="Hipervnculo"/>
            <w:rFonts w:ascii="Verdana" w:hAnsi="Verdana" w:cs="Times New Roman"/>
            <w:i/>
            <w:noProof/>
          </w:rPr>
          <w:t>Figura 5: Ubicación geográfica de la ensambladora Aymesa</w:t>
        </w:r>
        <w:r w:rsidR="00C95607" w:rsidRPr="00EE4D50">
          <w:rPr>
            <w:rStyle w:val="Hipervnculo"/>
            <w:rFonts w:ascii="Verdana" w:hAnsi="Verdana" w:cs="Times New Roman"/>
            <w:noProof/>
            <w:webHidden/>
          </w:rPr>
          <w:tab/>
        </w:r>
        <w:r w:rsidR="00C95607" w:rsidRPr="00EE4D50">
          <w:rPr>
            <w:rStyle w:val="Hipervnculo"/>
            <w:rFonts w:ascii="Verdana" w:hAnsi="Verdana" w:cs="Times New Roman"/>
            <w:noProof/>
            <w:webHidden/>
          </w:rPr>
          <w:fldChar w:fldCharType="begin"/>
        </w:r>
        <w:r w:rsidR="00C95607" w:rsidRPr="00EE4D50">
          <w:rPr>
            <w:rStyle w:val="Hipervnculo"/>
            <w:rFonts w:ascii="Verdana" w:hAnsi="Verdana" w:cs="Times New Roman"/>
            <w:noProof/>
            <w:webHidden/>
          </w:rPr>
          <w:instrText xml:space="preserve"> PAGEREF _Toc473640030 \h </w:instrText>
        </w:r>
        <w:r w:rsidR="00C95607" w:rsidRPr="00EE4D50">
          <w:rPr>
            <w:rStyle w:val="Hipervnculo"/>
            <w:rFonts w:ascii="Verdana" w:hAnsi="Verdana" w:cs="Times New Roman"/>
            <w:noProof/>
            <w:webHidden/>
          </w:rPr>
        </w:r>
        <w:r w:rsidR="00C95607" w:rsidRPr="00EE4D50">
          <w:rPr>
            <w:rStyle w:val="Hipervnculo"/>
            <w:rFonts w:ascii="Verdana" w:hAnsi="Verdana" w:cs="Times New Roman"/>
            <w:noProof/>
            <w:webHidden/>
          </w:rPr>
          <w:fldChar w:fldCharType="separate"/>
        </w:r>
        <w:r>
          <w:rPr>
            <w:rStyle w:val="Hipervnculo"/>
            <w:rFonts w:ascii="Verdana" w:hAnsi="Verdana" w:cs="Times New Roman"/>
            <w:noProof/>
            <w:webHidden/>
          </w:rPr>
          <w:t>35</w:t>
        </w:r>
        <w:r w:rsidR="00C95607" w:rsidRPr="00EE4D50">
          <w:rPr>
            <w:rStyle w:val="Hipervnculo"/>
            <w:rFonts w:ascii="Verdana" w:hAnsi="Verdana" w:cs="Times New Roman"/>
            <w:noProof/>
            <w:webHidden/>
          </w:rPr>
          <w:fldChar w:fldCharType="end"/>
        </w:r>
      </w:hyperlink>
    </w:p>
    <w:p w:rsidR="00C95607" w:rsidRPr="00EE4D50" w:rsidRDefault="001630A5" w:rsidP="00EC63DA">
      <w:pPr>
        <w:pStyle w:val="TDC1"/>
        <w:tabs>
          <w:tab w:val="right" w:leader="dot" w:pos="9061"/>
        </w:tabs>
        <w:spacing w:after="60"/>
        <w:jc w:val="both"/>
        <w:rPr>
          <w:rStyle w:val="Hipervnculo"/>
          <w:rFonts w:ascii="Verdana" w:hAnsi="Verdana" w:cs="Times New Roman"/>
          <w:noProof/>
        </w:rPr>
      </w:pPr>
      <w:hyperlink w:anchor="_Toc473640031" w:history="1">
        <w:r w:rsidR="00C95607" w:rsidRPr="00EE4D50">
          <w:rPr>
            <w:rStyle w:val="Hipervnculo"/>
            <w:rFonts w:ascii="Verdana" w:hAnsi="Verdana" w:cs="Times New Roman"/>
            <w:i/>
            <w:noProof/>
          </w:rPr>
          <w:t>Figura 6: Logotipo de Omnibus BB</w:t>
        </w:r>
        <w:r w:rsidR="00C95607" w:rsidRPr="00EE4D50">
          <w:rPr>
            <w:rStyle w:val="Hipervnculo"/>
            <w:rFonts w:ascii="Verdana" w:hAnsi="Verdana" w:cs="Times New Roman"/>
            <w:noProof/>
            <w:webHidden/>
          </w:rPr>
          <w:tab/>
        </w:r>
        <w:r w:rsidR="00C95607" w:rsidRPr="00EE4D50">
          <w:rPr>
            <w:rStyle w:val="Hipervnculo"/>
            <w:rFonts w:ascii="Verdana" w:hAnsi="Verdana" w:cs="Times New Roman"/>
            <w:noProof/>
            <w:webHidden/>
          </w:rPr>
          <w:fldChar w:fldCharType="begin"/>
        </w:r>
        <w:r w:rsidR="00C95607" w:rsidRPr="00EE4D50">
          <w:rPr>
            <w:rStyle w:val="Hipervnculo"/>
            <w:rFonts w:ascii="Verdana" w:hAnsi="Verdana" w:cs="Times New Roman"/>
            <w:noProof/>
            <w:webHidden/>
          </w:rPr>
          <w:instrText xml:space="preserve"> PAGEREF _Toc473640031 \h </w:instrText>
        </w:r>
        <w:r w:rsidR="00C95607" w:rsidRPr="00EE4D50">
          <w:rPr>
            <w:rStyle w:val="Hipervnculo"/>
            <w:rFonts w:ascii="Verdana" w:hAnsi="Verdana" w:cs="Times New Roman"/>
            <w:noProof/>
            <w:webHidden/>
          </w:rPr>
        </w:r>
        <w:r w:rsidR="00C95607" w:rsidRPr="00EE4D50">
          <w:rPr>
            <w:rStyle w:val="Hipervnculo"/>
            <w:rFonts w:ascii="Verdana" w:hAnsi="Verdana" w:cs="Times New Roman"/>
            <w:noProof/>
            <w:webHidden/>
          </w:rPr>
          <w:fldChar w:fldCharType="separate"/>
        </w:r>
        <w:r>
          <w:rPr>
            <w:rStyle w:val="Hipervnculo"/>
            <w:rFonts w:ascii="Verdana" w:hAnsi="Verdana" w:cs="Times New Roman"/>
            <w:noProof/>
            <w:webHidden/>
          </w:rPr>
          <w:t>37</w:t>
        </w:r>
        <w:r w:rsidR="00C95607" w:rsidRPr="00EE4D50">
          <w:rPr>
            <w:rStyle w:val="Hipervnculo"/>
            <w:rFonts w:ascii="Verdana" w:hAnsi="Verdana" w:cs="Times New Roman"/>
            <w:noProof/>
            <w:webHidden/>
          </w:rPr>
          <w:fldChar w:fldCharType="end"/>
        </w:r>
      </w:hyperlink>
    </w:p>
    <w:p w:rsidR="00C95607" w:rsidRPr="00EE4D50" w:rsidRDefault="001630A5" w:rsidP="00EC63DA">
      <w:pPr>
        <w:pStyle w:val="TDC1"/>
        <w:tabs>
          <w:tab w:val="right" w:leader="dot" w:pos="9061"/>
        </w:tabs>
        <w:spacing w:after="60"/>
        <w:jc w:val="both"/>
        <w:rPr>
          <w:rStyle w:val="Hipervnculo"/>
          <w:rFonts w:ascii="Verdana" w:hAnsi="Verdana" w:cs="Times New Roman"/>
          <w:noProof/>
        </w:rPr>
      </w:pPr>
      <w:hyperlink w:anchor="_Toc473640032" w:history="1">
        <w:r w:rsidR="00C95607" w:rsidRPr="00EE4D50">
          <w:rPr>
            <w:rStyle w:val="Hipervnculo"/>
            <w:rFonts w:ascii="Verdana" w:hAnsi="Verdana" w:cs="Times New Roman"/>
            <w:i/>
            <w:noProof/>
          </w:rPr>
          <w:t>Figura 7: Ubicación geográfica de la ensambladora Ómnibus</w:t>
        </w:r>
        <w:r w:rsidR="00C95607" w:rsidRPr="00EE4D50">
          <w:rPr>
            <w:rStyle w:val="Hipervnculo"/>
            <w:rFonts w:ascii="Verdana" w:hAnsi="Verdana" w:cs="Times New Roman"/>
            <w:noProof/>
            <w:webHidden/>
          </w:rPr>
          <w:tab/>
        </w:r>
        <w:r w:rsidR="00C95607" w:rsidRPr="00EE4D50">
          <w:rPr>
            <w:rStyle w:val="Hipervnculo"/>
            <w:rFonts w:ascii="Verdana" w:hAnsi="Verdana" w:cs="Times New Roman"/>
            <w:noProof/>
            <w:webHidden/>
          </w:rPr>
          <w:fldChar w:fldCharType="begin"/>
        </w:r>
        <w:r w:rsidR="00C95607" w:rsidRPr="00EE4D50">
          <w:rPr>
            <w:rStyle w:val="Hipervnculo"/>
            <w:rFonts w:ascii="Verdana" w:hAnsi="Verdana" w:cs="Times New Roman"/>
            <w:noProof/>
            <w:webHidden/>
          </w:rPr>
          <w:instrText xml:space="preserve"> PAGEREF _Toc473640032 \h </w:instrText>
        </w:r>
        <w:r w:rsidR="00C95607" w:rsidRPr="00EE4D50">
          <w:rPr>
            <w:rStyle w:val="Hipervnculo"/>
            <w:rFonts w:ascii="Verdana" w:hAnsi="Verdana" w:cs="Times New Roman"/>
            <w:noProof/>
            <w:webHidden/>
          </w:rPr>
        </w:r>
        <w:r w:rsidR="00C95607" w:rsidRPr="00EE4D50">
          <w:rPr>
            <w:rStyle w:val="Hipervnculo"/>
            <w:rFonts w:ascii="Verdana" w:hAnsi="Verdana" w:cs="Times New Roman"/>
            <w:noProof/>
            <w:webHidden/>
          </w:rPr>
          <w:fldChar w:fldCharType="separate"/>
        </w:r>
        <w:r>
          <w:rPr>
            <w:rStyle w:val="Hipervnculo"/>
            <w:rFonts w:ascii="Verdana" w:hAnsi="Verdana" w:cs="Times New Roman"/>
            <w:noProof/>
            <w:webHidden/>
          </w:rPr>
          <w:t>37</w:t>
        </w:r>
        <w:r w:rsidR="00C95607" w:rsidRPr="00EE4D50">
          <w:rPr>
            <w:rStyle w:val="Hipervnculo"/>
            <w:rFonts w:ascii="Verdana" w:hAnsi="Verdana" w:cs="Times New Roman"/>
            <w:noProof/>
            <w:webHidden/>
          </w:rPr>
          <w:fldChar w:fldCharType="end"/>
        </w:r>
      </w:hyperlink>
    </w:p>
    <w:p w:rsidR="00C95607" w:rsidRPr="00EE4D50" w:rsidRDefault="001630A5" w:rsidP="00EC63DA">
      <w:pPr>
        <w:pStyle w:val="TDC1"/>
        <w:tabs>
          <w:tab w:val="right" w:leader="dot" w:pos="9061"/>
        </w:tabs>
        <w:spacing w:after="60"/>
        <w:jc w:val="both"/>
        <w:rPr>
          <w:rStyle w:val="Hipervnculo"/>
          <w:rFonts w:ascii="Verdana" w:hAnsi="Verdana" w:cs="Times New Roman"/>
          <w:noProof/>
        </w:rPr>
      </w:pPr>
      <w:hyperlink w:anchor="_Toc473640033" w:history="1">
        <w:r w:rsidR="00C95607" w:rsidRPr="00EE4D50">
          <w:rPr>
            <w:rStyle w:val="Hipervnculo"/>
            <w:rFonts w:ascii="Verdana" w:hAnsi="Verdana" w:cs="Times New Roman"/>
            <w:i/>
            <w:noProof/>
          </w:rPr>
          <w:t>Figura 8: Logotipo de Maresa</w:t>
        </w:r>
        <w:r w:rsidR="00C95607" w:rsidRPr="00EE4D50">
          <w:rPr>
            <w:rStyle w:val="Hipervnculo"/>
            <w:rFonts w:ascii="Verdana" w:hAnsi="Verdana" w:cs="Times New Roman"/>
            <w:noProof/>
            <w:webHidden/>
          </w:rPr>
          <w:tab/>
        </w:r>
        <w:r w:rsidR="00C95607" w:rsidRPr="00EE4D50">
          <w:rPr>
            <w:rStyle w:val="Hipervnculo"/>
            <w:rFonts w:ascii="Verdana" w:hAnsi="Verdana" w:cs="Times New Roman"/>
            <w:noProof/>
            <w:webHidden/>
          </w:rPr>
          <w:fldChar w:fldCharType="begin"/>
        </w:r>
        <w:r w:rsidR="00C95607" w:rsidRPr="00EE4D50">
          <w:rPr>
            <w:rStyle w:val="Hipervnculo"/>
            <w:rFonts w:ascii="Verdana" w:hAnsi="Verdana" w:cs="Times New Roman"/>
            <w:noProof/>
            <w:webHidden/>
          </w:rPr>
          <w:instrText xml:space="preserve"> PAGEREF _Toc473640033 \h </w:instrText>
        </w:r>
        <w:r w:rsidR="00C95607" w:rsidRPr="00EE4D50">
          <w:rPr>
            <w:rStyle w:val="Hipervnculo"/>
            <w:rFonts w:ascii="Verdana" w:hAnsi="Verdana" w:cs="Times New Roman"/>
            <w:noProof/>
            <w:webHidden/>
          </w:rPr>
        </w:r>
        <w:r w:rsidR="00C95607" w:rsidRPr="00EE4D50">
          <w:rPr>
            <w:rStyle w:val="Hipervnculo"/>
            <w:rFonts w:ascii="Verdana" w:hAnsi="Verdana" w:cs="Times New Roman"/>
            <w:noProof/>
            <w:webHidden/>
          </w:rPr>
          <w:fldChar w:fldCharType="separate"/>
        </w:r>
        <w:r>
          <w:rPr>
            <w:rStyle w:val="Hipervnculo"/>
            <w:rFonts w:ascii="Verdana" w:hAnsi="Verdana" w:cs="Times New Roman"/>
            <w:noProof/>
            <w:webHidden/>
          </w:rPr>
          <w:t>39</w:t>
        </w:r>
        <w:r w:rsidR="00C95607" w:rsidRPr="00EE4D50">
          <w:rPr>
            <w:rStyle w:val="Hipervnculo"/>
            <w:rFonts w:ascii="Verdana" w:hAnsi="Verdana" w:cs="Times New Roman"/>
            <w:noProof/>
            <w:webHidden/>
          </w:rPr>
          <w:fldChar w:fldCharType="end"/>
        </w:r>
      </w:hyperlink>
    </w:p>
    <w:p w:rsidR="00C95607" w:rsidRPr="00EE4D50" w:rsidRDefault="001630A5" w:rsidP="00EC63DA">
      <w:pPr>
        <w:pStyle w:val="TDC1"/>
        <w:tabs>
          <w:tab w:val="right" w:leader="dot" w:pos="9061"/>
        </w:tabs>
        <w:spacing w:after="60"/>
        <w:jc w:val="both"/>
        <w:rPr>
          <w:rStyle w:val="Hipervnculo"/>
          <w:rFonts w:ascii="Verdana" w:hAnsi="Verdana" w:cs="Times New Roman"/>
          <w:noProof/>
        </w:rPr>
      </w:pPr>
      <w:hyperlink w:anchor="_Toc473640034" w:history="1">
        <w:r w:rsidR="00C95607" w:rsidRPr="00EE4D50">
          <w:rPr>
            <w:rStyle w:val="Hipervnculo"/>
            <w:rFonts w:ascii="Verdana" w:hAnsi="Verdana" w:cs="Times New Roman"/>
            <w:i/>
            <w:noProof/>
          </w:rPr>
          <w:t>Figura 9: Ubicación geográfica de la ensambladora de Maresa</w:t>
        </w:r>
        <w:r w:rsidR="00C95607" w:rsidRPr="00EE4D50">
          <w:rPr>
            <w:rStyle w:val="Hipervnculo"/>
            <w:rFonts w:ascii="Verdana" w:hAnsi="Verdana" w:cs="Times New Roman"/>
            <w:noProof/>
            <w:webHidden/>
          </w:rPr>
          <w:tab/>
        </w:r>
        <w:r w:rsidR="00C95607" w:rsidRPr="00EE4D50">
          <w:rPr>
            <w:rStyle w:val="Hipervnculo"/>
            <w:rFonts w:ascii="Verdana" w:hAnsi="Verdana" w:cs="Times New Roman"/>
            <w:noProof/>
            <w:webHidden/>
          </w:rPr>
          <w:fldChar w:fldCharType="begin"/>
        </w:r>
        <w:r w:rsidR="00C95607" w:rsidRPr="00EE4D50">
          <w:rPr>
            <w:rStyle w:val="Hipervnculo"/>
            <w:rFonts w:ascii="Verdana" w:hAnsi="Verdana" w:cs="Times New Roman"/>
            <w:noProof/>
            <w:webHidden/>
          </w:rPr>
          <w:instrText xml:space="preserve"> PAGEREF _Toc473640034 \h </w:instrText>
        </w:r>
        <w:r w:rsidR="00C95607" w:rsidRPr="00EE4D50">
          <w:rPr>
            <w:rStyle w:val="Hipervnculo"/>
            <w:rFonts w:ascii="Verdana" w:hAnsi="Verdana" w:cs="Times New Roman"/>
            <w:noProof/>
            <w:webHidden/>
          </w:rPr>
        </w:r>
        <w:r w:rsidR="00C95607" w:rsidRPr="00EE4D50">
          <w:rPr>
            <w:rStyle w:val="Hipervnculo"/>
            <w:rFonts w:ascii="Verdana" w:hAnsi="Verdana" w:cs="Times New Roman"/>
            <w:noProof/>
            <w:webHidden/>
          </w:rPr>
          <w:fldChar w:fldCharType="separate"/>
        </w:r>
        <w:r>
          <w:rPr>
            <w:rStyle w:val="Hipervnculo"/>
            <w:rFonts w:ascii="Verdana" w:hAnsi="Verdana" w:cs="Times New Roman"/>
            <w:noProof/>
            <w:webHidden/>
          </w:rPr>
          <w:t>39</w:t>
        </w:r>
        <w:r w:rsidR="00C95607" w:rsidRPr="00EE4D50">
          <w:rPr>
            <w:rStyle w:val="Hipervnculo"/>
            <w:rFonts w:ascii="Verdana" w:hAnsi="Verdana" w:cs="Times New Roman"/>
            <w:noProof/>
            <w:webHidden/>
          </w:rPr>
          <w:fldChar w:fldCharType="end"/>
        </w:r>
      </w:hyperlink>
    </w:p>
    <w:p w:rsidR="00C95607" w:rsidRPr="00EE4D50" w:rsidRDefault="001630A5" w:rsidP="00EC63DA">
      <w:pPr>
        <w:pStyle w:val="TDC1"/>
        <w:tabs>
          <w:tab w:val="right" w:leader="dot" w:pos="9061"/>
        </w:tabs>
        <w:spacing w:after="60"/>
        <w:jc w:val="both"/>
        <w:rPr>
          <w:rStyle w:val="Hipervnculo"/>
          <w:rFonts w:ascii="Verdana" w:hAnsi="Verdana" w:cs="Times New Roman"/>
          <w:noProof/>
        </w:rPr>
      </w:pPr>
      <w:hyperlink w:anchor="_Toc473640035" w:history="1">
        <w:r w:rsidR="00C95607" w:rsidRPr="00EE4D50">
          <w:rPr>
            <w:rStyle w:val="Hipervnculo"/>
            <w:rFonts w:ascii="Verdana" w:hAnsi="Verdana" w:cs="Times New Roman"/>
            <w:i/>
            <w:noProof/>
          </w:rPr>
          <w:t>Figura 10: Encadenamiento del sector automotriz</w:t>
        </w:r>
        <w:r w:rsidR="00C95607" w:rsidRPr="00EE4D50">
          <w:rPr>
            <w:rStyle w:val="Hipervnculo"/>
            <w:rFonts w:ascii="Verdana" w:hAnsi="Verdana" w:cs="Times New Roman"/>
            <w:noProof/>
            <w:webHidden/>
          </w:rPr>
          <w:tab/>
        </w:r>
        <w:r w:rsidR="00C95607" w:rsidRPr="00EE4D50">
          <w:rPr>
            <w:rStyle w:val="Hipervnculo"/>
            <w:rFonts w:ascii="Verdana" w:hAnsi="Verdana" w:cs="Times New Roman"/>
            <w:noProof/>
            <w:webHidden/>
          </w:rPr>
          <w:fldChar w:fldCharType="begin"/>
        </w:r>
        <w:r w:rsidR="00C95607" w:rsidRPr="00EE4D50">
          <w:rPr>
            <w:rStyle w:val="Hipervnculo"/>
            <w:rFonts w:ascii="Verdana" w:hAnsi="Verdana" w:cs="Times New Roman"/>
            <w:noProof/>
            <w:webHidden/>
          </w:rPr>
          <w:instrText xml:space="preserve"> PAGEREF _Toc473640035 \h </w:instrText>
        </w:r>
        <w:r w:rsidR="00C95607" w:rsidRPr="00EE4D50">
          <w:rPr>
            <w:rStyle w:val="Hipervnculo"/>
            <w:rFonts w:ascii="Verdana" w:hAnsi="Verdana" w:cs="Times New Roman"/>
            <w:noProof/>
            <w:webHidden/>
          </w:rPr>
        </w:r>
        <w:r w:rsidR="00C95607" w:rsidRPr="00EE4D50">
          <w:rPr>
            <w:rStyle w:val="Hipervnculo"/>
            <w:rFonts w:ascii="Verdana" w:hAnsi="Verdana" w:cs="Times New Roman"/>
            <w:noProof/>
            <w:webHidden/>
          </w:rPr>
          <w:fldChar w:fldCharType="separate"/>
        </w:r>
        <w:r>
          <w:rPr>
            <w:rStyle w:val="Hipervnculo"/>
            <w:rFonts w:ascii="Verdana" w:hAnsi="Verdana" w:cs="Times New Roman"/>
            <w:noProof/>
            <w:webHidden/>
          </w:rPr>
          <w:t>52</w:t>
        </w:r>
        <w:r w:rsidR="00C95607" w:rsidRPr="00EE4D50">
          <w:rPr>
            <w:rStyle w:val="Hipervnculo"/>
            <w:rFonts w:ascii="Verdana" w:hAnsi="Verdana" w:cs="Times New Roman"/>
            <w:noProof/>
            <w:webHidden/>
          </w:rPr>
          <w:fldChar w:fldCharType="end"/>
        </w:r>
      </w:hyperlink>
    </w:p>
    <w:p w:rsidR="002C450F" w:rsidRPr="00EE4D50" w:rsidRDefault="00C95607" w:rsidP="00EC63DA">
      <w:pPr>
        <w:pStyle w:val="TDC1"/>
        <w:tabs>
          <w:tab w:val="right" w:leader="dot" w:pos="9061"/>
        </w:tabs>
        <w:spacing w:after="60"/>
        <w:jc w:val="both"/>
        <w:rPr>
          <w:rStyle w:val="Hipervnculo"/>
          <w:rFonts w:ascii="Verdana" w:hAnsi="Verdana" w:cs="Times New Roman"/>
          <w:noProof/>
        </w:rPr>
      </w:pPr>
      <w:r w:rsidRPr="00EE4D50">
        <w:rPr>
          <w:rStyle w:val="Hipervnculo"/>
          <w:rFonts w:ascii="Verdana" w:hAnsi="Verdana" w:cs="Times New Roman"/>
          <w:noProof/>
        </w:rPr>
        <w:fldChar w:fldCharType="end"/>
      </w:r>
    </w:p>
    <w:p w:rsidR="002C450F" w:rsidRPr="00EE4D50" w:rsidRDefault="002C450F" w:rsidP="00EC63DA">
      <w:pPr>
        <w:spacing w:line="360" w:lineRule="auto"/>
        <w:jc w:val="center"/>
        <w:rPr>
          <w:rFonts w:ascii="Verdana" w:hAnsi="Verdana" w:cs="Times New Roman"/>
          <w:b/>
          <w:i/>
          <w:sz w:val="32"/>
        </w:rPr>
      </w:pPr>
      <w:r w:rsidRPr="00EE4D50">
        <w:rPr>
          <w:rFonts w:ascii="Verdana" w:hAnsi="Verdana" w:cs="Times New Roman"/>
          <w:b/>
          <w:i/>
          <w:sz w:val="32"/>
        </w:rPr>
        <w:t>Índice de Gráficos</w:t>
      </w:r>
    </w:p>
    <w:p w:rsidR="00C95607" w:rsidRPr="00EE4D50" w:rsidRDefault="00C95607" w:rsidP="00EC63DA">
      <w:pPr>
        <w:pStyle w:val="TDC1"/>
        <w:tabs>
          <w:tab w:val="right" w:leader="dot" w:pos="9061"/>
        </w:tabs>
        <w:spacing w:after="60"/>
        <w:jc w:val="both"/>
        <w:rPr>
          <w:rStyle w:val="Hipervnculo"/>
          <w:rFonts w:ascii="Verdana" w:hAnsi="Verdana" w:cs="Times New Roman"/>
          <w:i/>
          <w:noProof/>
        </w:rPr>
      </w:pPr>
      <w:r w:rsidRPr="00EE4D50">
        <w:rPr>
          <w:rStyle w:val="Hipervnculo"/>
          <w:rFonts w:ascii="Verdana" w:hAnsi="Verdana" w:cs="Times New Roman"/>
          <w:noProof/>
        </w:rPr>
        <w:fldChar w:fldCharType="begin"/>
      </w:r>
      <w:r w:rsidRPr="00EE4D50">
        <w:rPr>
          <w:rStyle w:val="Hipervnculo"/>
          <w:rFonts w:ascii="Verdana" w:hAnsi="Verdana" w:cs="Times New Roman"/>
          <w:noProof/>
        </w:rPr>
        <w:instrText xml:space="preserve"> TOC \h \z \c "Gráfico" </w:instrText>
      </w:r>
      <w:r w:rsidRPr="00EE4D50">
        <w:rPr>
          <w:rStyle w:val="Hipervnculo"/>
          <w:rFonts w:ascii="Verdana" w:hAnsi="Verdana" w:cs="Times New Roman"/>
          <w:noProof/>
        </w:rPr>
        <w:fldChar w:fldCharType="separate"/>
      </w:r>
      <w:hyperlink w:anchor="_Toc473640077" w:history="1">
        <w:r w:rsidRPr="00EE4D50">
          <w:rPr>
            <w:rStyle w:val="Hipervnculo"/>
            <w:rFonts w:ascii="Verdana" w:hAnsi="Verdana" w:cs="Times New Roman"/>
            <w:i/>
            <w:noProof/>
          </w:rPr>
          <w:t>Gráfico 1: Producción nacional de vehículos (1980-2002)</w:t>
        </w:r>
        <w:r w:rsidRPr="00EE4D50">
          <w:rPr>
            <w:rStyle w:val="Hipervnculo"/>
            <w:rFonts w:ascii="Verdana" w:hAnsi="Verdana" w:cs="Times New Roman"/>
            <w:i/>
            <w:noProof/>
            <w:webHidden/>
          </w:rPr>
          <w:tab/>
        </w:r>
        <w:r w:rsidRPr="00EE4D50">
          <w:rPr>
            <w:rStyle w:val="Hipervnculo"/>
            <w:rFonts w:ascii="Verdana" w:hAnsi="Verdana" w:cs="Times New Roman"/>
            <w:i/>
            <w:noProof/>
            <w:webHidden/>
          </w:rPr>
          <w:fldChar w:fldCharType="begin"/>
        </w:r>
        <w:r w:rsidRPr="00EE4D50">
          <w:rPr>
            <w:rStyle w:val="Hipervnculo"/>
            <w:rFonts w:ascii="Verdana" w:hAnsi="Verdana" w:cs="Times New Roman"/>
            <w:i/>
            <w:noProof/>
            <w:webHidden/>
          </w:rPr>
          <w:instrText xml:space="preserve"> PAGEREF _Toc473640077 \h </w:instrText>
        </w:r>
        <w:r w:rsidRPr="00EE4D50">
          <w:rPr>
            <w:rStyle w:val="Hipervnculo"/>
            <w:rFonts w:ascii="Verdana" w:hAnsi="Verdana" w:cs="Times New Roman"/>
            <w:i/>
            <w:noProof/>
            <w:webHidden/>
          </w:rPr>
        </w:r>
        <w:r w:rsidRPr="00EE4D50">
          <w:rPr>
            <w:rStyle w:val="Hipervnculo"/>
            <w:rFonts w:ascii="Verdana" w:hAnsi="Verdana" w:cs="Times New Roman"/>
            <w:i/>
            <w:noProof/>
            <w:webHidden/>
          </w:rPr>
          <w:fldChar w:fldCharType="separate"/>
        </w:r>
        <w:r w:rsidR="001630A5">
          <w:rPr>
            <w:rStyle w:val="Hipervnculo"/>
            <w:rFonts w:ascii="Verdana" w:hAnsi="Verdana" w:cs="Times New Roman"/>
            <w:i/>
            <w:noProof/>
            <w:webHidden/>
          </w:rPr>
          <w:t>42</w:t>
        </w:r>
        <w:r w:rsidRPr="00EE4D50">
          <w:rPr>
            <w:rStyle w:val="Hipervnculo"/>
            <w:rFonts w:ascii="Verdana" w:hAnsi="Verdana" w:cs="Times New Roman"/>
            <w:i/>
            <w:noProof/>
            <w:webHidden/>
          </w:rPr>
          <w:fldChar w:fldCharType="end"/>
        </w:r>
      </w:hyperlink>
    </w:p>
    <w:p w:rsidR="00C95607"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078" w:history="1">
        <w:r w:rsidR="00C95607" w:rsidRPr="00EE4D50">
          <w:rPr>
            <w:rStyle w:val="Hipervnculo"/>
            <w:rFonts w:ascii="Verdana" w:hAnsi="Verdana" w:cs="Times New Roman"/>
            <w:i/>
            <w:noProof/>
          </w:rPr>
          <w:t>Gráfico 2: Ecuador: % Participación por Ensambladora en el Total Producido en dólares en 1994</w:t>
        </w:r>
        <w:r w:rsidR="00C95607" w:rsidRPr="00EE4D50">
          <w:rPr>
            <w:rStyle w:val="Hipervnculo"/>
            <w:rFonts w:ascii="Verdana" w:hAnsi="Verdana" w:cs="Times New Roman"/>
            <w:i/>
            <w:noProof/>
            <w:webHidden/>
          </w:rPr>
          <w:tab/>
        </w:r>
        <w:r w:rsidR="00C95607" w:rsidRPr="00EE4D50">
          <w:rPr>
            <w:rStyle w:val="Hipervnculo"/>
            <w:rFonts w:ascii="Verdana" w:hAnsi="Verdana" w:cs="Times New Roman"/>
            <w:i/>
            <w:noProof/>
            <w:webHidden/>
          </w:rPr>
          <w:fldChar w:fldCharType="begin"/>
        </w:r>
        <w:r w:rsidR="00C95607" w:rsidRPr="00EE4D50">
          <w:rPr>
            <w:rStyle w:val="Hipervnculo"/>
            <w:rFonts w:ascii="Verdana" w:hAnsi="Verdana" w:cs="Times New Roman"/>
            <w:i/>
            <w:noProof/>
            <w:webHidden/>
          </w:rPr>
          <w:instrText xml:space="preserve"> PAGEREF _Toc473640078 \h </w:instrText>
        </w:r>
        <w:r w:rsidR="00C95607" w:rsidRPr="00EE4D50">
          <w:rPr>
            <w:rStyle w:val="Hipervnculo"/>
            <w:rFonts w:ascii="Verdana" w:hAnsi="Verdana" w:cs="Times New Roman"/>
            <w:i/>
            <w:noProof/>
            <w:webHidden/>
          </w:rPr>
        </w:r>
        <w:r w:rsidR="00C95607"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45</w:t>
        </w:r>
        <w:r w:rsidR="00C95607" w:rsidRPr="00EE4D50">
          <w:rPr>
            <w:rStyle w:val="Hipervnculo"/>
            <w:rFonts w:ascii="Verdana" w:hAnsi="Verdana" w:cs="Times New Roman"/>
            <w:i/>
            <w:noProof/>
            <w:webHidden/>
          </w:rPr>
          <w:fldChar w:fldCharType="end"/>
        </w:r>
      </w:hyperlink>
    </w:p>
    <w:p w:rsidR="00C95607"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079" w:history="1">
        <w:r w:rsidR="00C95607" w:rsidRPr="00EE4D50">
          <w:rPr>
            <w:rStyle w:val="Hipervnculo"/>
            <w:rFonts w:ascii="Verdana" w:hAnsi="Verdana" w:cs="Times New Roman"/>
            <w:i/>
            <w:noProof/>
          </w:rPr>
          <w:t>Gráfico 3: Ecuador: % Participación por Ensambladora en el Total Producido en dólares en el 2002</w:t>
        </w:r>
        <w:r w:rsidR="00C95607" w:rsidRPr="00EE4D50">
          <w:rPr>
            <w:rStyle w:val="Hipervnculo"/>
            <w:rFonts w:ascii="Verdana" w:hAnsi="Verdana" w:cs="Times New Roman"/>
            <w:i/>
            <w:noProof/>
            <w:webHidden/>
          </w:rPr>
          <w:tab/>
        </w:r>
        <w:r w:rsidR="00C95607" w:rsidRPr="00EE4D50">
          <w:rPr>
            <w:rStyle w:val="Hipervnculo"/>
            <w:rFonts w:ascii="Verdana" w:hAnsi="Verdana" w:cs="Times New Roman"/>
            <w:i/>
            <w:noProof/>
            <w:webHidden/>
          </w:rPr>
          <w:fldChar w:fldCharType="begin"/>
        </w:r>
        <w:r w:rsidR="00C95607" w:rsidRPr="00EE4D50">
          <w:rPr>
            <w:rStyle w:val="Hipervnculo"/>
            <w:rFonts w:ascii="Verdana" w:hAnsi="Verdana" w:cs="Times New Roman"/>
            <w:i/>
            <w:noProof/>
            <w:webHidden/>
          </w:rPr>
          <w:instrText xml:space="preserve"> PAGEREF _Toc473640079 \h </w:instrText>
        </w:r>
        <w:r w:rsidR="00C95607" w:rsidRPr="00EE4D50">
          <w:rPr>
            <w:rStyle w:val="Hipervnculo"/>
            <w:rFonts w:ascii="Verdana" w:hAnsi="Verdana" w:cs="Times New Roman"/>
            <w:i/>
            <w:noProof/>
            <w:webHidden/>
          </w:rPr>
        </w:r>
        <w:r w:rsidR="00C95607"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45</w:t>
        </w:r>
        <w:r w:rsidR="00C95607" w:rsidRPr="00EE4D50">
          <w:rPr>
            <w:rStyle w:val="Hipervnculo"/>
            <w:rFonts w:ascii="Verdana" w:hAnsi="Verdana" w:cs="Times New Roman"/>
            <w:i/>
            <w:noProof/>
            <w:webHidden/>
          </w:rPr>
          <w:fldChar w:fldCharType="end"/>
        </w:r>
      </w:hyperlink>
    </w:p>
    <w:p w:rsidR="00C95607"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080" w:history="1">
        <w:r w:rsidR="00C95607" w:rsidRPr="00EE4D50">
          <w:rPr>
            <w:rStyle w:val="Hipervnculo"/>
            <w:rFonts w:ascii="Verdana" w:hAnsi="Verdana" w:cs="Times New Roman"/>
            <w:i/>
            <w:noProof/>
          </w:rPr>
          <w:t>Gráfico 4: Exportación de vehículos en Ecuador</w:t>
        </w:r>
        <w:r w:rsidR="00C95607" w:rsidRPr="00EE4D50">
          <w:rPr>
            <w:rStyle w:val="Hipervnculo"/>
            <w:rFonts w:ascii="Verdana" w:hAnsi="Verdana" w:cs="Times New Roman"/>
            <w:i/>
            <w:noProof/>
            <w:webHidden/>
          </w:rPr>
          <w:tab/>
        </w:r>
        <w:r w:rsidR="00C95607" w:rsidRPr="00EE4D50">
          <w:rPr>
            <w:rStyle w:val="Hipervnculo"/>
            <w:rFonts w:ascii="Verdana" w:hAnsi="Verdana" w:cs="Times New Roman"/>
            <w:i/>
            <w:noProof/>
            <w:webHidden/>
          </w:rPr>
          <w:fldChar w:fldCharType="begin"/>
        </w:r>
        <w:r w:rsidR="00C95607" w:rsidRPr="00EE4D50">
          <w:rPr>
            <w:rStyle w:val="Hipervnculo"/>
            <w:rFonts w:ascii="Verdana" w:hAnsi="Verdana" w:cs="Times New Roman"/>
            <w:i/>
            <w:noProof/>
            <w:webHidden/>
          </w:rPr>
          <w:instrText xml:space="preserve"> PAGEREF _Toc473640080 \h </w:instrText>
        </w:r>
        <w:r w:rsidR="00C95607" w:rsidRPr="00EE4D50">
          <w:rPr>
            <w:rStyle w:val="Hipervnculo"/>
            <w:rFonts w:ascii="Verdana" w:hAnsi="Verdana" w:cs="Times New Roman"/>
            <w:i/>
            <w:noProof/>
            <w:webHidden/>
          </w:rPr>
        </w:r>
        <w:r w:rsidR="00C95607"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46</w:t>
        </w:r>
        <w:r w:rsidR="00C95607" w:rsidRPr="00EE4D50">
          <w:rPr>
            <w:rStyle w:val="Hipervnculo"/>
            <w:rFonts w:ascii="Verdana" w:hAnsi="Verdana" w:cs="Times New Roman"/>
            <w:i/>
            <w:noProof/>
            <w:webHidden/>
          </w:rPr>
          <w:fldChar w:fldCharType="end"/>
        </w:r>
      </w:hyperlink>
    </w:p>
    <w:p w:rsidR="00C95607"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081" w:history="1">
        <w:r w:rsidR="00C95607" w:rsidRPr="00EE4D50">
          <w:rPr>
            <w:rStyle w:val="Hipervnculo"/>
            <w:rFonts w:ascii="Verdana" w:hAnsi="Verdana" w:cs="Times New Roman"/>
            <w:i/>
            <w:noProof/>
          </w:rPr>
          <w:t>Gráfico 5: Importación de vehículos en Ecuador</w:t>
        </w:r>
        <w:r w:rsidR="00C95607" w:rsidRPr="00EE4D50">
          <w:rPr>
            <w:rStyle w:val="Hipervnculo"/>
            <w:rFonts w:ascii="Verdana" w:hAnsi="Verdana" w:cs="Times New Roman"/>
            <w:i/>
            <w:noProof/>
            <w:webHidden/>
          </w:rPr>
          <w:tab/>
        </w:r>
        <w:r w:rsidR="00C95607" w:rsidRPr="00EE4D50">
          <w:rPr>
            <w:rStyle w:val="Hipervnculo"/>
            <w:rFonts w:ascii="Verdana" w:hAnsi="Verdana" w:cs="Times New Roman"/>
            <w:i/>
            <w:noProof/>
            <w:webHidden/>
          </w:rPr>
          <w:fldChar w:fldCharType="begin"/>
        </w:r>
        <w:r w:rsidR="00C95607" w:rsidRPr="00EE4D50">
          <w:rPr>
            <w:rStyle w:val="Hipervnculo"/>
            <w:rFonts w:ascii="Verdana" w:hAnsi="Verdana" w:cs="Times New Roman"/>
            <w:i/>
            <w:noProof/>
            <w:webHidden/>
          </w:rPr>
          <w:instrText xml:space="preserve"> PAGEREF _Toc473640081 \h </w:instrText>
        </w:r>
        <w:r w:rsidR="00C95607" w:rsidRPr="00EE4D50">
          <w:rPr>
            <w:rStyle w:val="Hipervnculo"/>
            <w:rFonts w:ascii="Verdana" w:hAnsi="Verdana" w:cs="Times New Roman"/>
            <w:i/>
            <w:noProof/>
            <w:webHidden/>
          </w:rPr>
        </w:r>
        <w:r w:rsidR="00C95607"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47</w:t>
        </w:r>
        <w:r w:rsidR="00C95607" w:rsidRPr="00EE4D50">
          <w:rPr>
            <w:rStyle w:val="Hipervnculo"/>
            <w:rFonts w:ascii="Verdana" w:hAnsi="Verdana" w:cs="Times New Roman"/>
            <w:i/>
            <w:noProof/>
            <w:webHidden/>
          </w:rPr>
          <w:fldChar w:fldCharType="end"/>
        </w:r>
      </w:hyperlink>
    </w:p>
    <w:p w:rsidR="00C95607"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082" w:history="1">
        <w:r w:rsidR="00C95607" w:rsidRPr="00EE4D50">
          <w:rPr>
            <w:rStyle w:val="Hipervnculo"/>
            <w:rFonts w:ascii="Verdana" w:hAnsi="Verdana" w:cs="Times New Roman"/>
            <w:i/>
            <w:noProof/>
          </w:rPr>
          <w:t>Gráfico 6: Producción anual de vehículos por ensambladora (en unidades)</w:t>
        </w:r>
        <w:r w:rsidR="00C95607" w:rsidRPr="00EE4D50">
          <w:rPr>
            <w:rStyle w:val="Hipervnculo"/>
            <w:rFonts w:ascii="Verdana" w:hAnsi="Verdana" w:cs="Times New Roman"/>
            <w:i/>
            <w:noProof/>
            <w:webHidden/>
          </w:rPr>
          <w:tab/>
        </w:r>
        <w:r w:rsidR="00C95607" w:rsidRPr="00EE4D50">
          <w:rPr>
            <w:rStyle w:val="Hipervnculo"/>
            <w:rFonts w:ascii="Verdana" w:hAnsi="Verdana" w:cs="Times New Roman"/>
            <w:i/>
            <w:noProof/>
            <w:webHidden/>
          </w:rPr>
          <w:fldChar w:fldCharType="begin"/>
        </w:r>
        <w:r w:rsidR="00C95607" w:rsidRPr="00EE4D50">
          <w:rPr>
            <w:rStyle w:val="Hipervnculo"/>
            <w:rFonts w:ascii="Verdana" w:hAnsi="Verdana" w:cs="Times New Roman"/>
            <w:i/>
            <w:noProof/>
            <w:webHidden/>
          </w:rPr>
          <w:instrText xml:space="preserve"> PAGEREF _Toc473640082 \h </w:instrText>
        </w:r>
        <w:r w:rsidR="00C95607" w:rsidRPr="00EE4D50">
          <w:rPr>
            <w:rStyle w:val="Hipervnculo"/>
            <w:rFonts w:ascii="Verdana" w:hAnsi="Verdana" w:cs="Times New Roman"/>
            <w:i/>
            <w:noProof/>
            <w:webHidden/>
          </w:rPr>
        </w:r>
        <w:r w:rsidR="00C95607"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57</w:t>
        </w:r>
        <w:r w:rsidR="00C95607" w:rsidRPr="00EE4D50">
          <w:rPr>
            <w:rStyle w:val="Hipervnculo"/>
            <w:rFonts w:ascii="Verdana" w:hAnsi="Verdana" w:cs="Times New Roman"/>
            <w:i/>
            <w:noProof/>
            <w:webHidden/>
          </w:rPr>
          <w:fldChar w:fldCharType="end"/>
        </w:r>
      </w:hyperlink>
    </w:p>
    <w:p w:rsidR="008232D7" w:rsidRPr="00EE4D50" w:rsidRDefault="008232D7" w:rsidP="00EC63DA">
      <w:pPr>
        <w:pStyle w:val="TDC1"/>
        <w:tabs>
          <w:tab w:val="right" w:leader="dot" w:pos="9061"/>
        </w:tabs>
        <w:rPr>
          <w:rStyle w:val="Hipervnculo"/>
          <w:rFonts w:ascii="Verdana" w:hAnsi="Verdana" w:cs="Times New Roman"/>
          <w:i/>
          <w:noProof/>
        </w:rPr>
      </w:pPr>
    </w:p>
    <w:p w:rsidR="002C450F" w:rsidRPr="00EE4D50" w:rsidRDefault="00C95607" w:rsidP="00EC63DA">
      <w:pPr>
        <w:spacing w:line="360" w:lineRule="auto"/>
        <w:jc w:val="center"/>
        <w:rPr>
          <w:rFonts w:ascii="Verdana" w:hAnsi="Verdana" w:cs="Times New Roman"/>
          <w:b/>
          <w:i/>
          <w:sz w:val="32"/>
        </w:rPr>
      </w:pPr>
      <w:r w:rsidRPr="00EE4D50">
        <w:rPr>
          <w:rStyle w:val="Hipervnculo"/>
          <w:rFonts w:ascii="Verdana" w:hAnsi="Verdana" w:cs="Times New Roman"/>
          <w:noProof/>
        </w:rPr>
        <w:lastRenderedPageBreak/>
        <w:fldChar w:fldCharType="end"/>
      </w:r>
      <w:r w:rsidR="002C450F" w:rsidRPr="00EE4D50">
        <w:rPr>
          <w:rFonts w:ascii="Verdana" w:hAnsi="Verdana" w:cs="Times New Roman"/>
          <w:b/>
          <w:i/>
          <w:sz w:val="32"/>
        </w:rPr>
        <w:t>Índice de tablas</w:t>
      </w:r>
    </w:p>
    <w:p w:rsidR="005A212F" w:rsidRPr="00EE4D50" w:rsidRDefault="005A212F" w:rsidP="00EC63DA">
      <w:pPr>
        <w:pStyle w:val="TDC1"/>
        <w:tabs>
          <w:tab w:val="right" w:leader="dot" w:pos="9061"/>
        </w:tabs>
        <w:spacing w:after="60"/>
        <w:jc w:val="both"/>
        <w:rPr>
          <w:rStyle w:val="Hipervnculo"/>
          <w:rFonts w:ascii="Verdana" w:hAnsi="Verdana" w:cs="Times New Roman"/>
          <w:i/>
          <w:noProof/>
        </w:rPr>
      </w:pPr>
      <w:r w:rsidRPr="00EE4D50">
        <w:rPr>
          <w:rStyle w:val="Hipervnculo"/>
          <w:rFonts w:ascii="Verdana" w:hAnsi="Verdana" w:cs="Times New Roman"/>
          <w:noProof/>
        </w:rPr>
        <w:fldChar w:fldCharType="begin"/>
      </w:r>
      <w:r w:rsidRPr="00EE4D50">
        <w:rPr>
          <w:rStyle w:val="Hipervnculo"/>
          <w:rFonts w:ascii="Verdana" w:hAnsi="Verdana" w:cs="Times New Roman"/>
          <w:noProof/>
        </w:rPr>
        <w:instrText xml:space="preserve"> TOC \h \z \c "Tabla" </w:instrText>
      </w:r>
      <w:r w:rsidRPr="00EE4D50">
        <w:rPr>
          <w:rStyle w:val="Hipervnculo"/>
          <w:rFonts w:ascii="Verdana" w:hAnsi="Verdana" w:cs="Times New Roman"/>
          <w:noProof/>
        </w:rPr>
        <w:fldChar w:fldCharType="separate"/>
      </w:r>
      <w:hyperlink w:anchor="_Toc473640116" w:history="1">
        <w:r w:rsidRPr="00EE4D50">
          <w:rPr>
            <w:rStyle w:val="Hipervnculo"/>
            <w:rFonts w:ascii="Verdana" w:hAnsi="Verdana" w:cs="Times New Roman"/>
            <w:i/>
            <w:noProof/>
          </w:rPr>
          <w:t>Tabla 1: Producción de VEHICULOS Aymesa</w:t>
        </w:r>
        <w:r w:rsidRPr="00EE4D50">
          <w:rPr>
            <w:rStyle w:val="Hipervnculo"/>
            <w:rFonts w:ascii="Verdana" w:hAnsi="Verdana" w:cs="Times New Roman"/>
            <w:i/>
            <w:noProof/>
            <w:webHidden/>
          </w:rPr>
          <w:tab/>
        </w:r>
        <w:r w:rsidRPr="00EE4D50">
          <w:rPr>
            <w:rStyle w:val="Hipervnculo"/>
            <w:rFonts w:ascii="Verdana" w:hAnsi="Verdana" w:cs="Times New Roman"/>
            <w:i/>
            <w:noProof/>
            <w:webHidden/>
          </w:rPr>
          <w:fldChar w:fldCharType="begin"/>
        </w:r>
        <w:r w:rsidRPr="00EE4D50">
          <w:rPr>
            <w:rStyle w:val="Hipervnculo"/>
            <w:rFonts w:ascii="Verdana" w:hAnsi="Verdana" w:cs="Times New Roman"/>
            <w:i/>
            <w:noProof/>
            <w:webHidden/>
          </w:rPr>
          <w:instrText xml:space="preserve"> PAGEREF _Toc473640116 \h </w:instrText>
        </w:r>
        <w:r w:rsidRPr="00EE4D50">
          <w:rPr>
            <w:rStyle w:val="Hipervnculo"/>
            <w:rFonts w:ascii="Verdana" w:hAnsi="Verdana" w:cs="Times New Roman"/>
            <w:i/>
            <w:noProof/>
            <w:webHidden/>
          </w:rPr>
        </w:r>
        <w:r w:rsidRPr="00EE4D50">
          <w:rPr>
            <w:rStyle w:val="Hipervnculo"/>
            <w:rFonts w:ascii="Verdana" w:hAnsi="Verdana" w:cs="Times New Roman"/>
            <w:i/>
            <w:noProof/>
            <w:webHidden/>
          </w:rPr>
          <w:fldChar w:fldCharType="separate"/>
        </w:r>
        <w:r w:rsidR="001630A5">
          <w:rPr>
            <w:rStyle w:val="Hipervnculo"/>
            <w:rFonts w:ascii="Verdana" w:hAnsi="Verdana" w:cs="Times New Roman"/>
            <w:i/>
            <w:noProof/>
            <w:webHidden/>
          </w:rPr>
          <w:t>36</w:t>
        </w:r>
        <w:r w:rsidRPr="00EE4D50">
          <w:rPr>
            <w:rStyle w:val="Hipervnculo"/>
            <w:rFonts w:ascii="Verdana" w:hAnsi="Verdana" w:cs="Times New Roman"/>
            <w:i/>
            <w:noProof/>
            <w:webHidden/>
          </w:rPr>
          <w:fldChar w:fldCharType="end"/>
        </w:r>
      </w:hyperlink>
    </w:p>
    <w:p w:rsidR="005A212F"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117" w:history="1">
        <w:r w:rsidR="005A212F" w:rsidRPr="00EE4D50">
          <w:rPr>
            <w:rStyle w:val="Hipervnculo"/>
            <w:rFonts w:ascii="Verdana" w:hAnsi="Verdana" w:cs="Times New Roman"/>
            <w:i/>
            <w:noProof/>
          </w:rPr>
          <w:t>Tabla 2: Producción de Omnibus B.B.</w:t>
        </w:r>
        <w:r w:rsidR="005A212F" w:rsidRPr="00EE4D50">
          <w:rPr>
            <w:rStyle w:val="Hipervnculo"/>
            <w:rFonts w:ascii="Verdana" w:hAnsi="Verdana" w:cs="Times New Roman"/>
            <w:i/>
            <w:noProof/>
            <w:webHidden/>
          </w:rPr>
          <w:tab/>
        </w:r>
        <w:r w:rsidR="005A212F" w:rsidRPr="00EE4D50">
          <w:rPr>
            <w:rStyle w:val="Hipervnculo"/>
            <w:rFonts w:ascii="Verdana" w:hAnsi="Verdana" w:cs="Times New Roman"/>
            <w:i/>
            <w:noProof/>
            <w:webHidden/>
          </w:rPr>
          <w:fldChar w:fldCharType="begin"/>
        </w:r>
        <w:r w:rsidR="005A212F" w:rsidRPr="00EE4D50">
          <w:rPr>
            <w:rStyle w:val="Hipervnculo"/>
            <w:rFonts w:ascii="Verdana" w:hAnsi="Verdana" w:cs="Times New Roman"/>
            <w:i/>
            <w:noProof/>
            <w:webHidden/>
          </w:rPr>
          <w:instrText xml:space="preserve"> PAGEREF _Toc473640117 \h </w:instrText>
        </w:r>
        <w:r w:rsidR="005A212F" w:rsidRPr="00EE4D50">
          <w:rPr>
            <w:rStyle w:val="Hipervnculo"/>
            <w:rFonts w:ascii="Verdana" w:hAnsi="Verdana" w:cs="Times New Roman"/>
            <w:i/>
            <w:noProof/>
            <w:webHidden/>
          </w:rPr>
        </w:r>
        <w:r w:rsidR="005A212F"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38</w:t>
        </w:r>
        <w:r w:rsidR="005A212F" w:rsidRPr="00EE4D50">
          <w:rPr>
            <w:rStyle w:val="Hipervnculo"/>
            <w:rFonts w:ascii="Verdana" w:hAnsi="Verdana" w:cs="Times New Roman"/>
            <w:i/>
            <w:noProof/>
            <w:webHidden/>
          </w:rPr>
          <w:fldChar w:fldCharType="end"/>
        </w:r>
      </w:hyperlink>
    </w:p>
    <w:p w:rsidR="005A212F"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118" w:history="1">
        <w:r w:rsidR="005A212F" w:rsidRPr="00EE4D50">
          <w:rPr>
            <w:rStyle w:val="Hipervnculo"/>
            <w:rFonts w:ascii="Verdana" w:hAnsi="Verdana" w:cs="Times New Roman"/>
            <w:i/>
            <w:noProof/>
          </w:rPr>
          <w:t>Tabla 3: Producción de Maresa S.A.</w:t>
        </w:r>
        <w:r w:rsidR="005A212F" w:rsidRPr="00EE4D50">
          <w:rPr>
            <w:rStyle w:val="Hipervnculo"/>
            <w:rFonts w:ascii="Verdana" w:hAnsi="Verdana" w:cs="Times New Roman"/>
            <w:i/>
            <w:noProof/>
            <w:webHidden/>
          </w:rPr>
          <w:tab/>
        </w:r>
        <w:r w:rsidR="005A212F" w:rsidRPr="00EE4D50">
          <w:rPr>
            <w:rStyle w:val="Hipervnculo"/>
            <w:rFonts w:ascii="Verdana" w:hAnsi="Verdana" w:cs="Times New Roman"/>
            <w:i/>
            <w:noProof/>
            <w:webHidden/>
          </w:rPr>
          <w:fldChar w:fldCharType="begin"/>
        </w:r>
        <w:r w:rsidR="005A212F" w:rsidRPr="00EE4D50">
          <w:rPr>
            <w:rStyle w:val="Hipervnculo"/>
            <w:rFonts w:ascii="Verdana" w:hAnsi="Verdana" w:cs="Times New Roman"/>
            <w:i/>
            <w:noProof/>
            <w:webHidden/>
          </w:rPr>
          <w:instrText xml:space="preserve"> PAGEREF _Toc473640118 \h </w:instrText>
        </w:r>
        <w:r w:rsidR="005A212F" w:rsidRPr="00EE4D50">
          <w:rPr>
            <w:rStyle w:val="Hipervnculo"/>
            <w:rFonts w:ascii="Verdana" w:hAnsi="Verdana" w:cs="Times New Roman"/>
            <w:i/>
            <w:noProof/>
            <w:webHidden/>
          </w:rPr>
        </w:r>
        <w:r w:rsidR="005A212F"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40</w:t>
        </w:r>
        <w:r w:rsidR="005A212F" w:rsidRPr="00EE4D50">
          <w:rPr>
            <w:rStyle w:val="Hipervnculo"/>
            <w:rFonts w:ascii="Verdana" w:hAnsi="Verdana" w:cs="Times New Roman"/>
            <w:i/>
            <w:noProof/>
            <w:webHidden/>
          </w:rPr>
          <w:fldChar w:fldCharType="end"/>
        </w:r>
      </w:hyperlink>
    </w:p>
    <w:p w:rsidR="005A212F"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119" w:history="1">
        <w:r w:rsidR="005A212F" w:rsidRPr="00EE4D50">
          <w:rPr>
            <w:rStyle w:val="Hipervnculo"/>
            <w:rFonts w:ascii="Verdana" w:hAnsi="Verdana" w:cs="Times New Roman"/>
            <w:i/>
            <w:noProof/>
          </w:rPr>
          <w:t>Tabla 4: Producción Coenansa</w:t>
        </w:r>
        <w:r w:rsidR="005A212F" w:rsidRPr="00EE4D50">
          <w:rPr>
            <w:rStyle w:val="Hipervnculo"/>
            <w:rFonts w:ascii="Verdana" w:hAnsi="Verdana" w:cs="Times New Roman"/>
            <w:i/>
            <w:noProof/>
            <w:webHidden/>
          </w:rPr>
          <w:tab/>
        </w:r>
        <w:r w:rsidR="005A212F" w:rsidRPr="00EE4D50">
          <w:rPr>
            <w:rStyle w:val="Hipervnculo"/>
            <w:rFonts w:ascii="Verdana" w:hAnsi="Verdana" w:cs="Times New Roman"/>
            <w:i/>
            <w:noProof/>
            <w:webHidden/>
          </w:rPr>
          <w:fldChar w:fldCharType="begin"/>
        </w:r>
        <w:r w:rsidR="005A212F" w:rsidRPr="00EE4D50">
          <w:rPr>
            <w:rStyle w:val="Hipervnculo"/>
            <w:rFonts w:ascii="Verdana" w:hAnsi="Verdana" w:cs="Times New Roman"/>
            <w:i/>
            <w:noProof/>
            <w:webHidden/>
          </w:rPr>
          <w:instrText xml:space="preserve"> PAGEREF _Toc473640119 \h </w:instrText>
        </w:r>
        <w:r w:rsidR="005A212F" w:rsidRPr="00EE4D50">
          <w:rPr>
            <w:rStyle w:val="Hipervnculo"/>
            <w:rFonts w:ascii="Verdana" w:hAnsi="Verdana" w:cs="Times New Roman"/>
            <w:i/>
            <w:noProof/>
            <w:webHidden/>
          </w:rPr>
        </w:r>
        <w:r w:rsidR="005A212F"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41</w:t>
        </w:r>
        <w:r w:rsidR="005A212F" w:rsidRPr="00EE4D50">
          <w:rPr>
            <w:rStyle w:val="Hipervnculo"/>
            <w:rFonts w:ascii="Verdana" w:hAnsi="Verdana" w:cs="Times New Roman"/>
            <w:i/>
            <w:noProof/>
            <w:webHidden/>
          </w:rPr>
          <w:fldChar w:fldCharType="end"/>
        </w:r>
      </w:hyperlink>
    </w:p>
    <w:p w:rsidR="005A212F"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120" w:history="1">
        <w:r w:rsidR="005A212F" w:rsidRPr="00EE4D50">
          <w:rPr>
            <w:rStyle w:val="Hipervnculo"/>
            <w:rFonts w:ascii="Verdana" w:hAnsi="Verdana" w:cs="Times New Roman"/>
            <w:i/>
            <w:noProof/>
          </w:rPr>
          <w:t>Tabla 5: Producción local y las importaciones del mercado nacional</w:t>
        </w:r>
        <w:r w:rsidR="005A212F" w:rsidRPr="00EE4D50">
          <w:rPr>
            <w:rStyle w:val="Hipervnculo"/>
            <w:rFonts w:ascii="Verdana" w:hAnsi="Verdana" w:cs="Times New Roman"/>
            <w:i/>
            <w:noProof/>
            <w:webHidden/>
          </w:rPr>
          <w:tab/>
        </w:r>
        <w:r w:rsidR="005A212F" w:rsidRPr="00EE4D50">
          <w:rPr>
            <w:rStyle w:val="Hipervnculo"/>
            <w:rFonts w:ascii="Verdana" w:hAnsi="Verdana" w:cs="Times New Roman"/>
            <w:i/>
            <w:noProof/>
            <w:webHidden/>
          </w:rPr>
          <w:fldChar w:fldCharType="begin"/>
        </w:r>
        <w:r w:rsidR="005A212F" w:rsidRPr="00EE4D50">
          <w:rPr>
            <w:rStyle w:val="Hipervnculo"/>
            <w:rFonts w:ascii="Verdana" w:hAnsi="Verdana" w:cs="Times New Roman"/>
            <w:i/>
            <w:noProof/>
            <w:webHidden/>
          </w:rPr>
          <w:instrText xml:space="preserve"> PAGEREF _Toc473640120 \h </w:instrText>
        </w:r>
        <w:r w:rsidR="005A212F" w:rsidRPr="00EE4D50">
          <w:rPr>
            <w:rStyle w:val="Hipervnculo"/>
            <w:rFonts w:ascii="Verdana" w:hAnsi="Verdana" w:cs="Times New Roman"/>
            <w:i/>
            <w:noProof/>
            <w:webHidden/>
          </w:rPr>
        </w:r>
        <w:r w:rsidR="005A212F"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44</w:t>
        </w:r>
        <w:r w:rsidR="005A212F" w:rsidRPr="00EE4D50">
          <w:rPr>
            <w:rStyle w:val="Hipervnculo"/>
            <w:rFonts w:ascii="Verdana" w:hAnsi="Verdana" w:cs="Times New Roman"/>
            <w:i/>
            <w:noProof/>
            <w:webHidden/>
          </w:rPr>
          <w:fldChar w:fldCharType="end"/>
        </w:r>
      </w:hyperlink>
    </w:p>
    <w:p w:rsidR="005A212F"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121" w:history="1">
        <w:r w:rsidR="005A212F" w:rsidRPr="00EE4D50">
          <w:rPr>
            <w:rStyle w:val="Hipervnculo"/>
            <w:rFonts w:ascii="Verdana" w:hAnsi="Verdana" w:cs="Times New Roman"/>
            <w:i/>
            <w:noProof/>
          </w:rPr>
          <w:t>Tabla 6: Composición de las ventas de vehículos en Ecuador: 2003-2010 (en unidades)</w:t>
        </w:r>
        <w:r w:rsidR="005A212F" w:rsidRPr="00EE4D50">
          <w:rPr>
            <w:rStyle w:val="Hipervnculo"/>
            <w:rFonts w:ascii="Verdana" w:hAnsi="Verdana" w:cs="Times New Roman"/>
            <w:i/>
            <w:noProof/>
            <w:webHidden/>
          </w:rPr>
          <w:tab/>
        </w:r>
        <w:r w:rsidR="005A212F" w:rsidRPr="00EE4D50">
          <w:rPr>
            <w:rStyle w:val="Hipervnculo"/>
            <w:rFonts w:ascii="Verdana" w:hAnsi="Verdana" w:cs="Times New Roman"/>
            <w:i/>
            <w:noProof/>
            <w:webHidden/>
          </w:rPr>
          <w:fldChar w:fldCharType="begin"/>
        </w:r>
        <w:r w:rsidR="005A212F" w:rsidRPr="00EE4D50">
          <w:rPr>
            <w:rStyle w:val="Hipervnculo"/>
            <w:rFonts w:ascii="Verdana" w:hAnsi="Verdana" w:cs="Times New Roman"/>
            <w:i/>
            <w:noProof/>
            <w:webHidden/>
          </w:rPr>
          <w:instrText xml:space="preserve"> PAGEREF _Toc473640121 \h </w:instrText>
        </w:r>
        <w:r w:rsidR="005A212F" w:rsidRPr="00EE4D50">
          <w:rPr>
            <w:rStyle w:val="Hipervnculo"/>
            <w:rFonts w:ascii="Verdana" w:hAnsi="Verdana" w:cs="Times New Roman"/>
            <w:i/>
            <w:noProof/>
            <w:webHidden/>
          </w:rPr>
        </w:r>
        <w:r w:rsidR="005A212F"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53</w:t>
        </w:r>
        <w:r w:rsidR="005A212F" w:rsidRPr="00EE4D50">
          <w:rPr>
            <w:rStyle w:val="Hipervnculo"/>
            <w:rFonts w:ascii="Verdana" w:hAnsi="Verdana" w:cs="Times New Roman"/>
            <w:i/>
            <w:noProof/>
            <w:webHidden/>
          </w:rPr>
          <w:fldChar w:fldCharType="end"/>
        </w:r>
      </w:hyperlink>
    </w:p>
    <w:p w:rsidR="005A212F"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122" w:history="1">
        <w:r w:rsidR="005A212F" w:rsidRPr="00EE4D50">
          <w:rPr>
            <w:rStyle w:val="Hipervnculo"/>
            <w:rFonts w:ascii="Verdana" w:hAnsi="Verdana" w:cs="Times New Roman"/>
            <w:i/>
            <w:noProof/>
          </w:rPr>
          <w:t>Tabla 7: Resumen de la industria automotriz (en unidades)</w:t>
        </w:r>
        <w:r w:rsidR="005A212F" w:rsidRPr="00EE4D50">
          <w:rPr>
            <w:rStyle w:val="Hipervnculo"/>
            <w:rFonts w:ascii="Verdana" w:hAnsi="Verdana" w:cs="Times New Roman"/>
            <w:i/>
            <w:noProof/>
            <w:webHidden/>
          </w:rPr>
          <w:tab/>
        </w:r>
        <w:r w:rsidR="005A212F" w:rsidRPr="00EE4D50">
          <w:rPr>
            <w:rStyle w:val="Hipervnculo"/>
            <w:rFonts w:ascii="Verdana" w:hAnsi="Verdana" w:cs="Times New Roman"/>
            <w:i/>
            <w:noProof/>
            <w:webHidden/>
          </w:rPr>
          <w:fldChar w:fldCharType="begin"/>
        </w:r>
        <w:r w:rsidR="005A212F" w:rsidRPr="00EE4D50">
          <w:rPr>
            <w:rStyle w:val="Hipervnculo"/>
            <w:rFonts w:ascii="Verdana" w:hAnsi="Verdana" w:cs="Times New Roman"/>
            <w:i/>
            <w:noProof/>
            <w:webHidden/>
          </w:rPr>
          <w:instrText xml:space="preserve"> PAGEREF _Toc473640122 \h </w:instrText>
        </w:r>
        <w:r w:rsidR="005A212F" w:rsidRPr="00EE4D50">
          <w:rPr>
            <w:rStyle w:val="Hipervnculo"/>
            <w:rFonts w:ascii="Verdana" w:hAnsi="Verdana" w:cs="Times New Roman"/>
            <w:i/>
            <w:noProof/>
            <w:webHidden/>
          </w:rPr>
        </w:r>
        <w:r w:rsidR="005A212F"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55</w:t>
        </w:r>
        <w:r w:rsidR="005A212F" w:rsidRPr="00EE4D50">
          <w:rPr>
            <w:rStyle w:val="Hipervnculo"/>
            <w:rFonts w:ascii="Verdana" w:hAnsi="Verdana" w:cs="Times New Roman"/>
            <w:i/>
            <w:noProof/>
            <w:webHidden/>
          </w:rPr>
          <w:fldChar w:fldCharType="end"/>
        </w:r>
      </w:hyperlink>
    </w:p>
    <w:p w:rsidR="005A212F"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123" w:history="1">
        <w:r w:rsidR="005A212F" w:rsidRPr="00EE4D50">
          <w:rPr>
            <w:rStyle w:val="Hipervnculo"/>
            <w:rFonts w:ascii="Verdana" w:hAnsi="Verdana" w:cs="Times New Roman"/>
            <w:i/>
            <w:noProof/>
          </w:rPr>
          <w:t>Tabla 8: Producción de vehículos por ensambladora y segmento (en unidades)</w:t>
        </w:r>
        <w:r w:rsidR="005A212F" w:rsidRPr="00EE4D50">
          <w:rPr>
            <w:rStyle w:val="Hipervnculo"/>
            <w:rFonts w:ascii="Verdana" w:hAnsi="Verdana" w:cs="Times New Roman"/>
            <w:i/>
            <w:noProof/>
            <w:webHidden/>
          </w:rPr>
          <w:tab/>
        </w:r>
        <w:r w:rsidR="005A212F" w:rsidRPr="00EE4D50">
          <w:rPr>
            <w:rStyle w:val="Hipervnculo"/>
            <w:rFonts w:ascii="Verdana" w:hAnsi="Verdana" w:cs="Times New Roman"/>
            <w:i/>
            <w:noProof/>
            <w:webHidden/>
          </w:rPr>
          <w:fldChar w:fldCharType="begin"/>
        </w:r>
        <w:r w:rsidR="005A212F" w:rsidRPr="00EE4D50">
          <w:rPr>
            <w:rStyle w:val="Hipervnculo"/>
            <w:rFonts w:ascii="Verdana" w:hAnsi="Verdana" w:cs="Times New Roman"/>
            <w:i/>
            <w:noProof/>
            <w:webHidden/>
          </w:rPr>
          <w:instrText xml:space="preserve"> PAGEREF _Toc473640123 \h </w:instrText>
        </w:r>
        <w:r w:rsidR="005A212F" w:rsidRPr="00EE4D50">
          <w:rPr>
            <w:rStyle w:val="Hipervnculo"/>
            <w:rFonts w:ascii="Verdana" w:hAnsi="Verdana" w:cs="Times New Roman"/>
            <w:i/>
            <w:noProof/>
            <w:webHidden/>
          </w:rPr>
        </w:r>
        <w:r w:rsidR="005A212F"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59</w:t>
        </w:r>
        <w:r w:rsidR="005A212F" w:rsidRPr="00EE4D50">
          <w:rPr>
            <w:rStyle w:val="Hipervnculo"/>
            <w:rFonts w:ascii="Verdana" w:hAnsi="Verdana" w:cs="Times New Roman"/>
            <w:i/>
            <w:noProof/>
            <w:webHidden/>
          </w:rPr>
          <w:fldChar w:fldCharType="end"/>
        </w:r>
      </w:hyperlink>
    </w:p>
    <w:p w:rsidR="005A212F"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124" w:history="1">
        <w:r w:rsidR="005A212F" w:rsidRPr="00EE4D50">
          <w:rPr>
            <w:rStyle w:val="Hipervnculo"/>
            <w:rFonts w:ascii="Verdana" w:hAnsi="Verdana" w:cs="Times New Roman"/>
            <w:i/>
            <w:noProof/>
          </w:rPr>
          <w:t>Tabla 9: Principales proveedoras de las ensambladoras al año 2015</w:t>
        </w:r>
        <w:r w:rsidR="005A212F" w:rsidRPr="00EE4D50">
          <w:rPr>
            <w:rStyle w:val="Hipervnculo"/>
            <w:rFonts w:ascii="Verdana" w:hAnsi="Verdana" w:cs="Times New Roman"/>
            <w:i/>
            <w:noProof/>
            <w:webHidden/>
          </w:rPr>
          <w:tab/>
        </w:r>
        <w:r w:rsidR="005A212F" w:rsidRPr="00EE4D50">
          <w:rPr>
            <w:rStyle w:val="Hipervnculo"/>
            <w:rFonts w:ascii="Verdana" w:hAnsi="Verdana" w:cs="Times New Roman"/>
            <w:i/>
            <w:noProof/>
            <w:webHidden/>
          </w:rPr>
          <w:fldChar w:fldCharType="begin"/>
        </w:r>
        <w:r w:rsidR="005A212F" w:rsidRPr="00EE4D50">
          <w:rPr>
            <w:rStyle w:val="Hipervnculo"/>
            <w:rFonts w:ascii="Verdana" w:hAnsi="Verdana" w:cs="Times New Roman"/>
            <w:i/>
            <w:noProof/>
            <w:webHidden/>
          </w:rPr>
          <w:instrText xml:space="preserve"> PAGEREF _Toc473640124 \h </w:instrText>
        </w:r>
        <w:r w:rsidR="005A212F" w:rsidRPr="00EE4D50">
          <w:rPr>
            <w:rStyle w:val="Hipervnculo"/>
            <w:rFonts w:ascii="Verdana" w:hAnsi="Verdana" w:cs="Times New Roman"/>
            <w:i/>
            <w:noProof/>
            <w:webHidden/>
          </w:rPr>
        </w:r>
        <w:r w:rsidR="005A212F"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61</w:t>
        </w:r>
        <w:r w:rsidR="005A212F" w:rsidRPr="00EE4D50">
          <w:rPr>
            <w:rStyle w:val="Hipervnculo"/>
            <w:rFonts w:ascii="Verdana" w:hAnsi="Verdana" w:cs="Times New Roman"/>
            <w:i/>
            <w:noProof/>
            <w:webHidden/>
          </w:rPr>
          <w:fldChar w:fldCharType="end"/>
        </w:r>
      </w:hyperlink>
    </w:p>
    <w:p w:rsidR="005A212F"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125" w:history="1">
        <w:r w:rsidR="005A212F" w:rsidRPr="00EE4D50">
          <w:rPr>
            <w:rStyle w:val="Hipervnculo"/>
            <w:rFonts w:ascii="Verdana" w:hAnsi="Verdana" w:cs="Times New Roman"/>
            <w:i/>
            <w:noProof/>
          </w:rPr>
          <w:t>Tabla 10: Exportaciones de vehículos (en unidades)</w:t>
        </w:r>
        <w:r w:rsidR="005A212F" w:rsidRPr="00EE4D50">
          <w:rPr>
            <w:rStyle w:val="Hipervnculo"/>
            <w:rFonts w:ascii="Verdana" w:hAnsi="Verdana" w:cs="Times New Roman"/>
            <w:i/>
            <w:noProof/>
            <w:webHidden/>
          </w:rPr>
          <w:tab/>
        </w:r>
        <w:r w:rsidR="005A212F" w:rsidRPr="00EE4D50">
          <w:rPr>
            <w:rStyle w:val="Hipervnculo"/>
            <w:rFonts w:ascii="Verdana" w:hAnsi="Verdana" w:cs="Times New Roman"/>
            <w:i/>
            <w:noProof/>
            <w:webHidden/>
          </w:rPr>
          <w:fldChar w:fldCharType="begin"/>
        </w:r>
        <w:r w:rsidR="005A212F" w:rsidRPr="00EE4D50">
          <w:rPr>
            <w:rStyle w:val="Hipervnculo"/>
            <w:rFonts w:ascii="Verdana" w:hAnsi="Verdana" w:cs="Times New Roman"/>
            <w:i/>
            <w:noProof/>
            <w:webHidden/>
          </w:rPr>
          <w:instrText xml:space="preserve"> PAGEREF _Toc473640125 \h </w:instrText>
        </w:r>
        <w:r w:rsidR="005A212F" w:rsidRPr="00EE4D50">
          <w:rPr>
            <w:rStyle w:val="Hipervnculo"/>
            <w:rFonts w:ascii="Verdana" w:hAnsi="Verdana" w:cs="Times New Roman"/>
            <w:i/>
            <w:noProof/>
            <w:webHidden/>
          </w:rPr>
        </w:r>
        <w:r w:rsidR="005A212F"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62</w:t>
        </w:r>
        <w:r w:rsidR="005A212F" w:rsidRPr="00EE4D50">
          <w:rPr>
            <w:rStyle w:val="Hipervnculo"/>
            <w:rFonts w:ascii="Verdana" w:hAnsi="Verdana" w:cs="Times New Roman"/>
            <w:i/>
            <w:noProof/>
            <w:webHidden/>
          </w:rPr>
          <w:fldChar w:fldCharType="end"/>
        </w:r>
      </w:hyperlink>
    </w:p>
    <w:p w:rsidR="005A212F"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126" w:history="1">
        <w:r w:rsidR="005A212F" w:rsidRPr="00EE4D50">
          <w:rPr>
            <w:rStyle w:val="Hipervnculo"/>
            <w:rFonts w:ascii="Verdana" w:hAnsi="Verdana" w:cs="Times New Roman"/>
            <w:i/>
            <w:noProof/>
          </w:rPr>
          <w:t>Tabla 11: Importaciones de vehículos</w:t>
        </w:r>
        <w:r w:rsidR="005A212F" w:rsidRPr="00EE4D50">
          <w:rPr>
            <w:rStyle w:val="Hipervnculo"/>
            <w:rFonts w:ascii="Verdana" w:hAnsi="Verdana" w:cs="Times New Roman"/>
            <w:i/>
            <w:noProof/>
            <w:webHidden/>
          </w:rPr>
          <w:tab/>
        </w:r>
        <w:r w:rsidR="005A212F" w:rsidRPr="00EE4D50">
          <w:rPr>
            <w:rStyle w:val="Hipervnculo"/>
            <w:rFonts w:ascii="Verdana" w:hAnsi="Verdana" w:cs="Times New Roman"/>
            <w:i/>
            <w:noProof/>
            <w:webHidden/>
          </w:rPr>
          <w:fldChar w:fldCharType="begin"/>
        </w:r>
        <w:r w:rsidR="005A212F" w:rsidRPr="00EE4D50">
          <w:rPr>
            <w:rStyle w:val="Hipervnculo"/>
            <w:rFonts w:ascii="Verdana" w:hAnsi="Verdana" w:cs="Times New Roman"/>
            <w:i/>
            <w:noProof/>
            <w:webHidden/>
          </w:rPr>
          <w:instrText xml:space="preserve"> PAGEREF _Toc473640126 \h </w:instrText>
        </w:r>
        <w:r w:rsidR="005A212F" w:rsidRPr="00EE4D50">
          <w:rPr>
            <w:rStyle w:val="Hipervnculo"/>
            <w:rFonts w:ascii="Verdana" w:hAnsi="Verdana" w:cs="Times New Roman"/>
            <w:i/>
            <w:noProof/>
            <w:webHidden/>
          </w:rPr>
        </w:r>
        <w:r w:rsidR="005A212F"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63</w:t>
        </w:r>
        <w:r w:rsidR="005A212F" w:rsidRPr="00EE4D50">
          <w:rPr>
            <w:rStyle w:val="Hipervnculo"/>
            <w:rFonts w:ascii="Verdana" w:hAnsi="Verdana" w:cs="Times New Roman"/>
            <w:i/>
            <w:noProof/>
            <w:webHidden/>
          </w:rPr>
          <w:fldChar w:fldCharType="end"/>
        </w:r>
      </w:hyperlink>
    </w:p>
    <w:p w:rsidR="005A212F"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127" w:history="1">
        <w:r w:rsidR="005A212F" w:rsidRPr="00EE4D50">
          <w:rPr>
            <w:rStyle w:val="Hipervnculo"/>
            <w:rFonts w:ascii="Verdana" w:hAnsi="Verdana" w:cs="Times New Roman"/>
            <w:i/>
            <w:noProof/>
          </w:rPr>
          <w:t>Tabla 12: Composición de las ventas de vehículos en Ecuador (en unidades)</w:t>
        </w:r>
        <w:r w:rsidR="005A212F" w:rsidRPr="00EE4D50">
          <w:rPr>
            <w:rStyle w:val="Hipervnculo"/>
            <w:rFonts w:ascii="Verdana" w:hAnsi="Verdana" w:cs="Times New Roman"/>
            <w:i/>
            <w:noProof/>
            <w:webHidden/>
          </w:rPr>
          <w:tab/>
        </w:r>
        <w:r w:rsidR="005A212F" w:rsidRPr="00EE4D50">
          <w:rPr>
            <w:rStyle w:val="Hipervnculo"/>
            <w:rFonts w:ascii="Verdana" w:hAnsi="Verdana" w:cs="Times New Roman"/>
            <w:i/>
            <w:noProof/>
            <w:webHidden/>
          </w:rPr>
          <w:fldChar w:fldCharType="begin"/>
        </w:r>
        <w:r w:rsidR="005A212F" w:rsidRPr="00EE4D50">
          <w:rPr>
            <w:rStyle w:val="Hipervnculo"/>
            <w:rFonts w:ascii="Verdana" w:hAnsi="Verdana" w:cs="Times New Roman"/>
            <w:i/>
            <w:noProof/>
            <w:webHidden/>
          </w:rPr>
          <w:instrText xml:space="preserve"> PAGEREF _Toc473640127 \h </w:instrText>
        </w:r>
        <w:r w:rsidR="005A212F" w:rsidRPr="00EE4D50">
          <w:rPr>
            <w:rStyle w:val="Hipervnculo"/>
            <w:rFonts w:ascii="Verdana" w:hAnsi="Verdana" w:cs="Times New Roman"/>
            <w:i/>
            <w:noProof/>
            <w:webHidden/>
          </w:rPr>
        </w:r>
        <w:r w:rsidR="005A212F"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67</w:t>
        </w:r>
        <w:r w:rsidR="005A212F" w:rsidRPr="00EE4D50">
          <w:rPr>
            <w:rStyle w:val="Hipervnculo"/>
            <w:rFonts w:ascii="Verdana" w:hAnsi="Verdana" w:cs="Times New Roman"/>
            <w:i/>
            <w:noProof/>
            <w:webHidden/>
          </w:rPr>
          <w:fldChar w:fldCharType="end"/>
        </w:r>
      </w:hyperlink>
    </w:p>
    <w:p w:rsidR="005A212F"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128" w:history="1">
        <w:r w:rsidR="005A212F" w:rsidRPr="00EE4D50">
          <w:rPr>
            <w:rStyle w:val="Hipervnculo"/>
            <w:rFonts w:ascii="Verdana" w:hAnsi="Verdana" w:cs="Times New Roman"/>
            <w:i/>
            <w:noProof/>
          </w:rPr>
          <w:t>Tabla 13: Ventas anuales por tipo de vehículo (en unidades)</w:t>
        </w:r>
        <w:r w:rsidR="005A212F" w:rsidRPr="00EE4D50">
          <w:rPr>
            <w:rStyle w:val="Hipervnculo"/>
            <w:rFonts w:ascii="Verdana" w:hAnsi="Verdana" w:cs="Times New Roman"/>
            <w:i/>
            <w:noProof/>
            <w:webHidden/>
          </w:rPr>
          <w:tab/>
        </w:r>
        <w:r w:rsidR="005A212F" w:rsidRPr="00EE4D50">
          <w:rPr>
            <w:rStyle w:val="Hipervnculo"/>
            <w:rFonts w:ascii="Verdana" w:hAnsi="Verdana" w:cs="Times New Roman"/>
            <w:i/>
            <w:noProof/>
            <w:webHidden/>
          </w:rPr>
          <w:fldChar w:fldCharType="begin"/>
        </w:r>
        <w:r w:rsidR="005A212F" w:rsidRPr="00EE4D50">
          <w:rPr>
            <w:rStyle w:val="Hipervnculo"/>
            <w:rFonts w:ascii="Verdana" w:hAnsi="Verdana" w:cs="Times New Roman"/>
            <w:i/>
            <w:noProof/>
            <w:webHidden/>
          </w:rPr>
          <w:instrText xml:space="preserve"> PAGEREF _Toc473640128 \h </w:instrText>
        </w:r>
        <w:r w:rsidR="005A212F" w:rsidRPr="00EE4D50">
          <w:rPr>
            <w:rStyle w:val="Hipervnculo"/>
            <w:rFonts w:ascii="Verdana" w:hAnsi="Verdana" w:cs="Times New Roman"/>
            <w:i/>
            <w:noProof/>
            <w:webHidden/>
          </w:rPr>
        </w:r>
        <w:r w:rsidR="005A212F"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68</w:t>
        </w:r>
        <w:r w:rsidR="005A212F" w:rsidRPr="00EE4D50">
          <w:rPr>
            <w:rStyle w:val="Hipervnculo"/>
            <w:rFonts w:ascii="Verdana" w:hAnsi="Verdana" w:cs="Times New Roman"/>
            <w:i/>
            <w:noProof/>
            <w:webHidden/>
          </w:rPr>
          <w:fldChar w:fldCharType="end"/>
        </w:r>
      </w:hyperlink>
    </w:p>
    <w:p w:rsidR="005A212F"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129" w:history="1">
        <w:r w:rsidR="005A212F" w:rsidRPr="00EE4D50">
          <w:rPr>
            <w:rStyle w:val="Hipervnculo"/>
            <w:rFonts w:ascii="Verdana" w:hAnsi="Verdana" w:cs="Times New Roman"/>
            <w:i/>
            <w:noProof/>
          </w:rPr>
          <w:t>Tabla 14: Ventas de vehículos según principales provincias (en unidades)</w:t>
        </w:r>
        <w:r w:rsidR="005A212F" w:rsidRPr="00EE4D50">
          <w:rPr>
            <w:rStyle w:val="Hipervnculo"/>
            <w:rFonts w:ascii="Verdana" w:hAnsi="Verdana" w:cs="Times New Roman"/>
            <w:i/>
            <w:noProof/>
            <w:webHidden/>
          </w:rPr>
          <w:tab/>
        </w:r>
        <w:r w:rsidR="005A212F" w:rsidRPr="00EE4D50">
          <w:rPr>
            <w:rStyle w:val="Hipervnculo"/>
            <w:rFonts w:ascii="Verdana" w:hAnsi="Verdana" w:cs="Times New Roman"/>
            <w:i/>
            <w:noProof/>
            <w:webHidden/>
          </w:rPr>
          <w:fldChar w:fldCharType="begin"/>
        </w:r>
        <w:r w:rsidR="005A212F" w:rsidRPr="00EE4D50">
          <w:rPr>
            <w:rStyle w:val="Hipervnculo"/>
            <w:rFonts w:ascii="Verdana" w:hAnsi="Verdana" w:cs="Times New Roman"/>
            <w:i/>
            <w:noProof/>
            <w:webHidden/>
          </w:rPr>
          <w:instrText xml:space="preserve"> PAGEREF _Toc473640129 \h </w:instrText>
        </w:r>
        <w:r w:rsidR="005A212F" w:rsidRPr="00EE4D50">
          <w:rPr>
            <w:rStyle w:val="Hipervnculo"/>
            <w:rFonts w:ascii="Verdana" w:hAnsi="Verdana" w:cs="Times New Roman"/>
            <w:i/>
            <w:noProof/>
            <w:webHidden/>
          </w:rPr>
        </w:r>
        <w:r w:rsidR="005A212F"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68</w:t>
        </w:r>
        <w:r w:rsidR="005A212F" w:rsidRPr="00EE4D50">
          <w:rPr>
            <w:rStyle w:val="Hipervnculo"/>
            <w:rFonts w:ascii="Verdana" w:hAnsi="Verdana" w:cs="Times New Roman"/>
            <w:i/>
            <w:noProof/>
            <w:webHidden/>
          </w:rPr>
          <w:fldChar w:fldCharType="end"/>
        </w:r>
      </w:hyperlink>
    </w:p>
    <w:p w:rsidR="005A212F"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130" w:history="1">
        <w:r w:rsidR="005A212F" w:rsidRPr="00EE4D50">
          <w:rPr>
            <w:rStyle w:val="Hipervnculo"/>
            <w:rFonts w:ascii="Verdana" w:hAnsi="Verdana" w:cs="Times New Roman"/>
            <w:i/>
            <w:noProof/>
          </w:rPr>
          <w:t>Tabla 15: Precios promedios de ventas de vehículos según segmento (en dólares)</w:t>
        </w:r>
        <w:r w:rsidR="005A212F" w:rsidRPr="00EE4D50">
          <w:rPr>
            <w:rStyle w:val="Hipervnculo"/>
            <w:rFonts w:ascii="Verdana" w:hAnsi="Verdana" w:cs="Times New Roman"/>
            <w:i/>
            <w:noProof/>
            <w:webHidden/>
          </w:rPr>
          <w:tab/>
        </w:r>
        <w:r w:rsidR="005A212F" w:rsidRPr="00EE4D50">
          <w:rPr>
            <w:rStyle w:val="Hipervnculo"/>
            <w:rFonts w:ascii="Verdana" w:hAnsi="Verdana" w:cs="Times New Roman"/>
            <w:i/>
            <w:noProof/>
            <w:webHidden/>
          </w:rPr>
          <w:fldChar w:fldCharType="begin"/>
        </w:r>
        <w:r w:rsidR="005A212F" w:rsidRPr="00EE4D50">
          <w:rPr>
            <w:rStyle w:val="Hipervnculo"/>
            <w:rFonts w:ascii="Verdana" w:hAnsi="Verdana" w:cs="Times New Roman"/>
            <w:i/>
            <w:noProof/>
            <w:webHidden/>
          </w:rPr>
          <w:instrText xml:space="preserve"> PAGEREF _Toc473640130 \h </w:instrText>
        </w:r>
        <w:r w:rsidR="005A212F" w:rsidRPr="00EE4D50">
          <w:rPr>
            <w:rStyle w:val="Hipervnculo"/>
            <w:rFonts w:ascii="Verdana" w:hAnsi="Verdana" w:cs="Times New Roman"/>
            <w:i/>
            <w:noProof/>
            <w:webHidden/>
          </w:rPr>
        </w:r>
        <w:r w:rsidR="005A212F"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69</w:t>
        </w:r>
        <w:r w:rsidR="005A212F" w:rsidRPr="00EE4D50">
          <w:rPr>
            <w:rStyle w:val="Hipervnculo"/>
            <w:rFonts w:ascii="Verdana" w:hAnsi="Verdana" w:cs="Times New Roman"/>
            <w:i/>
            <w:noProof/>
            <w:webHidden/>
          </w:rPr>
          <w:fldChar w:fldCharType="end"/>
        </w:r>
      </w:hyperlink>
    </w:p>
    <w:p w:rsidR="005A212F"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131" w:history="1">
        <w:r w:rsidR="005A212F" w:rsidRPr="00EE4D50">
          <w:rPr>
            <w:rStyle w:val="Hipervnculo"/>
            <w:rFonts w:ascii="Verdana" w:hAnsi="Verdana" w:cs="Times New Roman"/>
            <w:i/>
            <w:noProof/>
          </w:rPr>
          <w:t>Tabla 16: La demanda de los vehículos puede conocerse según las ventas de las distintas marcas del sector automotriz en el Ecuador.</w:t>
        </w:r>
        <w:r w:rsidR="005A212F" w:rsidRPr="00EE4D50">
          <w:rPr>
            <w:rStyle w:val="Hipervnculo"/>
            <w:rFonts w:ascii="Verdana" w:hAnsi="Verdana" w:cs="Times New Roman"/>
            <w:i/>
            <w:noProof/>
            <w:webHidden/>
          </w:rPr>
          <w:tab/>
        </w:r>
        <w:r w:rsidR="005A212F" w:rsidRPr="00EE4D50">
          <w:rPr>
            <w:rStyle w:val="Hipervnculo"/>
            <w:rFonts w:ascii="Verdana" w:hAnsi="Verdana" w:cs="Times New Roman"/>
            <w:i/>
            <w:noProof/>
            <w:webHidden/>
          </w:rPr>
          <w:fldChar w:fldCharType="begin"/>
        </w:r>
        <w:r w:rsidR="005A212F" w:rsidRPr="00EE4D50">
          <w:rPr>
            <w:rStyle w:val="Hipervnculo"/>
            <w:rFonts w:ascii="Verdana" w:hAnsi="Verdana" w:cs="Times New Roman"/>
            <w:i/>
            <w:noProof/>
            <w:webHidden/>
          </w:rPr>
          <w:instrText xml:space="preserve"> PAGEREF _Toc473640131 \h </w:instrText>
        </w:r>
        <w:r w:rsidR="005A212F" w:rsidRPr="00EE4D50">
          <w:rPr>
            <w:rStyle w:val="Hipervnculo"/>
            <w:rFonts w:ascii="Verdana" w:hAnsi="Verdana" w:cs="Times New Roman"/>
            <w:i/>
            <w:noProof/>
            <w:webHidden/>
          </w:rPr>
        </w:r>
        <w:r w:rsidR="005A212F"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69</w:t>
        </w:r>
        <w:r w:rsidR="005A212F" w:rsidRPr="00EE4D50">
          <w:rPr>
            <w:rStyle w:val="Hipervnculo"/>
            <w:rFonts w:ascii="Verdana" w:hAnsi="Verdana" w:cs="Times New Roman"/>
            <w:i/>
            <w:noProof/>
            <w:webHidden/>
          </w:rPr>
          <w:fldChar w:fldCharType="end"/>
        </w:r>
      </w:hyperlink>
    </w:p>
    <w:p w:rsidR="005A212F"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132" w:history="1">
        <w:r w:rsidR="005A212F" w:rsidRPr="00EE4D50">
          <w:rPr>
            <w:rStyle w:val="Hipervnculo"/>
            <w:rFonts w:ascii="Verdana" w:hAnsi="Verdana" w:cs="Times New Roman"/>
            <w:i/>
            <w:noProof/>
          </w:rPr>
          <w:t>Tabla 17: Fabricación de equipos de transporte con respecto al PIB real y a la industria manufacturera con año base 2007</w:t>
        </w:r>
        <w:r w:rsidR="005A212F" w:rsidRPr="00EE4D50">
          <w:rPr>
            <w:rStyle w:val="Hipervnculo"/>
            <w:rFonts w:ascii="Verdana" w:hAnsi="Verdana" w:cs="Times New Roman"/>
            <w:i/>
            <w:noProof/>
            <w:webHidden/>
          </w:rPr>
          <w:tab/>
        </w:r>
        <w:r w:rsidR="005A212F" w:rsidRPr="00EE4D50">
          <w:rPr>
            <w:rStyle w:val="Hipervnculo"/>
            <w:rFonts w:ascii="Verdana" w:hAnsi="Verdana" w:cs="Times New Roman"/>
            <w:i/>
            <w:noProof/>
            <w:webHidden/>
          </w:rPr>
          <w:fldChar w:fldCharType="begin"/>
        </w:r>
        <w:r w:rsidR="005A212F" w:rsidRPr="00EE4D50">
          <w:rPr>
            <w:rStyle w:val="Hipervnculo"/>
            <w:rFonts w:ascii="Verdana" w:hAnsi="Verdana" w:cs="Times New Roman"/>
            <w:i/>
            <w:noProof/>
            <w:webHidden/>
          </w:rPr>
          <w:instrText xml:space="preserve"> PAGEREF _Toc473640132 \h </w:instrText>
        </w:r>
        <w:r w:rsidR="005A212F" w:rsidRPr="00EE4D50">
          <w:rPr>
            <w:rStyle w:val="Hipervnculo"/>
            <w:rFonts w:ascii="Verdana" w:hAnsi="Verdana" w:cs="Times New Roman"/>
            <w:i/>
            <w:noProof/>
            <w:webHidden/>
          </w:rPr>
        </w:r>
        <w:r w:rsidR="005A212F"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73</w:t>
        </w:r>
        <w:r w:rsidR="005A212F" w:rsidRPr="00EE4D50">
          <w:rPr>
            <w:rStyle w:val="Hipervnculo"/>
            <w:rFonts w:ascii="Verdana" w:hAnsi="Verdana" w:cs="Times New Roman"/>
            <w:i/>
            <w:noProof/>
            <w:webHidden/>
          </w:rPr>
          <w:fldChar w:fldCharType="end"/>
        </w:r>
      </w:hyperlink>
    </w:p>
    <w:p w:rsidR="005A212F"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133" w:history="1">
        <w:r w:rsidR="005A212F" w:rsidRPr="00EE4D50">
          <w:rPr>
            <w:rStyle w:val="Hipervnculo"/>
            <w:rFonts w:ascii="Verdana" w:hAnsi="Verdana" w:cs="Times New Roman"/>
            <w:i/>
            <w:noProof/>
          </w:rPr>
          <w:t>Tabla 18: FBKF de equipos de transporte con respecto a la FBKF total y al de los productos manufacturados con año base 2007</w:t>
        </w:r>
        <w:r w:rsidR="005A212F" w:rsidRPr="00EE4D50">
          <w:rPr>
            <w:rStyle w:val="Hipervnculo"/>
            <w:rFonts w:ascii="Verdana" w:hAnsi="Verdana" w:cs="Times New Roman"/>
            <w:i/>
            <w:noProof/>
            <w:webHidden/>
          </w:rPr>
          <w:tab/>
        </w:r>
        <w:r w:rsidR="005A212F" w:rsidRPr="00EE4D50">
          <w:rPr>
            <w:rStyle w:val="Hipervnculo"/>
            <w:rFonts w:ascii="Verdana" w:hAnsi="Verdana" w:cs="Times New Roman"/>
            <w:i/>
            <w:noProof/>
            <w:webHidden/>
          </w:rPr>
          <w:fldChar w:fldCharType="begin"/>
        </w:r>
        <w:r w:rsidR="005A212F" w:rsidRPr="00EE4D50">
          <w:rPr>
            <w:rStyle w:val="Hipervnculo"/>
            <w:rFonts w:ascii="Verdana" w:hAnsi="Verdana" w:cs="Times New Roman"/>
            <w:i/>
            <w:noProof/>
            <w:webHidden/>
          </w:rPr>
          <w:instrText xml:space="preserve"> PAGEREF _Toc473640133 \h </w:instrText>
        </w:r>
        <w:r w:rsidR="005A212F" w:rsidRPr="00EE4D50">
          <w:rPr>
            <w:rStyle w:val="Hipervnculo"/>
            <w:rFonts w:ascii="Verdana" w:hAnsi="Verdana" w:cs="Times New Roman"/>
            <w:i/>
            <w:noProof/>
            <w:webHidden/>
          </w:rPr>
        </w:r>
        <w:r w:rsidR="005A212F"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75</w:t>
        </w:r>
        <w:r w:rsidR="005A212F" w:rsidRPr="00EE4D50">
          <w:rPr>
            <w:rStyle w:val="Hipervnculo"/>
            <w:rFonts w:ascii="Verdana" w:hAnsi="Verdana" w:cs="Times New Roman"/>
            <w:i/>
            <w:noProof/>
            <w:webHidden/>
          </w:rPr>
          <w:fldChar w:fldCharType="end"/>
        </w:r>
      </w:hyperlink>
    </w:p>
    <w:p w:rsidR="005A212F"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134" w:history="1">
        <w:r w:rsidR="005A212F" w:rsidRPr="00EE4D50">
          <w:rPr>
            <w:rStyle w:val="Hipervnculo"/>
            <w:rFonts w:ascii="Verdana" w:hAnsi="Verdana" w:cs="Times New Roman"/>
            <w:i/>
            <w:noProof/>
          </w:rPr>
          <w:t>Tabla 19: Personal ocupado en el sector automotriz. Año 2015</w:t>
        </w:r>
        <w:r w:rsidR="005A212F" w:rsidRPr="00EE4D50">
          <w:rPr>
            <w:rStyle w:val="Hipervnculo"/>
            <w:rFonts w:ascii="Verdana" w:hAnsi="Verdana" w:cs="Times New Roman"/>
            <w:i/>
            <w:noProof/>
            <w:webHidden/>
          </w:rPr>
          <w:tab/>
        </w:r>
        <w:r w:rsidR="005A212F" w:rsidRPr="00EE4D50">
          <w:rPr>
            <w:rStyle w:val="Hipervnculo"/>
            <w:rFonts w:ascii="Verdana" w:hAnsi="Verdana" w:cs="Times New Roman"/>
            <w:i/>
            <w:noProof/>
            <w:webHidden/>
          </w:rPr>
          <w:fldChar w:fldCharType="begin"/>
        </w:r>
        <w:r w:rsidR="005A212F" w:rsidRPr="00EE4D50">
          <w:rPr>
            <w:rStyle w:val="Hipervnculo"/>
            <w:rFonts w:ascii="Verdana" w:hAnsi="Verdana" w:cs="Times New Roman"/>
            <w:i/>
            <w:noProof/>
            <w:webHidden/>
          </w:rPr>
          <w:instrText xml:space="preserve"> PAGEREF _Toc473640134 \h </w:instrText>
        </w:r>
        <w:r w:rsidR="005A212F" w:rsidRPr="00EE4D50">
          <w:rPr>
            <w:rStyle w:val="Hipervnculo"/>
            <w:rFonts w:ascii="Verdana" w:hAnsi="Verdana" w:cs="Times New Roman"/>
            <w:i/>
            <w:noProof/>
            <w:webHidden/>
          </w:rPr>
        </w:r>
        <w:r w:rsidR="005A212F"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76</w:t>
        </w:r>
        <w:r w:rsidR="005A212F" w:rsidRPr="00EE4D50">
          <w:rPr>
            <w:rStyle w:val="Hipervnculo"/>
            <w:rFonts w:ascii="Verdana" w:hAnsi="Verdana" w:cs="Times New Roman"/>
            <w:i/>
            <w:noProof/>
            <w:webHidden/>
          </w:rPr>
          <w:fldChar w:fldCharType="end"/>
        </w:r>
      </w:hyperlink>
    </w:p>
    <w:p w:rsidR="005A212F"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3640135" w:history="1">
        <w:r w:rsidR="005A212F" w:rsidRPr="00EE4D50">
          <w:rPr>
            <w:rStyle w:val="Hipervnculo"/>
            <w:rFonts w:ascii="Verdana" w:hAnsi="Verdana" w:cs="Times New Roman"/>
            <w:i/>
            <w:noProof/>
          </w:rPr>
          <w:t>Tabla 20: Personal empleado en el sector ensamblador y autopartista. Año 2015</w:t>
        </w:r>
        <w:r w:rsidR="005A212F" w:rsidRPr="00EE4D50">
          <w:rPr>
            <w:rStyle w:val="Hipervnculo"/>
            <w:rFonts w:ascii="Verdana" w:hAnsi="Verdana" w:cs="Times New Roman"/>
            <w:i/>
            <w:noProof/>
            <w:webHidden/>
          </w:rPr>
          <w:tab/>
        </w:r>
        <w:r w:rsidR="005A212F" w:rsidRPr="00EE4D50">
          <w:rPr>
            <w:rStyle w:val="Hipervnculo"/>
            <w:rFonts w:ascii="Verdana" w:hAnsi="Verdana" w:cs="Times New Roman"/>
            <w:i/>
            <w:noProof/>
            <w:webHidden/>
          </w:rPr>
          <w:fldChar w:fldCharType="begin"/>
        </w:r>
        <w:r w:rsidR="005A212F" w:rsidRPr="00EE4D50">
          <w:rPr>
            <w:rStyle w:val="Hipervnculo"/>
            <w:rFonts w:ascii="Verdana" w:hAnsi="Verdana" w:cs="Times New Roman"/>
            <w:i/>
            <w:noProof/>
            <w:webHidden/>
          </w:rPr>
          <w:instrText xml:space="preserve"> PAGEREF _Toc473640135 \h </w:instrText>
        </w:r>
        <w:r w:rsidR="005A212F" w:rsidRPr="00EE4D50">
          <w:rPr>
            <w:rStyle w:val="Hipervnculo"/>
            <w:rFonts w:ascii="Verdana" w:hAnsi="Verdana" w:cs="Times New Roman"/>
            <w:i/>
            <w:noProof/>
            <w:webHidden/>
          </w:rPr>
        </w:r>
        <w:r w:rsidR="005A212F"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76</w:t>
        </w:r>
        <w:r w:rsidR="005A212F" w:rsidRPr="00EE4D50">
          <w:rPr>
            <w:rStyle w:val="Hipervnculo"/>
            <w:rFonts w:ascii="Verdana" w:hAnsi="Verdana" w:cs="Times New Roman"/>
            <w:i/>
            <w:noProof/>
            <w:webHidden/>
          </w:rPr>
          <w:fldChar w:fldCharType="end"/>
        </w:r>
      </w:hyperlink>
    </w:p>
    <w:p w:rsidR="002C450F" w:rsidRPr="00EE4D50" w:rsidRDefault="005A212F" w:rsidP="00EC63DA">
      <w:pPr>
        <w:pStyle w:val="TDC1"/>
        <w:tabs>
          <w:tab w:val="right" w:leader="dot" w:pos="9061"/>
        </w:tabs>
        <w:spacing w:after="60"/>
        <w:jc w:val="both"/>
        <w:rPr>
          <w:rStyle w:val="Hipervnculo"/>
          <w:rFonts w:ascii="Verdana" w:hAnsi="Verdana" w:cs="Times New Roman"/>
          <w:noProof/>
        </w:rPr>
      </w:pPr>
      <w:r w:rsidRPr="00EE4D50">
        <w:rPr>
          <w:rStyle w:val="Hipervnculo"/>
          <w:rFonts w:ascii="Verdana" w:hAnsi="Verdana" w:cs="Times New Roman"/>
          <w:noProof/>
        </w:rPr>
        <w:fldChar w:fldCharType="end"/>
      </w:r>
    </w:p>
    <w:p w:rsidR="0020346C" w:rsidRPr="00EE4D50" w:rsidRDefault="0020346C" w:rsidP="00EC63DA">
      <w:pPr>
        <w:spacing w:line="360" w:lineRule="auto"/>
        <w:jc w:val="center"/>
        <w:rPr>
          <w:rFonts w:ascii="Verdana" w:hAnsi="Verdana" w:cs="Times New Roman"/>
          <w:b/>
          <w:i/>
          <w:sz w:val="32"/>
        </w:rPr>
      </w:pPr>
      <w:r w:rsidRPr="00EE4D50">
        <w:rPr>
          <w:rFonts w:ascii="Verdana" w:hAnsi="Verdana" w:cs="Times New Roman"/>
          <w:b/>
          <w:i/>
          <w:sz w:val="32"/>
        </w:rPr>
        <w:t xml:space="preserve">Anexos </w:t>
      </w:r>
    </w:p>
    <w:p w:rsidR="0020346C" w:rsidRPr="00EE4D50" w:rsidRDefault="0020346C" w:rsidP="00EC63DA">
      <w:pPr>
        <w:pStyle w:val="TDC1"/>
        <w:tabs>
          <w:tab w:val="right" w:leader="dot" w:pos="9061"/>
        </w:tabs>
        <w:spacing w:after="60"/>
        <w:jc w:val="both"/>
        <w:rPr>
          <w:rStyle w:val="Hipervnculo"/>
          <w:rFonts w:ascii="Verdana" w:hAnsi="Verdana" w:cs="Times New Roman"/>
          <w:i/>
          <w:noProof/>
        </w:rPr>
      </w:pPr>
      <w:r w:rsidRPr="00EE4D50">
        <w:rPr>
          <w:rStyle w:val="Hipervnculo"/>
          <w:rFonts w:ascii="Verdana" w:hAnsi="Verdana" w:cs="Times New Roman"/>
          <w:i/>
          <w:noProof/>
        </w:rPr>
        <w:fldChar w:fldCharType="begin"/>
      </w:r>
      <w:r w:rsidRPr="00EE4D50">
        <w:rPr>
          <w:rStyle w:val="Hipervnculo"/>
          <w:rFonts w:ascii="Verdana" w:hAnsi="Verdana" w:cs="Times New Roman"/>
          <w:i/>
          <w:noProof/>
        </w:rPr>
        <w:instrText xml:space="preserve"> TOC \h \z \c "Anexo" </w:instrText>
      </w:r>
      <w:r w:rsidRPr="00EE4D50">
        <w:rPr>
          <w:rStyle w:val="Hipervnculo"/>
          <w:rFonts w:ascii="Verdana" w:hAnsi="Verdana" w:cs="Times New Roman"/>
          <w:i/>
          <w:noProof/>
        </w:rPr>
        <w:fldChar w:fldCharType="separate"/>
      </w:r>
      <w:hyperlink w:anchor="_Toc474402476" w:history="1">
        <w:r w:rsidRPr="00EE4D50">
          <w:rPr>
            <w:rStyle w:val="Hipervnculo"/>
            <w:rFonts w:ascii="Verdana" w:hAnsi="Verdana" w:cs="Times New Roman"/>
            <w:i/>
            <w:noProof/>
          </w:rPr>
          <w:t>Anexo A: Oficio Comision de Politica Industrail de la CINAE</w:t>
        </w:r>
        <w:r w:rsidRPr="00EE4D50">
          <w:rPr>
            <w:rStyle w:val="Hipervnculo"/>
            <w:rFonts w:ascii="Verdana" w:hAnsi="Verdana" w:cs="Times New Roman"/>
            <w:i/>
            <w:noProof/>
            <w:webHidden/>
          </w:rPr>
          <w:tab/>
        </w:r>
        <w:r w:rsidRPr="00EE4D50">
          <w:rPr>
            <w:rStyle w:val="Hipervnculo"/>
            <w:rFonts w:ascii="Verdana" w:hAnsi="Verdana" w:cs="Times New Roman"/>
            <w:i/>
            <w:noProof/>
            <w:webHidden/>
          </w:rPr>
          <w:fldChar w:fldCharType="begin"/>
        </w:r>
        <w:r w:rsidRPr="00EE4D50">
          <w:rPr>
            <w:rStyle w:val="Hipervnculo"/>
            <w:rFonts w:ascii="Verdana" w:hAnsi="Verdana" w:cs="Times New Roman"/>
            <w:i/>
            <w:noProof/>
            <w:webHidden/>
          </w:rPr>
          <w:instrText xml:space="preserve"> PAGEREF _Toc474402476 \h </w:instrText>
        </w:r>
        <w:r w:rsidRPr="00EE4D50">
          <w:rPr>
            <w:rStyle w:val="Hipervnculo"/>
            <w:rFonts w:ascii="Verdana" w:hAnsi="Verdana" w:cs="Times New Roman"/>
            <w:i/>
            <w:noProof/>
            <w:webHidden/>
          </w:rPr>
        </w:r>
        <w:r w:rsidRPr="00EE4D50">
          <w:rPr>
            <w:rStyle w:val="Hipervnculo"/>
            <w:rFonts w:ascii="Verdana" w:hAnsi="Verdana" w:cs="Times New Roman"/>
            <w:i/>
            <w:noProof/>
            <w:webHidden/>
          </w:rPr>
          <w:fldChar w:fldCharType="separate"/>
        </w:r>
        <w:r w:rsidR="001630A5">
          <w:rPr>
            <w:rStyle w:val="Hipervnculo"/>
            <w:rFonts w:ascii="Verdana" w:hAnsi="Verdana" w:cs="Times New Roman"/>
            <w:i/>
            <w:noProof/>
            <w:webHidden/>
          </w:rPr>
          <w:t>113</w:t>
        </w:r>
        <w:r w:rsidRPr="00EE4D50">
          <w:rPr>
            <w:rStyle w:val="Hipervnculo"/>
            <w:rFonts w:ascii="Verdana" w:hAnsi="Verdana" w:cs="Times New Roman"/>
            <w:i/>
            <w:noProof/>
            <w:webHidden/>
          </w:rPr>
          <w:fldChar w:fldCharType="end"/>
        </w:r>
      </w:hyperlink>
    </w:p>
    <w:p w:rsidR="0020346C" w:rsidRPr="00EE4D50" w:rsidRDefault="001630A5" w:rsidP="00EC63DA">
      <w:pPr>
        <w:pStyle w:val="TDC1"/>
        <w:tabs>
          <w:tab w:val="right" w:leader="dot" w:pos="9061"/>
        </w:tabs>
        <w:spacing w:after="60"/>
        <w:jc w:val="both"/>
        <w:rPr>
          <w:rStyle w:val="Hipervnculo"/>
          <w:rFonts w:ascii="Verdana" w:hAnsi="Verdana" w:cs="Times New Roman"/>
          <w:i/>
          <w:noProof/>
        </w:rPr>
      </w:pPr>
      <w:hyperlink w:anchor="_Toc474402477" w:history="1">
        <w:r w:rsidR="0020346C" w:rsidRPr="00EE4D50">
          <w:rPr>
            <w:rStyle w:val="Hipervnculo"/>
            <w:rFonts w:ascii="Verdana" w:hAnsi="Verdana" w:cs="Times New Roman"/>
            <w:i/>
            <w:noProof/>
          </w:rPr>
          <w:t>Anexo B: Lista de las partes y piezas</w:t>
        </w:r>
        <w:r w:rsidR="0020346C" w:rsidRPr="00EE4D50">
          <w:rPr>
            <w:rStyle w:val="Hipervnculo"/>
            <w:rFonts w:ascii="Verdana" w:hAnsi="Verdana" w:cs="Times New Roman"/>
            <w:i/>
            <w:noProof/>
            <w:webHidden/>
          </w:rPr>
          <w:tab/>
        </w:r>
        <w:r w:rsidR="0020346C" w:rsidRPr="00EE4D50">
          <w:rPr>
            <w:rStyle w:val="Hipervnculo"/>
            <w:rFonts w:ascii="Verdana" w:hAnsi="Verdana" w:cs="Times New Roman"/>
            <w:i/>
            <w:noProof/>
            <w:webHidden/>
          </w:rPr>
          <w:fldChar w:fldCharType="begin"/>
        </w:r>
        <w:r w:rsidR="0020346C" w:rsidRPr="00EE4D50">
          <w:rPr>
            <w:rStyle w:val="Hipervnculo"/>
            <w:rFonts w:ascii="Verdana" w:hAnsi="Verdana" w:cs="Times New Roman"/>
            <w:i/>
            <w:noProof/>
            <w:webHidden/>
          </w:rPr>
          <w:instrText xml:space="preserve"> PAGEREF _Toc474402477 \h </w:instrText>
        </w:r>
        <w:r w:rsidR="0020346C" w:rsidRPr="00EE4D50">
          <w:rPr>
            <w:rStyle w:val="Hipervnculo"/>
            <w:rFonts w:ascii="Verdana" w:hAnsi="Verdana" w:cs="Times New Roman"/>
            <w:i/>
            <w:noProof/>
            <w:webHidden/>
          </w:rPr>
        </w:r>
        <w:r w:rsidR="0020346C" w:rsidRPr="00EE4D50">
          <w:rPr>
            <w:rStyle w:val="Hipervnculo"/>
            <w:rFonts w:ascii="Verdana" w:hAnsi="Verdana" w:cs="Times New Roman"/>
            <w:i/>
            <w:noProof/>
            <w:webHidden/>
          </w:rPr>
          <w:fldChar w:fldCharType="separate"/>
        </w:r>
        <w:r>
          <w:rPr>
            <w:rStyle w:val="Hipervnculo"/>
            <w:rFonts w:ascii="Verdana" w:hAnsi="Verdana" w:cs="Times New Roman"/>
            <w:i/>
            <w:noProof/>
            <w:webHidden/>
          </w:rPr>
          <w:t>117</w:t>
        </w:r>
        <w:r w:rsidR="0020346C" w:rsidRPr="00EE4D50">
          <w:rPr>
            <w:rStyle w:val="Hipervnculo"/>
            <w:rFonts w:ascii="Verdana" w:hAnsi="Verdana" w:cs="Times New Roman"/>
            <w:i/>
            <w:noProof/>
            <w:webHidden/>
          </w:rPr>
          <w:fldChar w:fldCharType="end"/>
        </w:r>
      </w:hyperlink>
    </w:p>
    <w:p w:rsidR="00F3684B" w:rsidRPr="00EE4D50" w:rsidRDefault="0020346C" w:rsidP="00EC63DA">
      <w:pPr>
        <w:pStyle w:val="TDC1"/>
        <w:tabs>
          <w:tab w:val="right" w:leader="dot" w:pos="9061"/>
        </w:tabs>
        <w:spacing w:after="60"/>
        <w:rPr>
          <w:rStyle w:val="Hipervnculo"/>
          <w:rFonts w:ascii="Verdana" w:hAnsi="Verdana" w:cs="Times New Roman"/>
          <w:i/>
          <w:noProof/>
        </w:rPr>
      </w:pPr>
      <w:r w:rsidRPr="00EE4D50">
        <w:rPr>
          <w:rStyle w:val="Hipervnculo"/>
          <w:rFonts w:ascii="Verdana" w:hAnsi="Verdana" w:cs="Times New Roman"/>
          <w:i/>
          <w:noProof/>
        </w:rPr>
        <w:fldChar w:fldCharType="end"/>
      </w:r>
    </w:p>
    <w:p w:rsidR="00F3684B" w:rsidRPr="00EE4D50" w:rsidRDefault="00F3684B" w:rsidP="00EC63DA">
      <w:pPr>
        <w:rPr>
          <w:rFonts w:ascii="Verdana" w:hAnsi="Verdana" w:cs="Times New Roman"/>
          <w:lang w:val="es-US"/>
        </w:rPr>
      </w:pPr>
    </w:p>
    <w:p w:rsidR="00E8274D" w:rsidRDefault="00E8274D" w:rsidP="00EC63DA">
      <w:pPr>
        <w:rPr>
          <w:rFonts w:ascii="Verdana" w:hAnsi="Verdana" w:cs="Times New Roman"/>
          <w:lang w:val="es-US"/>
        </w:rPr>
      </w:pPr>
    </w:p>
    <w:p w:rsidR="00F122D0" w:rsidRPr="00EE4D50" w:rsidRDefault="00F122D0" w:rsidP="00EC63DA">
      <w:pPr>
        <w:rPr>
          <w:rFonts w:ascii="Verdana" w:hAnsi="Verdana" w:cs="Times New Roman"/>
          <w:lang w:val="es-US"/>
        </w:rPr>
      </w:pPr>
    </w:p>
    <w:p w:rsidR="00BB3D26" w:rsidRPr="00EE4D50" w:rsidRDefault="00BB3D26" w:rsidP="00EC63DA">
      <w:pPr>
        <w:pStyle w:val="Ttulo1"/>
        <w:jc w:val="center"/>
        <w:rPr>
          <w:rFonts w:ascii="Verdana" w:hAnsi="Verdana" w:cs="Times New Roman"/>
          <w:i/>
          <w:color w:val="000000" w:themeColor="text1"/>
          <w:sz w:val="32"/>
          <w:szCs w:val="36"/>
        </w:rPr>
      </w:pPr>
      <w:bookmarkStart w:id="2" w:name="_Toc485137177"/>
      <w:r w:rsidRPr="00EE4D50">
        <w:rPr>
          <w:rFonts w:ascii="Verdana" w:hAnsi="Verdana" w:cs="Times New Roman"/>
          <w:i/>
          <w:color w:val="000000" w:themeColor="text1"/>
          <w:sz w:val="32"/>
          <w:szCs w:val="36"/>
        </w:rPr>
        <w:lastRenderedPageBreak/>
        <w:t>Introducción</w:t>
      </w:r>
      <w:bookmarkEnd w:id="2"/>
    </w:p>
    <w:p w:rsidR="004D467B" w:rsidRPr="00EE4D50" w:rsidRDefault="004D467B" w:rsidP="00EC63DA">
      <w:pPr>
        <w:spacing w:after="60"/>
        <w:jc w:val="both"/>
        <w:rPr>
          <w:rFonts w:ascii="Verdana" w:hAnsi="Verdana" w:cs="Times New Roman"/>
          <w:lang w:val="es-US"/>
        </w:rPr>
      </w:pPr>
    </w:p>
    <w:p w:rsidR="00440F86" w:rsidRDefault="00C76E8B" w:rsidP="00EC63DA">
      <w:pPr>
        <w:spacing w:after="60"/>
        <w:jc w:val="both"/>
        <w:rPr>
          <w:rFonts w:ascii="Verdana" w:hAnsi="Verdana" w:cs="Times New Roman"/>
        </w:rPr>
      </w:pPr>
      <w:r>
        <w:rPr>
          <w:rFonts w:ascii="Verdana" w:hAnsi="Verdana" w:cs="Times New Roman"/>
        </w:rPr>
        <w:t>El sector</w:t>
      </w:r>
      <w:r w:rsidR="00440F86" w:rsidRPr="00EE4D50">
        <w:rPr>
          <w:rFonts w:ascii="Verdana" w:hAnsi="Verdana" w:cs="Times New Roman"/>
        </w:rPr>
        <w:t xml:space="preserve"> automotriz </w:t>
      </w:r>
      <w:r>
        <w:rPr>
          <w:rFonts w:ascii="Verdana" w:hAnsi="Verdana" w:cs="Times New Roman"/>
        </w:rPr>
        <w:t>aporta a</w:t>
      </w:r>
      <w:r w:rsidR="00440F86" w:rsidRPr="00EE4D50">
        <w:rPr>
          <w:rFonts w:ascii="Verdana" w:hAnsi="Verdana" w:cs="Times New Roman"/>
        </w:rPr>
        <w:t xml:space="preserve"> la economía ecuatoriana debido a su encadenamiento productivo que aglomera a otros sectores importantes de fabricación nacional con valor agregado. Se ha evidenciado la necesidad de diversificar a la industria nacional con productos que sustituyan </w:t>
      </w:r>
      <w:r w:rsidR="00827344">
        <w:rPr>
          <w:rFonts w:ascii="Verdana" w:hAnsi="Verdana" w:cs="Times New Roman"/>
        </w:rPr>
        <w:t xml:space="preserve">a las habituales importaciones, </w:t>
      </w:r>
      <w:r w:rsidR="00440F86" w:rsidRPr="00EE4D50">
        <w:rPr>
          <w:rFonts w:ascii="Verdana" w:hAnsi="Verdana" w:cs="Times New Roman"/>
        </w:rPr>
        <w:t>y que se emprenda</w:t>
      </w:r>
      <w:r w:rsidR="00827344">
        <w:rPr>
          <w:rFonts w:ascii="Verdana" w:hAnsi="Verdana" w:cs="Times New Roman"/>
        </w:rPr>
        <w:t xml:space="preserve"> acciones que promuevan a superar a</w:t>
      </w:r>
      <w:r w:rsidR="00440F86" w:rsidRPr="00EE4D50">
        <w:rPr>
          <w:rFonts w:ascii="Verdana" w:hAnsi="Verdana" w:cs="Times New Roman"/>
        </w:rPr>
        <w:t xml:space="preserve">l modelo económico histórico, bajo el cual se concebía al Ecuador inmerso en un modelo agroexportador </w:t>
      </w:r>
      <w:r w:rsidR="00827344">
        <w:rPr>
          <w:rFonts w:ascii="Verdana" w:hAnsi="Verdana" w:cs="Times New Roman"/>
        </w:rPr>
        <w:t>(</w:t>
      </w:r>
      <w:r w:rsidR="00440F86" w:rsidRPr="00EE4D50">
        <w:rPr>
          <w:rFonts w:ascii="Verdana" w:hAnsi="Verdana" w:cs="Times New Roman"/>
        </w:rPr>
        <w:t>como un exportador de materias primas al mercado internacional y como importador de bienes y servicios finales</w:t>
      </w:r>
      <w:r w:rsidR="00827344">
        <w:rPr>
          <w:rFonts w:ascii="Verdana" w:hAnsi="Verdana" w:cs="Times New Roman"/>
        </w:rPr>
        <w:t>)</w:t>
      </w:r>
      <w:r w:rsidR="00440F86" w:rsidRPr="00EE4D50">
        <w:rPr>
          <w:rFonts w:ascii="Verdana" w:hAnsi="Verdana" w:cs="Times New Roman"/>
        </w:rPr>
        <w:t>.</w:t>
      </w:r>
    </w:p>
    <w:p w:rsidR="00C76E8B" w:rsidRPr="00EE4D50" w:rsidRDefault="00C76E8B" w:rsidP="00EC63DA">
      <w:pPr>
        <w:spacing w:after="60"/>
        <w:jc w:val="both"/>
        <w:rPr>
          <w:rFonts w:ascii="Verdana" w:hAnsi="Verdana" w:cs="Times New Roman"/>
        </w:rPr>
      </w:pPr>
      <w:r>
        <w:rPr>
          <w:rFonts w:ascii="Verdana" w:hAnsi="Verdana" w:cs="Times New Roman"/>
        </w:rPr>
        <w:t>Dentro de la industria manufacturera nacional, la fabricación de equipos de transporte aporta con el 3.5%</w:t>
      </w:r>
    </w:p>
    <w:p w:rsidR="00440F86" w:rsidRPr="00EE4D50" w:rsidRDefault="00440F86" w:rsidP="00EC63DA">
      <w:pPr>
        <w:spacing w:after="60"/>
        <w:jc w:val="both"/>
        <w:rPr>
          <w:rFonts w:ascii="Verdana" w:hAnsi="Verdana" w:cs="Times New Roman"/>
        </w:rPr>
      </w:pPr>
    </w:p>
    <w:p w:rsidR="00440F86" w:rsidRPr="00EE4D50" w:rsidRDefault="00440F86" w:rsidP="00EC63DA">
      <w:pPr>
        <w:spacing w:after="60"/>
        <w:jc w:val="both"/>
        <w:rPr>
          <w:rFonts w:ascii="Verdana" w:hAnsi="Verdana" w:cs="Times New Roman"/>
        </w:rPr>
      </w:pPr>
      <w:r w:rsidRPr="00EE4D50">
        <w:rPr>
          <w:rFonts w:ascii="Verdana" w:hAnsi="Verdana" w:cs="Times New Roman"/>
        </w:rPr>
        <w:t>A pesar del aumento que se ha desplegado en las exportaciones no petroleras de la rama de los productos no tradicionales, se ha manifestado la idea de la transformación y diversificación de la matriz productiva del país para estimular nuevos productos y mercados con aquellos que generen valor agregado. Se han identificado un grupo de productos, como las autopartes</w:t>
      </w:r>
      <w:r w:rsidR="00827344">
        <w:rPr>
          <w:rFonts w:ascii="Verdana" w:hAnsi="Verdana" w:cs="Times New Roman"/>
        </w:rPr>
        <w:t>,</w:t>
      </w:r>
      <w:r w:rsidRPr="00EE4D50">
        <w:rPr>
          <w:rFonts w:ascii="Verdana" w:hAnsi="Verdana" w:cs="Times New Roman"/>
        </w:rPr>
        <w:t xml:space="preserve"> que se pueden convertir en sectores nacionales atractivos, tanto para la producción como para la comercialización dentro y fuera del país.</w:t>
      </w:r>
    </w:p>
    <w:p w:rsidR="00440F86" w:rsidRPr="00EE4D50" w:rsidRDefault="00440F86" w:rsidP="00EC63DA">
      <w:pPr>
        <w:spacing w:after="60"/>
        <w:jc w:val="both"/>
        <w:rPr>
          <w:rFonts w:ascii="Verdana" w:hAnsi="Verdana" w:cs="Times New Roman"/>
        </w:rPr>
      </w:pPr>
    </w:p>
    <w:p w:rsidR="00440F86" w:rsidRPr="00EE4D50" w:rsidRDefault="00440F86" w:rsidP="00EC63DA">
      <w:pPr>
        <w:spacing w:after="60"/>
        <w:jc w:val="both"/>
        <w:rPr>
          <w:rFonts w:ascii="Verdana" w:hAnsi="Verdana" w:cs="Times New Roman"/>
        </w:rPr>
      </w:pPr>
      <w:r w:rsidRPr="00EE4D50">
        <w:rPr>
          <w:rFonts w:ascii="Verdana" w:hAnsi="Verdana" w:cs="Times New Roman"/>
        </w:rPr>
        <w:t>En la actividad automotriz se desenvuelven empresas importadoras y ensambladoras de vehículo</w:t>
      </w:r>
      <w:r w:rsidR="00827344">
        <w:rPr>
          <w:rFonts w:ascii="Verdana" w:hAnsi="Verdana" w:cs="Times New Roman"/>
        </w:rPr>
        <w:t>s</w:t>
      </w:r>
      <w:r w:rsidRPr="00EE4D50">
        <w:rPr>
          <w:rFonts w:ascii="Verdana" w:hAnsi="Verdana" w:cs="Times New Roman"/>
        </w:rPr>
        <w:t xml:space="preserve"> que con su oferta proveen a la demanda del mercado. La presente investigación se enfoca en el estudio de la actividad del ensamble de vehículos desarmados (CKD) porque es donde se ubica la pro</w:t>
      </w:r>
      <w:r w:rsidR="00162BBC">
        <w:rPr>
          <w:rFonts w:ascii="Verdana" w:hAnsi="Verdana" w:cs="Times New Roman"/>
        </w:rPr>
        <w:t>ducción nacional de esos bienes.</w:t>
      </w:r>
      <w:r w:rsidRPr="00EE4D50">
        <w:rPr>
          <w:rFonts w:ascii="Verdana" w:hAnsi="Verdana" w:cs="Times New Roman"/>
        </w:rPr>
        <w:t xml:space="preserve"> </w:t>
      </w:r>
      <w:r w:rsidR="00162BBC">
        <w:rPr>
          <w:rFonts w:ascii="Verdana" w:hAnsi="Verdana" w:cs="Times New Roman"/>
        </w:rPr>
        <w:t>El encadenamiento</w:t>
      </w:r>
      <w:r w:rsidRPr="00EE4D50">
        <w:rPr>
          <w:rFonts w:ascii="Verdana" w:hAnsi="Verdana" w:cs="Times New Roman"/>
        </w:rPr>
        <w:t xml:space="preserve"> productivo necesita de diversas firmas loc</w:t>
      </w:r>
      <w:r w:rsidR="00162BBC">
        <w:rPr>
          <w:rFonts w:ascii="Verdana" w:hAnsi="Verdana" w:cs="Times New Roman"/>
        </w:rPr>
        <w:t>ales que les provean de insumos,</w:t>
      </w:r>
      <w:r w:rsidRPr="00EE4D50">
        <w:rPr>
          <w:rFonts w:ascii="Verdana" w:hAnsi="Verdana" w:cs="Times New Roman"/>
        </w:rPr>
        <w:t xml:space="preserve"> y así ofrecer automotores con estándares de calidad. La producción nacional se encuentra en pocas empresas e</w:t>
      </w:r>
      <w:r w:rsidR="00162BBC">
        <w:rPr>
          <w:rFonts w:ascii="Verdana" w:hAnsi="Verdana" w:cs="Times New Roman"/>
        </w:rPr>
        <w:t xml:space="preserve">nsambladoras: </w:t>
      </w:r>
      <w:r w:rsidRPr="00EE4D50">
        <w:rPr>
          <w:rFonts w:ascii="Verdana" w:hAnsi="Verdana" w:cs="Times New Roman"/>
        </w:rPr>
        <w:t xml:space="preserve">Ómnibus BB, Aymesa, Maresa y Ciauto. El impulso de este sector provoca que se produzcan bienes que contienen complejidad tecnológica, lo cual es beneficioso para el PIB del Ecuador </w:t>
      </w:r>
      <w:r w:rsidR="00162BBC">
        <w:rPr>
          <w:rFonts w:ascii="Verdana" w:hAnsi="Verdana" w:cs="Times New Roman"/>
        </w:rPr>
        <w:t xml:space="preserve">y sus efectos en </w:t>
      </w:r>
      <w:r w:rsidRPr="00EE4D50">
        <w:rPr>
          <w:rFonts w:ascii="Verdana" w:hAnsi="Verdana" w:cs="Times New Roman"/>
        </w:rPr>
        <w:t>inversión, exportación, consumo, empleo, etc.</w:t>
      </w:r>
    </w:p>
    <w:p w:rsidR="00C76E8B" w:rsidRDefault="00C76E8B" w:rsidP="00EC63DA">
      <w:pPr>
        <w:spacing w:after="60"/>
        <w:jc w:val="both"/>
        <w:rPr>
          <w:rFonts w:ascii="Verdana" w:hAnsi="Verdana" w:cs="Times New Roman"/>
        </w:rPr>
      </w:pPr>
    </w:p>
    <w:p w:rsidR="00440F86" w:rsidRPr="00EE4D50" w:rsidRDefault="00C76E8B" w:rsidP="00EC63DA">
      <w:pPr>
        <w:spacing w:after="60"/>
        <w:jc w:val="both"/>
        <w:rPr>
          <w:rFonts w:ascii="Verdana" w:hAnsi="Verdana" w:cs="Times New Roman"/>
        </w:rPr>
      </w:pPr>
      <w:r>
        <w:rPr>
          <w:rFonts w:ascii="Verdana" w:hAnsi="Verdana" w:cs="Times New Roman"/>
        </w:rPr>
        <w:t xml:space="preserve">El </w:t>
      </w:r>
      <w:r w:rsidR="00440F86" w:rsidRPr="00EE4D50">
        <w:rPr>
          <w:rFonts w:ascii="Verdana" w:hAnsi="Verdana" w:cs="Times New Roman"/>
        </w:rPr>
        <w:t>ensamblaje de vehículos en el país se consolidó después de que se adopte a la dolarización. Se vio fortalecida para el inicio de la segunda década del siglo XXI, tiempo en el cual experimentó un ciclo de auge para los años 2010 a 2012, luego un ciclo de estancamiento durante 2013 y 2014, y finalmente culminar en recesión a partir de 2015.</w:t>
      </w:r>
    </w:p>
    <w:p w:rsidR="00440F86" w:rsidRPr="00EE4D50" w:rsidRDefault="00440F86" w:rsidP="00EC63DA">
      <w:pPr>
        <w:spacing w:after="60"/>
        <w:jc w:val="both"/>
        <w:rPr>
          <w:rFonts w:ascii="Verdana" w:hAnsi="Verdana" w:cs="Times New Roman"/>
        </w:rPr>
      </w:pPr>
    </w:p>
    <w:p w:rsidR="00440F86" w:rsidRPr="00EE4D50" w:rsidRDefault="00440F86" w:rsidP="00EC63DA">
      <w:pPr>
        <w:spacing w:after="60"/>
        <w:jc w:val="both"/>
        <w:rPr>
          <w:rFonts w:ascii="Verdana" w:hAnsi="Verdana" w:cs="Times New Roman"/>
          <w:lang w:val="es-ES"/>
        </w:rPr>
      </w:pPr>
      <w:r w:rsidRPr="00EE4D50">
        <w:rPr>
          <w:rFonts w:ascii="Verdana" w:hAnsi="Verdana" w:cs="Times New Roman"/>
        </w:rPr>
        <w:t xml:space="preserve">Para brindar una idea de la problemática existente, se puede señalar, por ejemplo, que de acuerdo al boletín de la AEADE (2017), las ventas de vehículos importados y ensamblados en el país han disminuido significativamente en 2016. En 2016 se vendieron 58.185 vehículos livianos entre importados y ensamblados. </w:t>
      </w:r>
      <w:r w:rsidRPr="00EE4D50">
        <w:rPr>
          <w:rFonts w:ascii="Verdana" w:hAnsi="Verdana" w:cs="Times New Roman"/>
        </w:rPr>
        <w:lastRenderedPageBreak/>
        <w:t>Esto representó una variación negativa del -22,8% con respecto al 2015, cuando se comercializaron 71.434 unidades. Mientras que la producción de las ensambladoras de vehículos también disminuyó drásticamente, hasta tal punto que Maresa paralizó sus actividades de ensamblaje en diciembre de 2015. Las cifras del sector al</w:t>
      </w:r>
      <w:r w:rsidRPr="00EE4D50">
        <w:rPr>
          <w:rFonts w:ascii="Verdana" w:hAnsi="Verdana" w:cs="Times New Roman"/>
          <w:lang w:val="es-ES"/>
        </w:rPr>
        <w:t xml:space="preserve"> 2016 registraron 24.147 unidades producidas, lo que representó una  disminución de -49% respecto al 2015 con 47.306 unidades. De  la  producción total   de   vehículos en 2016 (24.147 unidades), el 2,8%  </w:t>
      </w:r>
      <w:r w:rsidR="00162BBC">
        <w:rPr>
          <w:rFonts w:ascii="Verdana" w:hAnsi="Verdana" w:cs="Times New Roman"/>
          <w:lang w:val="es-ES"/>
        </w:rPr>
        <w:t>se   destinó  a  la exportación;</w:t>
      </w:r>
      <w:r w:rsidRPr="00EE4D50">
        <w:rPr>
          <w:rFonts w:ascii="Verdana" w:hAnsi="Verdana" w:cs="Times New Roman"/>
          <w:lang w:val="es-ES"/>
        </w:rPr>
        <w:t xml:space="preserve"> es decir</w:t>
      </w:r>
      <w:r w:rsidR="00162BBC">
        <w:rPr>
          <w:rFonts w:ascii="Verdana" w:hAnsi="Verdana" w:cs="Times New Roman"/>
          <w:lang w:val="es-ES"/>
        </w:rPr>
        <w:t>,</w:t>
      </w:r>
      <w:r w:rsidRPr="00EE4D50">
        <w:rPr>
          <w:rFonts w:ascii="Verdana" w:hAnsi="Verdana" w:cs="Times New Roman"/>
          <w:lang w:val="es-ES"/>
        </w:rPr>
        <w:t xml:space="preserve"> tan sólo 671 unidades, lo que significó un decremento importante de -78,8% con respecto al 2015 que registró 3.169 unidades.</w:t>
      </w:r>
    </w:p>
    <w:p w:rsidR="00440F86" w:rsidRPr="00EE4D50" w:rsidRDefault="00440F86" w:rsidP="00EC63DA">
      <w:pPr>
        <w:spacing w:after="60"/>
        <w:jc w:val="both"/>
        <w:rPr>
          <w:rFonts w:ascii="Verdana" w:hAnsi="Verdana" w:cs="Times New Roman"/>
          <w:lang w:val="es-ES"/>
        </w:rPr>
      </w:pPr>
    </w:p>
    <w:p w:rsidR="00440F86" w:rsidRPr="00EE4D50" w:rsidRDefault="00440F86" w:rsidP="00EC63DA">
      <w:pPr>
        <w:spacing w:after="60"/>
        <w:jc w:val="both"/>
        <w:rPr>
          <w:rFonts w:ascii="Verdana" w:hAnsi="Verdana" w:cs="Times New Roman"/>
        </w:rPr>
      </w:pPr>
      <w:r w:rsidRPr="00EE4D50">
        <w:rPr>
          <w:rFonts w:ascii="Verdana" w:hAnsi="Verdana" w:cs="Times New Roman"/>
        </w:rPr>
        <w:t>Es importante resaltar que las ventas de vehículos en el mercado ecuatoriano comprendían un 39% de producción nacional y 61% de importación para el año 2003. Diez años después, los vehículos ensamblados en el país aumentaron su participación al 49% y los importados bajaron al 51%. Esto da cuenta de que es un importante sector con proyección a futuro que aporta a la economía ecuatoriana.</w:t>
      </w:r>
    </w:p>
    <w:p w:rsidR="00440F86" w:rsidRPr="00EE4D50" w:rsidRDefault="00440F86" w:rsidP="00EC63DA">
      <w:pPr>
        <w:spacing w:after="60"/>
        <w:jc w:val="both"/>
        <w:rPr>
          <w:rFonts w:ascii="Verdana" w:hAnsi="Verdana" w:cs="Times New Roman"/>
        </w:rPr>
      </w:pPr>
    </w:p>
    <w:p w:rsidR="00440F86" w:rsidRPr="00EE4D50" w:rsidRDefault="00440F86" w:rsidP="00EC63DA">
      <w:pPr>
        <w:spacing w:after="60"/>
        <w:jc w:val="both"/>
        <w:rPr>
          <w:rFonts w:ascii="Verdana" w:hAnsi="Verdana" w:cs="Times New Roman"/>
        </w:rPr>
      </w:pPr>
      <w:r w:rsidRPr="00EE4D50">
        <w:rPr>
          <w:rFonts w:ascii="Verdana" w:hAnsi="Verdana" w:cs="Times New Roman"/>
        </w:rPr>
        <w:t>Es entonces que la motivación por realizar la presente investigación es aportar con un análisis del sector automotriz, con énfasis en el ensamblaje nacional. Dicho aporte se constituirá en: i) identificar los factores que están entorpeciendo a su desarrollo, y que no han permitido que se pueda expandir su actividad en todas sus potencialidades, y ii) realizar un diagnóstico del estado actual del sector en pos de una perspectiva de sostenibilidad y crecimiento.</w:t>
      </w:r>
    </w:p>
    <w:p w:rsidR="00440F86" w:rsidRPr="00EE4D50" w:rsidRDefault="00440F86" w:rsidP="00EC63DA">
      <w:pPr>
        <w:spacing w:after="60"/>
        <w:jc w:val="both"/>
        <w:rPr>
          <w:rFonts w:ascii="Verdana" w:hAnsi="Verdana" w:cs="Times New Roman"/>
        </w:rPr>
      </w:pPr>
    </w:p>
    <w:p w:rsidR="00440F86" w:rsidRPr="00EE4D50" w:rsidRDefault="00440F86" w:rsidP="00EC63DA">
      <w:pPr>
        <w:spacing w:after="60"/>
        <w:jc w:val="both"/>
        <w:rPr>
          <w:rFonts w:ascii="Verdana" w:hAnsi="Verdana" w:cs="Times New Roman"/>
        </w:rPr>
      </w:pPr>
      <w:r w:rsidRPr="00EE4D50">
        <w:rPr>
          <w:rFonts w:ascii="Verdana" w:hAnsi="Verdana" w:cs="Times New Roman"/>
        </w:rPr>
        <w:t>Este trabajo investigativo inicia con la fundamentación teórica, la cual empieza con una revisión de los conceptos de especialización del trabajo, intercambio comercial, ventaja absoluta y ventaja comparativa porque son temas transcendentales desde la concepción de la economía como una ciencia. Luego, se pasa a conceptos sobre competitividad y las implicaciones que tiene el diamante de Michael Porter. Con estos conceptos, se escogió a la escuela estructuralista cepalina, con Prebisch como principal autor, porque pregona el impulso de la industria latinoamericana con posibilidad de que se sustituyan importaciones y mitigar el deterioro de los términos de intercambio.</w:t>
      </w:r>
    </w:p>
    <w:p w:rsidR="00440F86" w:rsidRPr="00EE4D50" w:rsidRDefault="00440F86" w:rsidP="00EC63DA">
      <w:pPr>
        <w:spacing w:after="60"/>
        <w:jc w:val="both"/>
        <w:rPr>
          <w:rFonts w:ascii="Verdana" w:hAnsi="Verdana" w:cs="Times New Roman"/>
        </w:rPr>
      </w:pPr>
    </w:p>
    <w:p w:rsidR="00440F86" w:rsidRPr="00EE4D50" w:rsidRDefault="00440F86" w:rsidP="00EC63DA">
      <w:pPr>
        <w:spacing w:after="60"/>
        <w:jc w:val="both"/>
        <w:rPr>
          <w:rFonts w:ascii="Verdana" w:hAnsi="Verdana" w:cs="Times New Roman"/>
        </w:rPr>
      </w:pPr>
      <w:r w:rsidRPr="00EE4D50">
        <w:rPr>
          <w:rFonts w:ascii="Verdana" w:hAnsi="Verdana" w:cs="Times New Roman"/>
        </w:rPr>
        <w:t>El capítulo 1 expone a la historia de la industria automotriz ecuatoriana desde sus inicios en la década de los setentas, cuando se ensambló el primer vehículo en el país, hasta el inicio del esquema monetario de la dolarización. Se hace una reseña sobre las ensambladoras del país y sus  cifras de producción que tuvieron un ciclo de desarrollo, especialmente en los noventas. En aquel tiempo, los vehículos empezaron a exportarse desde 1992, mientras que las importaciones tuvieron un comportamiento irregular.</w:t>
      </w:r>
    </w:p>
    <w:p w:rsidR="00440F86" w:rsidRPr="00EE4D50" w:rsidRDefault="00440F86" w:rsidP="00EC63DA">
      <w:pPr>
        <w:spacing w:after="60"/>
        <w:jc w:val="both"/>
        <w:rPr>
          <w:rFonts w:ascii="Verdana" w:hAnsi="Verdana" w:cs="Times New Roman"/>
        </w:rPr>
      </w:pPr>
    </w:p>
    <w:p w:rsidR="00440F86" w:rsidRPr="00EE4D50" w:rsidRDefault="00440F86" w:rsidP="00EC63DA">
      <w:pPr>
        <w:spacing w:after="60"/>
        <w:jc w:val="both"/>
        <w:rPr>
          <w:rFonts w:ascii="Verdana" w:hAnsi="Verdana" w:cs="Times New Roman"/>
        </w:rPr>
      </w:pPr>
      <w:r w:rsidRPr="00EE4D50">
        <w:rPr>
          <w:rFonts w:ascii="Verdana" w:hAnsi="Verdana" w:cs="Times New Roman"/>
        </w:rPr>
        <w:lastRenderedPageBreak/>
        <w:t xml:space="preserve">El capítulo 2 caracteriza a variables como ventas, producción, exportación e importación de vehículos. En el sector automotriz existen tres tipos de actividades económicas: </w:t>
      </w:r>
      <w:r w:rsidR="00B10406" w:rsidRPr="00EE4D50">
        <w:rPr>
          <w:rFonts w:ascii="Verdana" w:hAnsi="Verdana" w:cs="Times New Roman"/>
        </w:rPr>
        <w:t>manufactura</w:t>
      </w:r>
      <w:r w:rsidR="00B10406">
        <w:rPr>
          <w:rFonts w:ascii="Verdana" w:hAnsi="Verdana" w:cs="Times New Roman"/>
        </w:rPr>
        <w:t xml:space="preserve">, </w:t>
      </w:r>
      <w:r w:rsidRPr="00EE4D50">
        <w:rPr>
          <w:rFonts w:ascii="Verdana" w:hAnsi="Verdana" w:cs="Times New Roman"/>
        </w:rPr>
        <w:t>comercialización</w:t>
      </w:r>
      <w:r w:rsidR="00B10406" w:rsidRPr="00B10406">
        <w:rPr>
          <w:rFonts w:ascii="Verdana" w:hAnsi="Verdana" w:cs="Times New Roman"/>
        </w:rPr>
        <w:t xml:space="preserve"> </w:t>
      </w:r>
      <w:r w:rsidR="00B10406" w:rsidRPr="00EE4D50">
        <w:rPr>
          <w:rFonts w:ascii="Verdana" w:hAnsi="Verdana" w:cs="Times New Roman"/>
        </w:rPr>
        <w:t xml:space="preserve">y </w:t>
      </w:r>
      <w:r w:rsidRPr="00EE4D50">
        <w:rPr>
          <w:rFonts w:ascii="Verdana" w:hAnsi="Verdana" w:cs="Times New Roman"/>
        </w:rPr>
        <w:t>servicios. A esta última, se presta especial atención porque es donde se ubica a la producción nacional de vehículos a través de las empresas ensambladoras. El análisis de datos comprende a dos momentos: el primero durante los años 2003 y 2010 que se lo considera como un ciclo de estabilidad, y después el periodo 2011-2015 que se lo considera como un ciclo de auge y recesión.</w:t>
      </w:r>
    </w:p>
    <w:p w:rsidR="00440F86" w:rsidRPr="00EE4D50" w:rsidRDefault="00440F86" w:rsidP="00EC63DA">
      <w:pPr>
        <w:spacing w:after="60"/>
        <w:jc w:val="both"/>
        <w:rPr>
          <w:rFonts w:ascii="Verdana" w:hAnsi="Verdana" w:cs="Times New Roman"/>
        </w:rPr>
      </w:pPr>
    </w:p>
    <w:p w:rsidR="00440F86" w:rsidRPr="00EE4D50" w:rsidRDefault="00440F86" w:rsidP="00EC63DA">
      <w:pPr>
        <w:spacing w:after="60"/>
        <w:jc w:val="both"/>
        <w:rPr>
          <w:rFonts w:ascii="Verdana" w:hAnsi="Verdana" w:cs="Times New Roman"/>
        </w:rPr>
      </w:pPr>
      <w:r w:rsidRPr="00EE4D50">
        <w:rPr>
          <w:rFonts w:ascii="Verdana" w:hAnsi="Verdana" w:cs="Times New Roman"/>
        </w:rPr>
        <w:t>El capítulo 3 hace énfasis a la actividad del ensamblaje de vehículos</w:t>
      </w:r>
      <w:r w:rsidR="00162BBC">
        <w:rPr>
          <w:rFonts w:ascii="Verdana" w:hAnsi="Verdana" w:cs="Times New Roman"/>
        </w:rPr>
        <w:t>,</w:t>
      </w:r>
      <w:r w:rsidRPr="00EE4D50">
        <w:rPr>
          <w:rFonts w:ascii="Verdana" w:hAnsi="Verdana" w:cs="Times New Roman"/>
        </w:rPr>
        <w:t xml:space="preserve"> a partir de</w:t>
      </w:r>
      <w:r w:rsidR="00162BBC">
        <w:rPr>
          <w:rFonts w:ascii="Verdana" w:hAnsi="Verdana" w:cs="Times New Roman"/>
        </w:rPr>
        <w:t>l año</w:t>
      </w:r>
      <w:r w:rsidRPr="00EE4D50">
        <w:rPr>
          <w:rFonts w:ascii="Verdana" w:hAnsi="Verdana" w:cs="Times New Roman"/>
        </w:rPr>
        <w:t xml:space="preserve"> 2011</w:t>
      </w:r>
      <w:r w:rsidR="00162BBC">
        <w:rPr>
          <w:rFonts w:ascii="Verdana" w:hAnsi="Verdana" w:cs="Times New Roman"/>
        </w:rPr>
        <w:t>,</w:t>
      </w:r>
      <w:r w:rsidRPr="00EE4D50">
        <w:rPr>
          <w:rFonts w:ascii="Verdana" w:hAnsi="Verdana" w:cs="Times New Roman"/>
        </w:rPr>
        <w:t xml:space="preserve"> con indicadores como su participación en el PIB, formación bruta de capital fijo y empleo generado. Después, se revisa brevemente casos del sector automotor en la región. Luego, se revisa a las principales medidas gubernamentales que afectaron al sector automotriz del Ecuador entre los años 2011 y 2015. Se finaliza el capítulo con un análisis FODA y un diagnóstico de la situación actual de este sector que se encuentra en recesión, sus causas y acciones de política económica que permitan aprovechar sus potencialidades. Esta última parte contiene puntos de vista respecto a una política industrial a favor del sector automotriz de parte de actores relacionados con el sector: i) entrevista al economista David Molina, Director Ejecutivo de la Cámara de la Industria Automotriz Ecuatoriana (CINAE), y ii) propuestas de políticas industriales que promueve la Comisión de Políticas Industriales de la CINAE.</w:t>
      </w:r>
    </w:p>
    <w:p w:rsidR="00440F86" w:rsidRPr="00EE4D50" w:rsidRDefault="00440F86" w:rsidP="00EC63DA">
      <w:pPr>
        <w:spacing w:after="60"/>
        <w:jc w:val="both"/>
        <w:rPr>
          <w:rFonts w:ascii="Verdana" w:hAnsi="Verdana" w:cs="Times New Roman"/>
        </w:rPr>
      </w:pPr>
    </w:p>
    <w:p w:rsidR="00440F86" w:rsidRPr="00EE4D50" w:rsidRDefault="00440F86" w:rsidP="00EC63DA">
      <w:pPr>
        <w:spacing w:after="60"/>
        <w:jc w:val="both"/>
        <w:rPr>
          <w:rFonts w:ascii="Verdana" w:hAnsi="Verdana" w:cs="Times New Roman"/>
        </w:rPr>
      </w:pPr>
      <w:r w:rsidRPr="00EE4D50">
        <w:rPr>
          <w:rFonts w:ascii="Verdana" w:hAnsi="Verdana" w:cs="Times New Roman"/>
        </w:rPr>
        <w:t>Por último, se presentan las conclusiones derivadas de la investigación. Las principales son: i) La industria automotriz ecuatoriana posee gran potencial de desarrollo, convirtiéndola en un sector estratégico para la matriz productiva del país, pero se encuentra ante el desafío de mantener una sostenibilidad en su negocio debido al ambiente de restricciones de importaciones que enfrenta. ii) Las medidas y reformas impuestas por el gobierno en materia tributaria y comercial han afectado a la producción de las ensambladoras y a las ventas de vehículos en el mercado; y en consecuencia, los consumidores se ven afectados por adquirir vehículos; y iii) es necesario que haya una efectiva protección a las ensambladoras y autopartistas a través de un esquema arancelario que permita mayor escala de producción vehicular con mayor incorporación de partes y piezas de fabricación nacional.</w:t>
      </w:r>
    </w:p>
    <w:p w:rsidR="00261705" w:rsidRPr="00EE4D50" w:rsidRDefault="00261705" w:rsidP="00EC63DA">
      <w:pPr>
        <w:spacing w:after="60"/>
        <w:jc w:val="both"/>
        <w:rPr>
          <w:rFonts w:ascii="Verdana" w:hAnsi="Verdana" w:cs="Times New Roman"/>
        </w:rPr>
      </w:pPr>
    </w:p>
    <w:p w:rsidR="00261705" w:rsidRPr="00EE4D50" w:rsidRDefault="00261705" w:rsidP="00EC63DA">
      <w:pPr>
        <w:spacing w:after="60"/>
        <w:jc w:val="both"/>
        <w:rPr>
          <w:rFonts w:ascii="Verdana" w:hAnsi="Verdana" w:cs="Times New Roman"/>
        </w:rPr>
      </w:pPr>
    </w:p>
    <w:p w:rsidR="00261705" w:rsidRPr="00EE4D50" w:rsidRDefault="00261705" w:rsidP="00EC63DA">
      <w:pPr>
        <w:spacing w:after="60"/>
        <w:jc w:val="both"/>
        <w:rPr>
          <w:rFonts w:ascii="Verdana" w:hAnsi="Verdana" w:cs="Times New Roman"/>
        </w:rPr>
      </w:pPr>
    </w:p>
    <w:p w:rsidR="00440F86" w:rsidRPr="00EE4D50" w:rsidRDefault="00440F86" w:rsidP="00EC63DA">
      <w:pPr>
        <w:spacing w:after="60"/>
        <w:jc w:val="both"/>
        <w:rPr>
          <w:rFonts w:ascii="Verdana" w:hAnsi="Verdana" w:cs="Times New Roman"/>
        </w:rPr>
      </w:pPr>
    </w:p>
    <w:p w:rsidR="00440F86" w:rsidRPr="00EE4D50" w:rsidRDefault="00440F86" w:rsidP="00EC63DA">
      <w:pPr>
        <w:spacing w:after="60"/>
        <w:jc w:val="both"/>
        <w:rPr>
          <w:rFonts w:ascii="Verdana" w:hAnsi="Verdana" w:cs="Times New Roman"/>
        </w:rPr>
      </w:pPr>
    </w:p>
    <w:p w:rsidR="00261705" w:rsidRPr="00EE4D50" w:rsidRDefault="00261705" w:rsidP="00EC63DA">
      <w:pPr>
        <w:spacing w:after="60"/>
        <w:jc w:val="both"/>
        <w:rPr>
          <w:rFonts w:ascii="Verdana" w:hAnsi="Verdana" w:cs="Times New Roman"/>
        </w:rPr>
      </w:pPr>
    </w:p>
    <w:p w:rsidR="00BB3D26" w:rsidRPr="00E8274D" w:rsidRDefault="00BB3D26" w:rsidP="00EC63DA">
      <w:pPr>
        <w:pStyle w:val="Ttulo1"/>
        <w:jc w:val="center"/>
        <w:rPr>
          <w:rFonts w:ascii="Verdana" w:hAnsi="Verdana" w:cs="Times New Roman"/>
          <w:i/>
          <w:color w:val="000000" w:themeColor="text1"/>
          <w:sz w:val="32"/>
          <w:szCs w:val="36"/>
        </w:rPr>
      </w:pPr>
      <w:bookmarkStart w:id="3" w:name="_Toc485137178"/>
      <w:r w:rsidRPr="00E8274D">
        <w:rPr>
          <w:rFonts w:ascii="Verdana" w:hAnsi="Verdana" w:cs="Times New Roman"/>
          <w:i/>
          <w:color w:val="000000" w:themeColor="text1"/>
          <w:sz w:val="32"/>
          <w:szCs w:val="36"/>
        </w:rPr>
        <w:lastRenderedPageBreak/>
        <w:t>Metodología del trabajo</w:t>
      </w:r>
      <w:bookmarkEnd w:id="3"/>
    </w:p>
    <w:p w:rsidR="00237C1C" w:rsidRPr="00237C1C" w:rsidRDefault="00237C1C" w:rsidP="00EC63DA">
      <w:pPr>
        <w:spacing w:after="60"/>
        <w:jc w:val="center"/>
        <w:rPr>
          <w:rFonts w:ascii="Verdana" w:hAnsi="Verdana" w:cs="Times New Roman"/>
          <w:b/>
          <w:i/>
          <w:sz w:val="20"/>
        </w:rPr>
      </w:pPr>
    </w:p>
    <w:p w:rsidR="00197CDD" w:rsidRPr="00E8274D" w:rsidRDefault="00197CDD" w:rsidP="00EC63DA">
      <w:pPr>
        <w:pStyle w:val="Ttulo2"/>
        <w:rPr>
          <w:rFonts w:cs="Times New Roman"/>
        </w:rPr>
      </w:pPr>
      <w:bookmarkStart w:id="4" w:name="_Toc485137179"/>
      <w:r w:rsidRPr="00E8274D">
        <w:rPr>
          <w:rFonts w:cs="Times New Roman"/>
        </w:rPr>
        <w:t>Pregunta general:</w:t>
      </w:r>
      <w:bookmarkEnd w:id="4"/>
    </w:p>
    <w:p w:rsidR="00197CDD" w:rsidRDefault="00197CDD" w:rsidP="00EC63DA">
      <w:pPr>
        <w:pStyle w:val="NormalWeb"/>
        <w:spacing w:after="60" w:afterAutospacing="0" w:line="276" w:lineRule="auto"/>
        <w:jc w:val="both"/>
        <w:rPr>
          <w:rFonts w:ascii="Verdana" w:eastAsiaTheme="minorHAnsi" w:hAnsi="Verdana" w:cstheme="minorBidi"/>
          <w:sz w:val="22"/>
          <w:szCs w:val="22"/>
          <w:lang w:eastAsia="en-US"/>
        </w:rPr>
      </w:pPr>
      <w:r w:rsidRPr="00197CDD">
        <w:rPr>
          <w:rFonts w:ascii="Verdana" w:eastAsiaTheme="minorHAnsi" w:hAnsi="Verdana" w:cstheme="minorBidi"/>
          <w:sz w:val="22"/>
          <w:szCs w:val="22"/>
          <w:lang w:eastAsia="en-US"/>
        </w:rPr>
        <w:t>¿Cómo ha sido el comportamiento del ciclo económico del sector automotriz ecuatoriano?</w:t>
      </w:r>
    </w:p>
    <w:p w:rsidR="00E8274D" w:rsidRPr="00197CDD" w:rsidRDefault="00E8274D" w:rsidP="00EC63DA">
      <w:pPr>
        <w:pStyle w:val="NormalWeb"/>
        <w:spacing w:after="60" w:afterAutospacing="0" w:line="276" w:lineRule="auto"/>
        <w:jc w:val="both"/>
        <w:rPr>
          <w:rFonts w:ascii="Verdana" w:eastAsiaTheme="minorHAnsi" w:hAnsi="Verdana" w:cstheme="minorBidi"/>
          <w:sz w:val="22"/>
          <w:szCs w:val="22"/>
          <w:lang w:eastAsia="en-US"/>
        </w:rPr>
      </w:pPr>
    </w:p>
    <w:p w:rsidR="00197CDD" w:rsidRPr="00197CDD" w:rsidRDefault="00197CDD" w:rsidP="00EC63DA">
      <w:pPr>
        <w:pStyle w:val="Ttulo2"/>
      </w:pPr>
      <w:bookmarkStart w:id="5" w:name="_Toc485137180"/>
      <w:r w:rsidRPr="00197CDD">
        <w:t>Preguntas específicas:</w:t>
      </w:r>
      <w:bookmarkEnd w:id="5"/>
    </w:p>
    <w:p w:rsidR="00197CDD" w:rsidRPr="00197CDD" w:rsidRDefault="00197CDD" w:rsidP="00EC63DA">
      <w:pPr>
        <w:pStyle w:val="NormalWeb"/>
        <w:numPr>
          <w:ilvl w:val="0"/>
          <w:numId w:val="30"/>
        </w:numPr>
        <w:spacing w:after="60" w:afterAutospacing="0" w:line="276" w:lineRule="auto"/>
        <w:ind w:left="714" w:hanging="357"/>
        <w:jc w:val="both"/>
        <w:rPr>
          <w:rFonts w:ascii="Verdana" w:eastAsiaTheme="minorHAnsi" w:hAnsi="Verdana" w:cstheme="minorBidi"/>
          <w:sz w:val="22"/>
          <w:szCs w:val="22"/>
          <w:lang w:eastAsia="en-US"/>
        </w:rPr>
      </w:pPr>
      <w:r w:rsidRPr="00197CDD">
        <w:rPr>
          <w:rFonts w:ascii="Verdana" w:eastAsiaTheme="minorHAnsi" w:hAnsi="Verdana" w:cstheme="minorBidi"/>
          <w:sz w:val="22"/>
          <w:szCs w:val="22"/>
          <w:lang w:eastAsia="en-US"/>
        </w:rPr>
        <w:t>¿Cuál ha sido el desenvolvimiento histórico del sector automotriz en Ecuador?</w:t>
      </w:r>
    </w:p>
    <w:p w:rsidR="00197CDD" w:rsidRPr="00197CDD" w:rsidRDefault="00197CDD" w:rsidP="00EC63DA">
      <w:pPr>
        <w:pStyle w:val="NormalWeb"/>
        <w:numPr>
          <w:ilvl w:val="0"/>
          <w:numId w:val="30"/>
        </w:numPr>
        <w:spacing w:after="60" w:afterAutospacing="0" w:line="276" w:lineRule="auto"/>
        <w:ind w:left="714" w:hanging="357"/>
        <w:jc w:val="both"/>
        <w:rPr>
          <w:rFonts w:ascii="Verdana" w:eastAsiaTheme="minorHAnsi" w:hAnsi="Verdana" w:cstheme="minorBidi"/>
          <w:sz w:val="22"/>
          <w:szCs w:val="22"/>
          <w:lang w:eastAsia="en-US"/>
        </w:rPr>
      </w:pPr>
      <w:r w:rsidRPr="00197CDD">
        <w:rPr>
          <w:rFonts w:ascii="Verdana" w:eastAsiaTheme="minorHAnsi" w:hAnsi="Verdana" w:cstheme="minorBidi"/>
          <w:sz w:val="22"/>
          <w:szCs w:val="22"/>
          <w:lang w:eastAsia="en-US"/>
        </w:rPr>
        <w:t>¿Cómo ha sido el comportamiento del mercado automotor ecuatoriano con la implementación del esquema monetario de la dolarización?</w:t>
      </w:r>
    </w:p>
    <w:p w:rsidR="00E8274D" w:rsidRDefault="00197CDD" w:rsidP="00EC63DA">
      <w:pPr>
        <w:pStyle w:val="NormalWeb"/>
        <w:numPr>
          <w:ilvl w:val="0"/>
          <w:numId w:val="30"/>
        </w:numPr>
        <w:spacing w:after="60" w:afterAutospacing="0" w:line="276" w:lineRule="auto"/>
        <w:ind w:left="714" w:hanging="357"/>
        <w:jc w:val="both"/>
        <w:rPr>
          <w:rFonts w:ascii="Verdana" w:eastAsiaTheme="minorHAnsi" w:hAnsi="Verdana" w:cstheme="minorBidi"/>
          <w:sz w:val="22"/>
          <w:szCs w:val="22"/>
          <w:lang w:eastAsia="en-US"/>
        </w:rPr>
      </w:pPr>
      <w:r w:rsidRPr="00197CDD">
        <w:rPr>
          <w:rFonts w:ascii="Verdana" w:eastAsiaTheme="minorHAnsi" w:hAnsi="Verdana" w:cstheme="minorBidi"/>
          <w:sz w:val="22"/>
          <w:szCs w:val="22"/>
          <w:lang w:eastAsia="en-US"/>
        </w:rPr>
        <w:t>¿Cuál es el estado del sector automotriz ecuatoriano en función de sus oportunidades y amenazas para promover políticas industriales que impulsen su productividad?</w:t>
      </w:r>
    </w:p>
    <w:p w:rsidR="00E8274D" w:rsidRPr="00E8274D" w:rsidRDefault="00E8274D" w:rsidP="00EC63DA">
      <w:pPr>
        <w:pStyle w:val="NormalWeb"/>
        <w:spacing w:before="0" w:beforeAutospacing="0" w:after="60" w:afterAutospacing="0" w:line="276" w:lineRule="auto"/>
        <w:ind w:left="714"/>
        <w:jc w:val="both"/>
        <w:rPr>
          <w:rFonts w:ascii="Verdana" w:eastAsiaTheme="minorHAnsi" w:hAnsi="Verdana" w:cstheme="minorBidi"/>
          <w:sz w:val="22"/>
          <w:szCs w:val="22"/>
          <w:lang w:eastAsia="en-US"/>
        </w:rPr>
      </w:pPr>
    </w:p>
    <w:p w:rsidR="00197CDD" w:rsidRDefault="00197CDD" w:rsidP="00EC63DA">
      <w:pPr>
        <w:pStyle w:val="Ttulo2"/>
      </w:pPr>
      <w:bookmarkStart w:id="6" w:name="_Toc485137181"/>
      <w:r w:rsidRPr="00197CDD">
        <w:t>Objetivo general:</w:t>
      </w:r>
      <w:bookmarkEnd w:id="6"/>
    </w:p>
    <w:p w:rsidR="00197CDD" w:rsidRPr="00197CDD" w:rsidRDefault="00197CDD" w:rsidP="00EC63DA">
      <w:pPr>
        <w:pStyle w:val="NormalWeb"/>
        <w:spacing w:before="0" w:beforeAutospacing="0" w:after="60" w:afterAutospacing="0" w:line="276" w:lineRule="auto"/>
        <w:jc w:val="both"/>
        <w:rPr>
          <w:rFonts w:ascii="Verdana" w:eastAsiaTheme="minorHAnsi" w:hAnsi="Verdana" w:cstheme="minorBidi"/>
          <w:b/>
          <w:sz w:val="22"/>
          <w:szCs w:val="22"/>
          <w:lang w:eastAsia="en-US"/>
        </w:rPr>
      </w:pPr>
    </w:p>
    <w:p w:rsidR="00197CDD" w:rsidRDefault="00197CDD" w:rsidP="00EC63DA">
      <w:pPr>
        <w:pStyle w:val="NormalWeb"/>
        <w:spacing w:before="0" w:beforeAutospacing="0" w:after="60" w:afterAutospacing="0" w:line="276" w:lineRule="auto"/>
        <w:jc w:val="both"/>
        <w:rPr>
          <w:rFonts w:ascii="Verdana" w:hAnsi="Verdana"/>
          <w:sz w:val="22"/>
          <w:szCs w:val="22"/>
        </w:rPr>
      </w:pPr>
      <w:r w:rsidRPr="00197CDD">
        <w:rPr>
          <w:rFonts w:ascii="Verdana" w:hAnsi="Verdana"/>
          <w:sz w:val="22"/>
          <w:szCs w:val="22"/>
        </w:rPr>
        <w:t>Analizar al ciclo económico del sector automotriz ecuatoriano</w:t>
      </w:r>
    </w:p>
    <w:p w:rsidR="00E8274D" w:rsidRPr="00197CDD" w:rsidRDefault="00E8274D" w:rsidP="00EC63DA">
      <w:pPr>
        <w:pStyle w:val="NormalWeb"/>
        <w:spacing w:before="0" w:beforeAutospacing="0" w:after="60" w:afterAutospacing="0" w:line="276" w:lineRule="auto"/>
        <w:jc w:val="both"/>
        <w:rPr>
          <w:rFonts w:ascii="Verdana" w:hAnsi="Verdana"/>
          <w:sz w:val="22"/>
          <w:szCs w:val="22"/>
        </w:rPr>
      </w:pPr>
    </w:p>
    <w:p w:rsidR="00197CDD" w:rsidRPr="00197CDD" w:rsidRDefault="00197CDD" w:rsidP="00EC63DA">
      <w:pPr>
        <w:pStyle w:val="Ttulo2"/>
      </w:pPr>
      <w:bookmarkStart w:id="7" w:name="_Toc485137182"/>
      <w:r w:rsidRPr="00197CDD">
        <w:t>Objetivos específicos:</w:t>
      </w:r>
      <w:bookmarkEnd w:id="7"/>
    </w:p>
    <w:p w:rsidR="00197CDD" w:rsidRPr="00197CDD" w:rsidRDefault="00197CDD" w:rsidP="00EC63DA">
      <w:pPr>
        <w:pStyle w:val="NormalWeb"/>
        <w:numPr>
          <w:ilvl w:val="0"/>
          <w:numId w:val="30"/>
        </w:numPr>
        <w:spacing w:after="60" w:afterAutospacing="0" w:line="276" w:lineRule="auto"/>
        <w:ind w:left="714" w:hanging="357"/>
        <w:jc w:val="both"/>
        <w:rPr>
          <w:rFonts w:ascii="Verdana" w:eastAsiaTheme="minorHAnsi" w:hAnsi="Verdana" w:cstheme="minorBidi"/>
          <w:sz w:val="22"/>
          <w:szCs w:val="22"/>
          <w:lang w:eastAsia="en-US"/>
        </w:rPr>
      </w:pPr>
      <w:r w:rsidRPr="00197CDD">
        <w:rPr>
          <w:rFonts w:ascii="Verdana" w:eastAsiaTheme="minorHAnsi" w:hAnsi="Verdana" w:cstheme="minorBidi"/>
          <w:sz w:val="22"/>
          <w:szCs w:val="22"/>
          <w:lang w:eastAsia="en-US"/>
        </w:rPr>
        <w:t>Caracterizar el desenvolvimiento histórico del sector automotriz en Ecuador</w:t>
      </w:r>
    </w:p>
    <w:p w:rsidR="00197CDD" w:rsidRPr="00197CDD" w:rsidRDefault="00197CDD" w:rsidP="00EC63DA">
      <w:pPr>
        <w:pStyle w:val="NormalWeb"/>
        <w:numPr>
          <w:ilvl w:val="0"/>
          <w:numId w:val="30"/>
        </w:numPr>
        <w:spacing w:after="60" w:afterAutospacing="0" w:line="276" w:lineRule="auto"/>
        <w:ind w:left="714" w:hanging="357"/>
        <w:jc w:val="both"/>
        <w:rPr>
          <w:rFonts w:ascii="Verdana" w:eastAsiaTheme="minorHAnsi" w:hAnsi="Verdana" w:cstheme="minorBidi"/>
          <w:sz w:val="22"/>
          <w:szCs w:val="22"/>
          <w:lang w:eastAsia="en-US"/>
        </w:rPr>
      </w:pPr>
      <w:r w:rsidRPr="00197CDD">
        <w:rPr>
          <w:rFonts w:ascii="Verdana" w:eastAsiaTheme="minorHAnsi" w:hAnsi="Verdana" w:cstheme="minorBidi"/>
          <w:sz w:val="22"/>
          <w:szCs w:val="22"/>
          <w:lang w:eastAsia="en-US"/>
        </w:rPr>
        <w:t>Analizar al mercado automotor ecuatoriano con la implementación del esquema monetario de la dolarización</w:t>
      </w:r>
    </w:p>
    <w:p w:rsidR="00197CDD" w:rsidRPr="00197CDD" w:rsidRDefault="00197CDD" w:rsidP="00EC63DA">
      <w:pPr>
        <w:pStyle w:val="NormalWeb"/>
        <w:numPr>
          <w:ilvl w:val="0"/>
          <w:numId w:val="30"/>
        </w:numPr>
        <w:spacing w:after="60" w:afterAutospacing="0" w:line="276" w:lineRule="auto"/>
        <w:ind w:left="714" w:hanging="357"/>
        <w:jc w:val="both"/>
        <w:rPr>
          <w:rFonts w:ascii="Verdana" w:eastAsiaTheme="minorHAnsi" w:hAnsi="Verdana" w:cstheme="minorBidi"/>
          <w:sz w:val="22"/>
          <w:szCs w:val="22"/>
          <w:lang w:eastAsia="en-US"/>
        </w:rPr>
      </w:pPr>
      <w:r w:rsidRPr="00197CDD">
        <w:rPr>
          <w:rFonts w:ascii="Verdana" w:eastAsiaTheme="minorHAnsi" w:hAnsi="Verdana" w:cstheme="minorBidi"/>
          <w:sz w:val="22"/>
          <w:szCs w:val="22"/>
          <w:lang w:eastAsia="en-US"/>
        </w:rPr>
        <w:t>Elaborar un análisis situacional del sector automotriz ecuatoriano en función de sus oportunidades y amenazas para promover políticas industriales que impulsen su productividad.</w:t>
      </w:r>
    </w:p>
    <w:p w:rsidR="00197CDD" w:rsidRPr="00197CDD" w:rsidRDefault="00197CDD" w:rsidP="00EC63DA">
      <w:pPr>
        <w:jc w:val="both"/>
        <w:rPr>
          <w:rFonts w:ascii="Verdana" w:hAnsi="Verdana"/>
        </w:rPr>
      </w:pPr>
    </w:p>
    <w:p w:rsidR="00197CDD" w:rsidRPr="00197CDD" w:rsidRDefault="00197CDD" w:rsidP="00EC63DA">
      <w:pPr>
        <w:pStyle w:val="Ttulo2"/>
      </w:pPr>
      <w:bookmarkStart w:id="8" w:name="_Toc485137183"/>
      <w:r w:rsidRPr="00197CDD">
        <w:t>Tipo de investigación</w:t>
      </w:r>
      <w:bookmarkEnd w:id="8"/>
    </w:p>
    <w:p w:rsidR="00C76E8B" w:rsidRDefault="00197CDD" w:rsidP="00EC63DA">
      <w:pPr>
        <w:pStyle w:val="NormalWeb"/>
        <w:spacing w:after="60" w:afterAutospacing="0" w:line="276" w:lineRule="auto"/>
        <w:jc w:val="both"/>
        <w:rPr>
          <w:rFonts w:ascii="Verdana" w:eastAsiaTheme="minorHAnsi" w:hAnsi="Verdana" w:cstheme="minorBidi"/>
          <w:sz w:val="22"/>
          <w:szCs w:val="22"/>
          <w:lang w:eastAsia="en-US"/>
        </w:rPr>
      </w:pPr>
      <w:r w:rsidRPr="00197CDD">
        <w:rPr>
          <w:rFonts w:ascii="Verdana" w:eastAsiaTheme="minorHAnsi" w:hAnsi="Verdana" w:cstheme="minorBidi"/>
          <w:sz w:val="22"/>
          <w:szCs w:val="22"/>
          <w:lang w:eastAsia="en-US"/>
        </w:rPr>
        <w:t>La investigación es de tipo descriptiva-explicativa porque se caracterizó al perfil del sector automotriz ecuatoriano, con especial énfasis en el ensamblaje de vehículos, puesto que impulsa un potencial desarrollo para la fabricación de productos nacionales por parte de los autopartistas; y en consecuencia, se aumente y diversifique la producción que contenga significativo valor agregado con el objetivo de notar que este sector aporta significativamente a la matriz productiva del país con posibilidad de sustitución de importaciones.</w:t>
      </w:r>
    </w:p>
    <w:p w:rsidR="00197CDD" w:rsidRPr="00E8274D" w:rsidRDefault="00197CDD" w:rsidP="00EC63DA">
      <w:pPr>
        <w:pStyle w:val="Ttulo2"/>
        <w:rPr>
          <w:rFonts w:eastAsiaTheme="minorHAnsi" w:cstheme="minorBidi"/>
          <w:sz w:val="22"/>
          <w:szCs w:val="22"/>
        </w:rPr>
      </w:pPr>
      <w:bookmarkStart w:id="9" w:name="_Toc485137184"/>
      <w:r w:rsidRPr="00197CDD">
        <w:lastRenderedPageBreak/>
        <w:t>Procedimiento metodológico</w:t>
      </w:r>
      <w:bookmarkEnd w:id="9"/>
    </w:p>
    <w:p w:rsidR="00197CDD" w:rsidRPr="00197CDD" w:rsidRDefault="00197CDD" w:rsidP="00EC63DA">
      <w:pPr>
        <w:pStyle w:val="NormalWeb"/>
        <w:spacing w:after="60" w:afterAutospacing="0" w:line="276" w:lineRule="auto"/>
        <w:jc w:val="both"/>
        <w:rPr>
          <w:rFonts w:ascii="Verdana" w:eastAsiaTheme="minorHAnsi" w:hAnsi="Verdana" w:cstheme="minorBidi"/>
          <w:sz w:val="22"/>
          <w:szCs w:val="22"/>
          <w:lang w:eastAsia="en-US"/>
        </w:rPr>
      </w:pPr>
      <w:r w:rsidRPr="00197CDD">
        <w:rPr>
          <w:rFonts w:ascii="Verdana" w:eastAsiaTheme="minorHAnsi" w:hAnsi="Verdana" w:cstheme="minorBidi"/>
          <w:sz w:val="22"/>
          <w:szCs w:val="22"/>
          <w:lang w:eastAsia="en-US"/>
        </w:rPr>
        <w:t>La fundamentación teórica se realizó en base a un análisis documental. La recolección de información provino de fuentes secundarias como son los textos y documentos concernientes a los conceptos de especialización y ventaja comparativa como medios de crear riqueza para las naciones. Estos temas provienen de los economistas clásicos como Adam Smith y David Ricardo. Luego, se acude a un concepto de la ventaja competitiva de parte de un autor contemporáneo como Michael Porter. Con estos elementos básicos, se escogió a la escuela estructuralista, con Prebisch como su principal precursor, porque promueve a la sustitución de importaciones que las economías de la región latinoamericana pueden producir localmente.</w:t>
      </w:r>
    </w:p>
    <w:p w:rsidR="00197CDD" w:rsidRPr="00197CDD" w:rsidRDefault="00197CDD" w:rsidP="00EC63DA">
      <w:pPr>
        <w:pStyle w:val="NormalWeb"/>
        <w:spacing w:after="60" w:afterAutospacing="0" w:line="276" w:lineRule="auto"/>
        <w:jc w:val="both"/>
        <w:rPr>
          <w:rFonts w:ascii="Verdana" w:eastAsiaTheme="minorHAnsi" w:hAnsi="Verdana" w:cstheme="minorBidi"/>
          <w:sz w:val="22"/>
          <w:szCs w:val="22"/>
          <w:lang w:eastAsia="en-US"/>
        </w:rPr>
      </w:pPr>
      <w:r w:rsidRPr="00197CDD">
        <w:rPr>
          <w:rFonts w:ascii="Verdana" w:eastAsiaTheme="minorHAnsi" w:hAnsi="Verdana" w:cstheme="minorBidi"/>
          <w:sz w:val="22"/>
          <w:szCs w:val="22"/>
          <w:lang w:eastAsia="en-US"/>
        </w:rPr>
        <w:t>El primer capítulo que comprende a la historia del sector automotriz desde sus inicios en la década de los setentas, cuando se ensambló el primer vehículo en el país, hasta el inicio del esquema monetario de la dolarización. A esta fase se la considera como de desarrollo del sector ensamblador de vehículos. Esta parte de la investigación se elaboró en base a un análisis documental proveniente de fuentes secundarias.</w:t>
      </w:r>
    </w:p>
    <w:p w:rsidR="00197CDD" w:rsidRPr="00197CDD" w:rsidRDefault="00197CDD" w:rsidP="00EC63DA">
      <w:pPr>
        <w:pStyle w:val="NormalWeb"/>
        <w:spacing w:after="60" w:afterAutospacing="0" w:line="276" w:lineRule="auto"/>
        <w:jc w:val="both"/>
        <w:rPr>
          <w:rFonts w:ascii="Verdana" w:eastAsiaTheme="minorHAnsi" w:hAnsi="Verdana" w:cstheme="minorBidi"/>
          <w:sz w:val="22"/>
          <w:szCs w:val="22"/>
          <w:lang w:eastAsia="en-US"/>
        </w:rPr>
      </w:pPr>
      <w:r w:rsidRPr="00197CDD">
        <w:rPr>
          <w:rFonts w:ascii="Verdana" w:eastAsiaTheme="minorHAnsi" w:hAnsi="Verdana" w:cstheme="minorBidi"/>
          <w:sz w:val="22"/>
          <w:szCs w:val="22"/>
          <w:lang w:eastAsia="en-US"/>
        </w:rPr>
        <w:t>El segundo capítulo que corresponde al análisis del mercado de vehículos, a partir del tercer año de vigencia de la dolarización, se basó en fuentes secundarias que aportaron con información relevante y estadísticas que se encuentran en los anuarios de la Asociación de Empresas Automotrices del Ecuador (AEADE) publicados en su página web. También, se tomó en cuenta a artículos económicos especializados en la materia por parte de Proecuador, Ekos y Líderes.</w:t>
      </w:r>
    </w:p>
    <w:p w:rsidR="00197CDD" w:rsidRPr="00197CDD" w:rsidRDefault="00197CDD" w:rsidP="00EC63DA">
      <w:pPr>
        <w:pStyle w:val="NormalWeb"/>
        <w:spacing w:after="60" w:afterAutospacing="0" w:line="276" w:lineRule="auto"/>
        <w:jc w:val="both"/>
        <w:rPr>
          <w:rFonts w:ascii="Verdana" w:eastAsiaTheme="minorHAnsi" w:hAnsi="Verdana" w:cstheme="minorBidi"/>
          <w:sz w:val="22"/>
          <w:szCs w:val="22"/>
          <w:lang w:eastAsia="en-US"/>
        </w:rPr>
      </w:pPr>
      <w:r w:rsidRPr="00197CDD">
        <w:rPr>
          <w:rFonts w:ascii="Verdana" w:eastAsiaTheme="minorHAnsi" w:hAnsi="Verdana" w:cstheme="minorBidi"/>
          <w:sz w:val="22"/>
          <w:szCs w:val="22"/>
          <w:lang w:eastAsia="en-US"/>
        </w:rPr>
        <w:t xml:space="preserve">En el tercer capítulo dedicado al estudio temporal más importante de la investigación entre los años 2011 y 2015, considerado como una etapa de auge y luego de recesión, se empleó un análisis documental y estadístico. Se hizo una interpretación sobre la importancia que tiene el sector automotriz en la economía ecuatoriana y las principales medidas gubernamentales que se le han impuesto, con el objetivo de elaborar un análisis FODA y un diagnóstico de su situación actual nutrido con puntos de vista por parte de actores que se relacionan directamente con este sector. </w:t>
      </w:r>
    </w:p>
    <w:p w:rsidR="00197CDD" w:rsidRPr="00197CDD" w:rsidRDefault="00197CDD" w:rsidP="00EC63DA">
      <w:pPr>
        <w:pStyle w:val="NormalWeb"/>
        <w:spacing w:after="60" w:afterAutospacing="0" w:line="276" w:lineRule="auto"/>
        <w:jc w:val="both"/>
        <w:rPr>
          <w:rFonts w:ascii="Verdana" w:eastAsiaTheme="minorHAnsi" w:hAnsi="Verdana" w:cstheme="minorBidi"/>
          <w:sz w:val="22"/>
          <w:szCs w:val="22"/>
          <w:lang w:eastAsia="en-US"/>
        </w:rPr>
      </w:pPr>
    </w:p>
    <w:p w:rsidR="00197CDD" w:rsidRPr="00197CDD" w:rsidRDefault="00197CDD" w:rsidP="00EC63DA">
      <w:pPr>
        <w:pStyle w:val="Ttulo2"/>
      </w:pPr>
      <w:bookmarkStart w:id="10" w:name="_Toc485137185"/>
      <w:r w:rsidRPr="00197CDD">
        <w:t>Fuentes de información</w:t>
      </w:r>
      <w:bookmarkEnd w:id="10"/>
    </w:p>
    <w:p w:rsidR="00197CDD" w:rsidRPr="00197CDD" w:rsidRDefault="00197CDD" w:rsidP="00EC63DA">
      <w:pPr>
        <w:pStyle w:val="NormalWeb"/>
        <w:spacing w:after="60" w:afterAutospacing="0" w:line="276" w:lineRule="auto"/>
        <w:jc w:val="both"/>
        <w:rPr>
          <w:rFonts w:ascii="Verdana" w:eastAsiaTheme="minorHAnsi" w:hAnsi="Verdana" w:cstheme="minorBidi"/>
          <w:sz w:val="22"/>
          <w:szCs w:val="22"/>
          <w:lang w:eastAsia="en-US"/>
        </w:rPr>
      </w:pPr>
      <w:r w:rsidRPr="00197CDD">
        <w:rPr>
          <w:rFonts w:ascii="Verdana" w:eastAsiaTheme="minorHAnsi" w:hAnsi="Verdana" w:cstheme="minorBidi"/>
          <w:sz w:val="22"/>
          <w:szCs w:val="22"/>
          <w:lang w:eastAsia="en-US"/>
        </w:rPr>
        <w:t>Las fuentes de información primaria fueron:</w:t>
      </w:r>
    </w:p>
    <w:p w:rsidR="00197CDD" w:rsidRPr="00197CDD" w:rsidRDefault="00197CDD" w:rsidP="00EC63DA">
      <w:pPr>
        <w:pStyle w:val="NormalWeb"/>
        <w:spacing w:after="60" w:afterAutospacing="0" w:line="276" w:lineRule="auto"/>
        <w:jc w:val="both"/>
        <w:rPr>
          <w:rFonts w:ascii="Verdana" w:eastAsiaTheme="minorHAnsi" w:hAnsi="Verdana" w:cstheme="minorBidi"/>
          <w:sz w:val="22"/>
          <w:szCs w:val="22"/>
          <w:lang w:eastAsia="en-US"/>
        </w:rPr>
      </w:pPr>
      <w:r w:rsidRPr="00197CDD">
        <w:rPr>
          <w:rFonts w:ascii="Verdana" w:eastAsiaTheme="minorHAnsi" w:hAnsi="Verdana" w:cstheme="minorBidi"/>
          <w:sz w:val="22"/>
          <w:szCs w:val="22"/>
          <w:lang w:eastAsia="en-US"/>
        </w:rPr>
        <w:t xml:space="preserve">Entrevista al economista David Molina, Director Ejecutivo de la Cámara de la Industria Automotriz Ecuatoriana (CINAE), realizada el día 1 de junio de 2016 con el objetivo de conocer las perspectivas del sector automotriz. Y copia del </w:t>
      </w:r>
      <w:r w:rsidRPr="00197CDD">
        <w:rPr>
          <w:rFonts w:ascii="Verdana" w:eastAsiaTheme="minorHAnsi" w:hAnsi="Verdana" w:cstheme="minorBidi"/>
          <w:sz w:val="22"/>
          <w:szCs w:val="22"/>
          <w:lang w:eastAsia="en-US"/>
        </w:rPr>
        <w:lastRenderedPageBreak/>
        <w:t>oficio de la Comisión de Política Industrial de la CINAE dirigido al Ministro de Industrias y Productividad con el objetivo de conocer la posición de las empresas autopartistas nacionales sobre política industrial y sus propuestas a implementar.</w:t>
      </w:r>
    </w:p>
    <w:p w:rsidR="00197CDD" w:rsidRPr="00197CDD" w:rsidRDefault="00197CDD" w:rsidP="00EC63DA">
      <w:pPr>
        <w:pStyle w:val="NormalWeb"/>
        <w:spacing w:after="60" w:afterAutospacing="0" w:line="276" w:lineRule="auto"/>
        <w:jc w:val="both"/>
        <w:rPr>
          <w:rFonts w:ascii="Verdana" w:eastAsiaTheme="minorHAnsi" w:hAnsi="Verdana" w:cstheme="minorBidi"/>
          <w:sz w:val="22"/>
          <w:szCs w:val="22"/>
          <w:lang w:eastAsia="en-US"/>
        </w:rPr>
      </w:pPr>
      <w:r w:rsidRPr="00197CDD">
        <w:rPr>
          <w:rFonts w:ascii="Verdana" w:eastAsiaTheme="minorHAnsi" w:hAnsi="Verdana" w:cstheme="minorBidi"/>
          <w:sz w:val="22"/>
          <w:szCs w:val="22"/>
          <w:lang w:eastAsia="en-US"/>
        </w:rPr>
        <w:t xml:space="preserve">Las fuentes de información secundarias fueron: </w:t>
      </w:r>
    </w:p>
    <w:p w:rsidR="00197CDD" w:rsidRDefault="00197CDD" w:rsidP="00EC63DA">
      <w:pPr>
        <w:pStyle w:val="NormalWeb"/>
        <w:spacing w:after="60" w:afterAutospacing="0" w:line="276" w:lineRule="auto"/>
        <w:jc w:val="both"/>
        <w:rPr>
          <w:rFonts w:ascii="Verdana" w:eastAsiaTheme="minorHAnsi" w:hAnsi="Verdana" w:cstheme="minorBidi"/>
          <w:sz w:val="22"/>
          <w:szCs w:val="22"/>
          <w:lang w:eastAsia="en-US"/>
        </w:rPr>
      </w:pPr>
      <w:r w:rsidRPr="00197CDD">
        <w:rPr>
          <w:rFonts w:ascii="Verdana" w:eastAsiaTheme="minorHAnsi" w:hAnsi="Verdana" w:cstheme="minorBidi"/>
          <w:sz w:val="22"/>
          <w:szCs w:val="22"/>
          <w:lang w:eastAsia="en-US"/>
        </w:rPr>
        <w:t>Disertaciones de la Facultad de Economía de la PUCE: “Análisis del sector automotor ecuatoriano: período: 1997-2002” (Hidrobo, 2004), “La competitividad del sector automotriz frente a la apertura comercial, período 1990-1994” (Kleparnik, 1996) y “Determinantes del mercado importador y ensamblador de vehículos ecuatorianos, período 2002-2012” (Andrade, 2014). Páginas web de las ensambladoras de vehículos del país y de la CINAE. Anuarios y boletines de la AEADE a partir del año 2010 al 2017. Cuentas nacionales del BCE. Documento digital de Proecuador (2013) “Análisis del Sector Automotriz”, de Business Cost Management (2016) “Situación del sector automotriz ecuatoriano” y de “Revista CINAE a sus socios” números 11 y 12.</w:t>
      </w:r>
    </w:p>
    <w:p w:rsidR="00197CDD" w:rsidRPr="00197CDD" w:rsidRDefault="00197CDD" w:rsidP="00EC63DA">
      <w:pPr>
        <w:pStyle w:val="NormalWeb"/>
        <w:spacing w:after="60" w:afterAutospacing="0" w:line="276" w:lineRule="auto"/>
        <w:jc w:val="both"/>
        <w:rPr>
          <w:rFonts w:ascii="Verdana" w:eastAsiaTheme="minorHAnsi" w:hAnsi="Verdana" w:cstheme="minorBidi"/>
          <w:sz w:val="22"/>
          <w:szCs w:val="22"/>
          <w:lang w:eastAsia="en-US"/>
        </w:rPr>
      </w:pPr>
    </w:p>
    <w:p w:rsidR="00197CDD" w:rsidRDefault="00197CDD" w:rsidP="00EC63DA">
      <w:pPr>
        <w:pStyle w:val="Ttulo2"/>
      </w:pPr>
      <w:bookmarkStart w:id="11" w:name="_Toc485137186"/>
      <w:r w:rsidRPr="00197CDD">
        <w:t>Variables e indicadores</w:t>
      </w:r>
      <w:bookmarkEnd w:id="11"/>
    </w:p>
    <w:p w:rsidR="00E8274D" w:rsidRPr="00E8274D" w:rsidRDefault="00E8274D" w:rsidP="00EC63DA">
      <w:pPr>
        <w:spacing w:after="60"/>
        <w:rPr>
          <w:lang w:val="es-MX"/>
        </w:rPr>
      </w:pPr>
    </w:p>
    <w:tbl>
      <w:tblPr>
        <w:tblStyle w:val="Tablaconcuadrcula"/>
        <w:tblW w:w="0" w:type="auto"/>
        <w:tblLayout w:type="fixed"/>
        <w:tblLook w:val="04A0" w:firstRow="1" w:lastRow="0" w:firstColumn="1" w:lastColumn="0" w:noHBand="0" w:noVBand="1"/>
      </w:tblPr>
      <w:tblGrid>
        <w:gridCol w:w="1809"/>
        <w:gridCol w:w="1560"/>
        <w:gridCol w:w="3260"/>
        <w:gridCol w:w="2425"/>
      </w:tblGrid>
      <w:tr w:rsidR="00197CDD" w:rsidRPr="00E8274D" w:rsidTr="00E8274D">
        <w:tc>
          <w:tcPr>
            <w:tcW w:w="1809" w:type="dxa"/>
            <w:tcBorders>
              <w:top w:val="single" w:sz="4" w:space="0" w:color="auto"/>
              <w:left w:val="single" w:sz="4" w:space="0" w:color="auto"/>
              <w:bottom w:val="single" w:sz="4" w:space="0" w:color="auto"/>
              <w:right w:val="single" w:sz="4" w:space="0" w:color="auto"/>
            </w:tcBorders>
            <w:hideMark/>
          </w:tcPr>
          <w:p w:rsidR="00197CDD" w:rsidRPr="00E8274D" w:rsidRDefault="00197CDD" w:rsidP="00EC63DA">
            <w:pPr>
              <w:pStyle w:val="Textoindependiente"/>
              <w:contextualSpacing/>
              <w:jc w:val="center"/>
              <w:rPr>
                <w:rFonts w:ascii="Verdana" w:hAnsi="Verdana"/>
                <w:b/>
                <w:sz w:val="20"/>
                <w:szCs w:val="20"/>
              </w:rPr>
            </w:pPr>
            <w:r w:rsidRPr="00E8274D">
              <w:rPr>
                <w:rFonts w:ascii="Verdana" w:hAnsi="Verdana"/>
                <w:b/>
                <w:sz w:val="20"/>
                <w:szCs w:val="20"/>
              </w:rPr>
              <w:t>Objetivo</w:t>
            </w:r>
          </w:p>
        </w:tc>
        <w:tc>
          <w:tcPr>
            <w:tcW w:w="1560" w:type="dxa"/>
            <w:tcBorders>
              <w:top w:val="single" w:sz="4" w:space="0" w:color="auto"/>
              <w:left w:val="single" w:sz="4" w:space="0" w:color="auto"/>
              <w:bottom w:val="single" w:sz="4" w:space="0" w:color="auto"/>
              <w:right w:val="single" w:sz="4" w:space="0" w:color="auto"/>
            </w:tcBorders>
            <w:hideMark/>
          </w:tcPr>
          <w:p w:rsidR="00197CDD" w:rsidRPr="00E8274D" w:rsidRDefault="00197CDD" w:rsidP="00EC63DA">
            <w:pPr>
              <w:pStyle w:val="Textoindependiente"/>
              <w:contextualSpacing/>
              <w:jc w:val="center"/>
              <w:rPr>
                <w:rFonts w:ascii="Verdana" w:hAnsi="Verdana"/>
                <w:b/>
                <w:sz w:val="20"/>
                <w:szCs w:val="20"/>
              </w:rPr>
            </w:pPr>
            <w:r w:rsidRPr="00E8274D">
              <w:rPr>
                <w:rFonts w:ascii="Verdana" w:hAnsi="Verdana"/>
                <w:b/>
                <w:sz w:val="20"/>
                <w:szCs w:val="20"/>
              </w:rPr>
              <w:t>Variable</w:t>
            </w:r>
          </w:p>
        </w:tc>
        <w:tc>
          <w:tcPr>
            <w:tcW w:w="3260" w:type="dxa"/>
            <w:tcBorders>
              <w:top w:val="single" w:sz="4" w:space="0" w:color="auto"/>
              <w:left w:val="single" w:sz="4" w:space="0" w:color="auto"/>
              <w:bottom w:val="single" w:sz="4" w:space="0" w:color="auto"/>
              <w:right w:val="single" w:sz="4" w:space="0" w:color="auto"/>
            </w:tcBorders>
            <w:hideMark/>
          </w:tcPr>
          <w:p w:rsidR="00197CDD" w:rsidRPr="00E8274D" w:rsidRDefault="00197CDD" w:rsidP="00EC63DA">
            <w:pPr>
              <w:pStyle w:val="Textoindependiente"/>
              <w:contextualSpacing/>
              <w:jc w:val="center"/>
              <w:rPr>
                <w:rFonts w:ascii="Verdana" w:hAnsi="Verdana"/>
                <w:b/>
                <w:sz w:val="20"/>
                <w:szCs w:val="20"/>
              </w:rPr>
            </w:pPr>
            <w:r w:rsidRPr="00E8274D">
              <w:rPr>
                <w:rFonts w:ascii="Verdana" w:hAnsi="Verdana"/>
                <w:b/>
                <w:sz w:val="20"/>
                <w:szCs w:val="20"/>
              </w:rPr>
              <w:t>Indicadores</w:t>
            </w:r>
          </w:p>
        </w:tc>
        <w:tc>
          <w:tcPr>
            <w:tcW w:w="2425" w:type="dxa"/>
            <w:tcBorders>
              <w:top w:val="single" w:sz="4" w:space="0" w:color="auto"/>
              <w:left w:val="single" w:sz="4" w:space="0" w:color="auto"/>
              <w:bottom w:val="single" w:sz="4" w:space="0" w:color="auto"/>
              <w:right w:val="single" w:sz="4" w:space="0" w:color="auto"/>
            </w:tcBorders>
            <w:hideMark/>
          </w:tcPr>
          <w:p w:rsidR="00197CDD" w:rsidRPr="00E8274D" w:rsidRDefault="00197CDD" w:rsidP="00EC63DA">
            <w:pPr>
              <w:pStyle w:val="Textoindependiente"/>
              <w:contextualSpacing/>
              <w:jc w:val="center"/>
              <w:rPr>
                <w:rFonts w:ascii="Verdana" w:hAnsi="Verdana"/>
                <w:b/>
                <w:sz w:val="20"/>
                <w:szCs w:val="20"/>
              </w:rPr>
            </w:pPr>
            <w:r w:rsidRPr="00E8274D">
              <w:rPr>
                <w:rFonts w:ascii="Verdana" w:hAnsi="Verdana"/>
                <w:b/>
                <w:sz w:val="20"/>
                <w:szCs w:val="20"/>
              </w:rPr>
              <w:t>Fuente</w:t>
            </w:r>
          </w:p>
        </w:tc>
      </w:tr>
      <w:tr w:rsidR="00197CDD" w:rsidRPr="00E8274D" w:rsidTr="00E8274D">
        <w:tc>
          <w:tcPr>
            <w:tcW w:w="1809" w:type="dxa"/>
            <w:vMerge w:val="restart"/>
            <w:tcBorders>
              <w:top w:val="single" w:sz="4" w:space="0" w:color="auto"/>
              <w:left w:val="single" w:sz="4" w:space="0" w:color="auto"/>
              <w:right w:val="single" w:sz="4" w:space="0" w:color="auto"/>
            </w:tcBorders>
          </w:tcPr>
          <w:p w:rsidR="00197CDD" w:rsidRPr="00E8274D" w:rsidRDefault="00197CDD" w:rsidP="00EC63DA">
            <w:pPr>
              <w:pStyle w:val="Textoindependiente"/>
              <w:contextualSpacing/>
              <w:jc w:val="center"/>
              <w:rPr>
                <w:rFonts w:ascii="Verdana" w:hAnsi="Verdana"/>
                <w:sz w:val="20"/>
                <w:szCs w:val="20"/>
              </w:rPr>
            </w:pPr>
          </w:p>
          <w:p w:rsidR="00197CDD" w:rsidRPr="00E8274D" w:rsidRDefault="00197CDD" w:rsidP="00EC63DA">
            <w:pPr>
              <w:pStyle w:val="Textoindependiente"/>
              <w:contextualSpacing/>
              <w:jc w:val="center"/>
              <w:rPr>
                <w:rFonts w:ascii="Verdana" w:hAnsi="Verdana"/>
                <w:sz w:val="20"/>
                <w:szCs w:val="20"/>
              </w:rPr>
            </w:pPr>
          </w:p>
          <w:p w:rsidR="00197CDD" w:rsidRPr="00E8274D" w:rsidRDefault="00197CDD" w:rsidP="00EC63DA">
            <w:pPr>
              <w:pStyle w:val="Textoindependiente"/>
              <w:contextualSpacing/>
              <w:rPr>
                <w:rFonts w:ascii="Verdana" w:hAnsi="Verdana"/>
                <w:sz w:val="20"/>
                <w:szCs w:val="20"/>
              </w:rPr>
            </w:pPr>
          </w:p>
          <w:p w:rsidR="00197CDD" w:rsidRPr="00E8274D" w:rsidRDefault="00197CDD" w:rsidP="00EC63DA">
            <w:pPr>
              <w:pStyle w:val="Textoindependiente"/>
              <w:contextualSpacing/>
              <w:jc w:val="center"/>
              <w:rPr>
                <w:rFonts w:ascii="Verdana" w:hAnsi="Verdana"/>
                <w:sz w:val="20"/>
                <w:szCs w:val="20"/>
              </w:rPr>
            </w:pPr>
          </w:p>
          <w:p w:rsidR="00197CDD" w:rsidRPr="00E8274D" w:rsidRDefault="00197CDD" w:rsidP="00EC63DA">
            <w:pPr>
              <w:pStyle w:val="Textoindependiente"/>
              <w:contextualSpacing/>
              <w:jc w:val="center"/>
              <w:rPr>
                <w:rFonts w:ascii="Verdana" w:hAnsi="Verdana"/>
                <w:sz w:val="20"/>
                <w:szCs w:val="20"/>
              </w:rPr>
            </w:pPr>
          </w:p>
          <w:p w:rsidR="00197CDD" w:rsidRPr="00E8274D" w:rsidRDefault="00197CDD" w:rsidP="00EC63DA">
            <w:pPr>
              <w:pStyle w:val="Textoindependiente"/>
              <w:contextualSpacing/>
              <w:jc w:val="center"/>
              <w:rPr>
                <w:rFonts w:ascii="Verdana" w:hAnsi="Verdana"/>
                <w:sz w:val="20"/>
                <w:szCs w:val="20"/>
              </w:rPr>
            </w:pPr>
          </w:p>
          <w:p w:rsidR="00197CDD" w:rsidRPr="00E8274D" w:rsidRDefault="00197CDD" w:rsidP="00EC63DA">
            <w:pPr>
              <w:pStyle w:val="Textoindependiente"/>
              <w:contextualSpacing/>
              <w:jc w:val="center"/>
              <w:rPr>
                <w:rFonts w:ascii="Verdana" w:hAnsi="Verdana"/>
                <w:sz w:val="20"/>
                <w:szCs w:val="20"/>
              </w:rPr>
            </w:pPr>
          </w:p>
          <w:p w:rsidR="00197CDD" w:rsidRPr="00E8274D" w:rsidRDefault="00197CDD" w:rsidP="00EC63DA">
            <w:pPr>
              <w:pStyle w:val="Textoindependiente"/>
              <w:contextualSpacing/>
              <w:jc w:val="center"/>
              <w:rPr>
                <w:rFonts w:ascii="Verdana" w:hAnsi="Verdana"/>
                <w:sz w:val="20"/>
                <w:szCs w:val="20"/>
              </w:rPr>
            </w:pPr>
          </w:p>
          <w:p w:rsidR="00197CDD" w:rsidRPr="00E8274D" w:rsidRDefault="00197CDD" w:rsidP="00EC63DA">
            <w:pPr>
              <w:pStyle w:val="Textoindependiente"/>
              <w:contextualSpacing/>
              <w:jc w:val="center"/>
              <w:rPr>
                <w:rFonts w:ascii="Verdana" w:hAnsi="Verdana"/>
                <w:sz w:val="20"/>
                <w:szCs w:val="20"/>
              </w:rPr>
            </w:pPr>
          </w:p>
          <w:p w:rsidR="00197CDD" w:rsidRPr="00E8274D" w:rsidRDefault="00197CDD" w:rsidP="00EC63DA">
            <w:pPr>
              <w:pStyle w:val="Textoindependiente"/>
              <w:contextualSpacing/>
              <w:jc w:val="center"/>
              <w:rPr>
                <w:rFonts w:ascii="Verdana" w:hAnsi="Verdana"/>
                <w:sz w:val="20"/>
                <w:szCs w:val="20"/>
              </w:rPr>
            </w:pPr>
          </w:p>
          <w:p w:rsidR="00197CDD" w:rsidRPr="00E8274D" w:rsidRDefault="00197CDD" w:rsidP="00EC63DA">
            <w:pPr>
              <w:pStyle w:val="Textoindependiente"/>
              <w:contextualSpacing/>
              <w:jc w:val="center"/>
              <w:rPr>
                <w:rFonts w:ascii="Verdana" w:hAnsi="Verdana"/>
                <w:sz w:val="20"/>
                <w:szCs w:val="20"/>
              </w:rPr>
            </w:pPr>
          </w:p>
          <w:p w:rsidR="00197CDD" w:rsidRPr="00E8274D" w:rsidRDefault="00197CDD" w:rsidP="00EC63DA">
            <w:pPr>
              <w:pStyle w:val="Textoindependiente"/>
              <w:contextualSpacing/>
              <w:jc w:val="center"/>
              <w:rPr>
                <w:rFonts w:ascii="Verdana" w:hAnsi="Verdana"/>
                <w:sz w:val="20"/>
                <w:szCs w:val="20"/>
              </w:rPr>
            </w:pPr>
            <w:r w:rsidRPr="00E8274D">
              <w:rPr>
                <w:rFonts w:ascii="Verdana" w:hAnsi="Verdana"/>
                <w:sz w:val="20"/>
                <w:szCs w:val="20"/>
              </w:rPr>
              <w:t>Caracterizar el mercado automotriz</w:t>
            </w:r>
          </w:p>
        </w:tc>
        <w:tc>
          <w:tcPr>
            <w:tcW w:w="1560" w:type="dxa"/>
            <w:tcBorders>
              <w:top w:val="single" w:sz="4" w:space="0" w:color="auto"/>
              <w:left w:val="single" w:sz="4" w:space="0" w:color="auto"/>
              <w:bottom w:val="single" w:sz="4" w:space="0" w:color="auto"/>
              <w:right w:val="single" w:sz="4" w:space="0" w:color="auto"/>
            </w:tcBorders>
          </w:tcPr>
          <w:p w:rsidR="00197CDD" w:rsidRPr="00E8274D" w:rsidRDefault="00197CDD" w:rsidP="00EC63DA">
            <w:pPr>
              <w:pStyle w:val="Textoindependiente"/>
              <w:contextualSpacing/>
              <w:jc w:val="both"/>
              <w:rPr>
                <w:rFonts w:ascii="Verdana" w:hAnsi="Verdana"/>
                <w:sz w:val="20"/>
                <w:szCs w:val="20"/>
              </w:rPr>
            </w:pPr>
            <w:r w:rsidRPr="00E8274D">
              <w:rPr>
                <w:rFonts w:ascii="Verdana" w:hAnsi="Verdana"/>
                <w:sz w:val="20"/>
                <w:szCs w:val="20"/>
              </w:rPr>
              <w:t>Producción de vehículos por:</w:t>
            </w:r>
          </w:p>
          <w:p w:rsidR="00197CDD" w:rsidRPr="00E8274D" w:rsidRDefault="00197CDD" w:rsidP="00EC63DA">
            <w:pPr>
              <w:pStyle w:val="Textoindependiente"/>
              <w:ind w:left="720"/>
              <w:contextualSpacing/>
              <w:jc w:val="both"/>
              <w:rPr>
                <w:rFonts w:ascii="Verdana" w:hAnsi="Verdana"/>
                <w:sz w:val="20"/>
                <w:szCs w:val="20"/>
              </w:rPr>
            </w:pPr>
          </w:p>
        </w:tc>
        <w:tc>
          <w:tcPr>
            <w:tcW w:w="3260" w:type="dxa"/>
            <w:tcBorders>
              <w:top w:val="single" w:sz="4" w:space="0" w:color="auto"/>
              <w:left w:val="single" w:sz="4" w:space="0" w:color="auto"/>
              <w:bottom w:val="single" w:sz="4" w:space="0" w:color="auto"/>
              <w:right w:val="single" w:sz="4" w:space="0" w:color="auto"/>
            </w:tcBorders>
            <w:hideMark/>
          </w:tcPr>
          <w:p w:rsidR="00197CDD" w:rsidRPr="00E8274D" w:rsidRDefault="00197CDD" w:rsidP="00EC63DA">
            <w:pPr>
              <w:pStyle w:val="Textoindependiente"/>
              <w:numPr>
                <w:ilvl w:val="0"/>
                <w:numId w:val="25"/>
              </w:numPr>
              <w:spacing w:after="0"/>
              <w:contextualSpacing/>
              <w:jc w:val="both"/>
              <w:rPr>
                <w:rFonts w:ascii="Verdana" w:hAnsi="Verdana"/>
                <w:sz w:val="20"/>
                <w:szCs w:val="20"/>
              </w:rPr>
            </w:pPr>
            <w:r w:rsidRPr="00E8274D">
              <w:rPr>
                <w:rFonts w:ascii="Verdana" w:hAnsi="Verdana"/>
                <w:sz w:val="20"/>
                <w:szCs w:val="20"/>
              </w:rPr>
              <w:t>Ensambladora.</w:t>
            </w:r>
          </w:p>
          <w:p w:rsidR="00197CDD" w:rsidRPr="00E8274D" w:rsidRDefault="00197CDD" w:rsidP="00EC63DA">
            <w:pPr>
              <w:pStyle w:val="Textoindependiente"/>
              <w:numPr>
                <w:ilvl w:val="0"/>
                <w:numId w:val="25"/>
              </w:numPr>
              <w:spacing w:after="0"/>
              <w:contextualSpacing/>
              <w:jc w:val="both"/>
              <w:rPr>
                <w:rFonts w:ascii="Verdana" w:hAnsi="Verdana"/>
                <w:sz w:val="20"/>
                <w:szCs w:val="20"/>
              </w:rPr>
            </w:pPr>
            <w:r w:rsidRPr="00E8274D">
              <w:rPr>
                <w:rFonts w:ascii="Verdana" w:hAnsi="Verdana"/>
                <w:sz w:val="20"/>
                <w:szCs w:val="20"/>
              </w:rPr>
              <w:t>Tipo de vehículo</w:t>
            </w:r>
          </w:p>
        </w:tc>
        <w:tc>
          <w:tcPr>
            <w:tcW w:w="2425" w:type="dxa"/>
            <w:vMerge w:val="restart"/>
            <w:tcBorders>
              <w:top w:val="single" w:sz="4" w:space="0" w:color="auto"/>
              <w:left w:val="single" w:sz="4" w:space="0" w:color="auto"/>
              <w:bottom w:val="single" w:sz="4" w:space="0" w:color="auto"/>
              <w:right w:val="single" w:sz="4" w:space="0" w:color="auto"/>
            </w:tcBorders>
          </w:tcPr>
          <w:p w:rsidR="00197CDD" w:rsidRPr="00E8274D" w:rsidRDefault="00197CDD" w:rsidP="00EC63DA">
            <w:pPr>
              <w:pStyle w:val="Textoindependiente"/>
              <w:contextualSpacing/>
              <w:jc w:val="both"/>
              <w:rPr>
                <w:rFonts w:ascii="Verdana" w:hAnsi="Verdana"/>
                <w:sz w:val="20"/>
                <w:szCs w:val="20"/>
              </w:rPr>
            </w:pPr>
          </w:p>
          <w:p w:rsidR="00197CDD" w:rsidRPr="00E8274D" w:rsidRDefault="00197CDD" w:rsidP="00EC63DA">
            <w:pPr>
              <w:pStyle w:val="Textoindependiente"/>
              <w:contextualSpacing/>
              <w:jc w:val="both"/>
              <w:rPr>
                <w:rFonts w:ascii="Verdana" w:hAnsi="Verdana"/>
                <w:sz w:val="20"/>
                <w:szCs w:val="20"/>
              </w:rPr>
            </w:pPr>
          </w:p>
          <w:p w:rsidR="00197CDD" w:rsidRPr="00E8274D" w:rsidRDefault="00197CDD" w:rsidP="00EC63DA">
            <w:pPr>
              <w:pStyle w:val="Textoindependiente"/>
              <w:contextualSpacing/>
              <w:jc w:val="both"/>
              <w:rPr>
                <w:rFonts w:ascii="Verdana" w:hAnsi="Verdana"/>
                <w:sz w:val="20"/>
                <w:szCs w:val="20"/>
              </w:rPr>
            </w:pPr>
          </w:p>
          <w:p w:rsidR="00197CDD" w:rsidRPr="00E8274D" w:rsidRDefault="00197CDD" w:rsidP="00EC63DA">
            <w:pPr>
              <w:pStyle w:val="Textoindependiente"/>
              <w:contextualSpacing/>
              <w:jc w:val="both"/>
              <w:rPr>
                <w:rFonts w:ascii="Verdana" w:hAnsi="Verdana"/>
                <w:sz w:val="20"/>
                <w:szCs w:val="20"/>
              </w:rPr>
            </w:pPr>
          </w:p>
          <w:p w:rsidR="00197CDD" w:rsidRPr="00E8274D" w:rsidRDefault="00197CDD" w:rsidP="00EC63DA">
            <w:pPr>
              <w:pStyle w:val="Textoindependiente"/>
              <w:contextualSpacing/>
              <w:jc w:val="both"/>
              <w:rPr>
                <w:rFonts w:ascii="Verdana" w:hAnsi="Verdana"/>
                <w:sz w:val="20"/>
                <w:szCs w:val="20"/>
              </w:rPr>
            </w:pPr>
            <w:r w:rsidRPr="00E8274D">
              <w:rPr>
                <w:rFonts w:ascii="Verdana" w:hAnsi="Verdana"/>
                <w:sz w:val="20"/>
                <w:szCs w:val="20"/>
              </w:rPr>
              <w:t>Base de datos de la (AEADE) disponible en:  http://www.aeade.net</w:t>
            </w:r>
          </w:p>
        </w:tc>
      </w:tr>
      <w:tr w:rsidR="00197CDD" w:rsidRPr="00E8274D" w:rsidTr="00E8274D">
        <w:tc>
          <w:tcPr>
            <w:tcW w:w="1809" w:type="dxa"/>
            <w:vMerge/>
            <w:tcBorders>
              <w:left w:val="single" w:sz="4" w:space="0" w:color="auto"/>
              <w:right w:val="single" w:sz="4" w:space="0" w:color="auto"/>
            </w:tcBorders>
            <w:vAlign w:val="center"/>
            <w:hideMark/>
          </w:tcPr>
          <w:p w:rsidR="00197CDD" w:rsidRPr="00E8274D" w:rsidRDefault="00197CDD" w:rsidP="00EC63DA">
            <w:pPr>
              <w:rPr>
                <w:rFonts w:ascii="Verdana" w:hAnsi="Verdana"/>
                <w:sz w:val="20"/>
                <w:szCs w:val="20"/>
                <w:lang w:eastAsia="es-EC"/>
              </w:rPr>
            </w:pPr>
          </w:p>
        </w:tc>
        <w:tc>
          <w:tcPr>
            <w:tcW w:w="1560" w:type="dxa"/>
            <w:tcBorders>
              <w:top w:val="single" w:sz="4" w:space="0" w:color="auto"/>
              <w:left w:val="single" w:sz="4" w:space="0" w:color="auto"/>
              <w:bottom w:val="single" w:sz="4" w:space="0" w:color="auto"/>
              <w:right w:val="single" w:sz="4" w:space="0" w:color="auto"/>
            </w:tcBorders>
            <w:hideMark/>
          </w:tcPr>
          <w:p w:rsidR="00197CDD" w:rsidRPr="00E8274D" w:rsidRDefault="00197CDD" w:rsidP="00EC63DA">
            <w:pPr>
              <w:pStyle w:val="Textoindependiente"/>
              <w:contextualSpacing/>
              <w:jc w:val="both"/>
              <w:rPr>
                <w:rFonts w:ascii="Verdana" w:hAnsi="Verdana"/>
                <w:sz w:val="20"/>
                <w:szCs w:val="20"/>
              </w:rPr>
            </w:pPr>
            <w:r w:rsidRPr="00E8274D">
              <w:rPr>
                <w:rFonts w:ascii="Verdana" w:hAnsi="Verdana"/>
                <w:sz w:val="20"/>
                <w:szCs w:val="20"/>
              </w:rPr>
              <w:t>Exportación de vehículos por:</w:t>
            </w:r>
          </w:p>
        </w:tc>
        <w:tc>
          <w:tcPr>
            <w:tcW w:w="3260" w:type="dxa"/>
            <w:tcBorders>
              <w:top w:val="single" w:sz="4" w:space="0" w:color="auto"/>
              <w:left w:val="single" w:sz="4" w:space="0" w:color="auto"/>
              <w:bottom w:val="single" w:sz="4" w:space="0" w:color="auto"/>
              <w:right w:val="single" w:sz="4" w:space="0" w:color="auto"/>
            </w:tcBorders>
            <w:hideMark/>
          </w:tcPr>
          <w:p w:rsidR="00197CDD" w:rsidRPr="00E8274D" w:rsidRDefault="00197CDD" w:rsidP="00EC63DA">
            <w:pPr>
              <w:pStyle w:val="Textoindependiente"/>
              <w:numPr>
                <w:ilvl w:val="0"/>
                <w:numId w:val="26"/>
              </w:numPr>
              <w:spacing w:after="0"/>
              <w:contextualSpacing/>
              <w:jc w:val="both"/>
              <w:rPr>
                <w:rFonts w:ascii="Verdana" w:hAnsi="Verdana"/>
                <w:sz w:val="20"/>
                <w:szCs w:val="20"/>
              </w:rPr>
            </w:pPr>
            <w:r w:rsidRPr="00E8274D">
              <w:rPr>
                <w:rFonts w:ascii="Verdana" w:hAnsi="Verdana"/>
                <w:sz w:val="20"/>
                <w:szCs w:val="20"/>
              </w:rPr>
              <w:t>Ensambladora</w:t>
            </w:r>
          </w:p>
          <w:p w:rsidR="00197CDD" w:rsidRPr="00E8274D" w:rsidRDefault="00197CDD" w:rsidP="00EC63DA">
            <w:pPr>
              <w:pStyle w:val="Textoindependiente"/>
              <w:numPr>
                <w:ilvl w:val="0"/>
                <w:numId w:val="26"/>
              </w:numPr>
              <w:spacing w:after="0"/>
              <w:contextualSpacing/>
              <w:jc w:val="both"/>
              <w:rPr>
                <w:rFonts w:ascii="Verdana" w:hAnsi="Verdana"/>
                <w:sz w:val="20"/>
                <w:szCs w:val="20"/>
              </w:rPr>
            </w:pPr>
            <w:r w:rsidRPr="00E8274D">
              <w:rPr>
                <w:rFonts w:ascii="Verdana" w:hAnsi="Verdana"/>
                <w:sz w:val="20"/>
                <w:szCs w:val="20"/>
              </w:rPr>
              <w:t>Tipo de vehículo</w:t>
            </w:r>
          </w:p>
          <w:p w:rsidR="00197CDD" w:rsidRPr="00E8274D" w:rsidRDefault="00197CDD" w:rsidP="00EC63DA">
            <w:pPr>
              <w:pStyle w:val="Textoindependiente"/>
              <w:numPr>
                <w:ilvl w:val="0"/>
                <w:numId w:val="26"/>
              </w:numPr>
              <w:spacing w:after="0"/>
              <w:contextualSpacing/>
              <w:jc w:val="both"/>
              <w:rPr>
                <w:rFonts w:ascii="Verdana" w:hAnsi="Verdana"/>
                <w:sz w:val="20"/>
                <w:szCs w:val="20"/>
              </w:rPr>
            </w:pPr>
            <w:r w:rsidRPr="00E8274D">
              <w:rPr>
                <w:rFonts w:ascii="Verdana" w:hAnsi="Verdana"/>
                <w:sz w:val="20"/>
                <w:szCs w:val="20"/>
              </w:rPr>
              <w:t>Modelo, marca y país.</w:t>
            </w:r>
          </w:p>
        </w:tc>
        <w:tc>
          <w:tcPr>
            <w:tcW w:w="2425" w:type="dxa"/>
            <w:vMerge/>
            <w:tcBorders>
              <w:top w:val="single" w:sz="4" w:space="0" w:color="auto"/>
              <w:left w:val="single" w:sz="4" w:space="0" w:color="auto"/>
              <w:bottom w:val="single" w:sz="4" w:space="0" w:color="auto"/>
              <w:right w:val="single" w:sz="4" w:space="0" w:color="auto"/>
            </w:tcBorders>
            <w:vAlign w:val="center"/>
            <w:hideMark/>
          </w:tcPr>
          <w:p w:rsidR="00197CDD" w:rsidRPr="00E8274D" w:rsidRDefault="00197CDD" w:rsidP="00EC63DA">
            <w:pPr>
              <w:rPr>
                <w:rFonts w:ascii="Verdana" w:hAnsi="Verdana"/>
                <w:sz w:val="20"/>
                <w:szCs w:val="20"/>
                <w:lang w:eastAsia="es-EC"/>
              </w:rPr>
            </w:pPr>
          </w:p>
        </w:tc>
      </w:tr>
      <w:tr w:rsidR="00197CDD" w:rsidRPr="00E8274D" w:rsidTr="00E8274D">
        <w:tc>
          <w:tcPr>
            <w:tcW w:w="1809" w:type="dxa"/>
            <w:vMerge/>
            <w:tcBorders>
              <w:left w:val="single" w:sz="4" w:space="0" w:color="auto"/>
              <w:right w:val="single" w:sz="4" w:space="0" w:color="auto"/>
            </w:tcBorders>
            <w:vAlign w:val="center"/>
            <w:hideMark/>
          </w:tcPr>
          <w:p w:rsidR="00197CDD" w:rsidRPr="00E8274D" w:rsidRDefault="00197CDD" w:rsidP="00EC63DA">
            <w:pPr>
              <w:rPr>
                <w:rFonts w:ascii="Verdana" w:hAnsi="Verdana"/>
                <w:sz w:val="20"/>
                <w:szCs w:val="20"/>
                <w:lang w:eastAsia="es-EC"/>
              </w:rPr>
            </w:pPr>
          </w:p>
        </w:tc>
        <w:tc>
          <w:tcPr>
            <w:tcW w:w="1560" w:type="dxa"/>
            <w:tcBorders>
              <w:top w:val="single" w:sz="4" w:space="0" w:color="auto"/>
              <w:left w:val="single" w:sz="4" w:space="0" w:color="auto"/>
              <w:bottom w:val="single" w:sz="4" w:space="0" w:color="auto"/>
              <w:right w:val="single" w:sz="4" w:space="0" w:color="auto"/>
            </w:tcBorders>
            <w:hideMark/>
          </w:tcPr>
          <w:p w:rsidR="00197CDD" w:rsidRPr="00E8274D" w:rsidRDefault="00197CDD" w:rsidP="00EC63DA">
            <w:pPr>
              <w:pStyle w:val="Textoindependiente"/>
              <w:contextualSpacing/>
              <w:jc w:val="both"/>
              <w:rPr>
                <w:rFonts w:ascii="Verdana" w:hAnsi="Verdana"/>
                <w:sz w:val="20"/>
                <w:szCs w:val="20"/>
              </w:rPr>
            </w:pPr>
            <w:r w:rsidRPr="00E8274D">
              <w:rPr>
                <w:rFonts w:ascii="Verdana" w:hAnsi="Verdana"/>
                <w:sz w:val="20"/>
                <w:szCs w:val="20"/>
              </w:rPr>
              <w:t>Importación de vehículos por:</w:t>
            </w:r>
          </w:p>
        </w:tc>
        <w:tc>
          <w:tcPr>
            <w:tcW w:w="3260" w:type="dxa"/>
            <w:tcBorders>
              <w:top w:val="single" w:sz="4" w:space="0" w:color="auto"/>
              <w:left w:val="single" w:sz="4" w:space="0" w:color="auto"/>
              <w:bottom w:val="single" w:sz="4" w:space="0" w:color="auto"/>
              <w:right w:val="single" w:sz="4" w:space="0" w:color="auto"/>
            </w:tcBorders>
            <w:hideMark/>
          </w:tcPr>
          <w:p w:rsidR="00197CDD" w:rsidRPr="00E8274D" w:rsidRDefault="00197CDD" w:rsidP="00EC63DA">
            <w:pPr>
              <w:pStyle w:val="Textoindependiente"/>
              <w:numPr>
                <w:ilvl w:val="0"/>
                <w:numId w:val="27"/>
              </w:numPr>
              <w:spacing w:after="0"/>
              <w:contextualSpacing/>
              <w:jc w:val="both"/>
              <w:rPr>
                <w:rFonts w:ascii="Verdana" w:hAnsi="Verdana"/>
                <w:sz w:val="20"/>
                <w:szCs w:val="20"/>
              </w:rPr>
            </w:pPr>
            <w:r w:rsidRPr="00E8274D">
              <w:rPr>
                <w:rFonts w:ascii="Verdana" w:hAnsi="Verdana"/>
                <w:sz w:val="20"/>
                <w:szCs w:val="20"/>
              </w:rPr>
              <w:t>Tipo de vehículo</w:t>
            </w:r>
          </w:p>
          <w:p w:rsidR="00197CDD" w:rsidRPr="00E8274D" w:rsidRDefault="00197CDD" w:rsidP="00EC63DA">
            <w:pPr>
              <w:pStyle w:val="Textoindependiente"/>
              <w:numPr>
                <w:ilvl w:val="0"/>
                <w:numId w:val="27"/>
              </w:numPr>
              <w:spacing w:after="0"/>
              <w:contextualSpacing/>
              <w:jc w:val="both"/>
              <w:rPr>
                <w:rFonts w:ascii="Verdana" w:hAnsi="Verdana"/>
                <w:sz w:val="20"/>
                <w:szCs w:val="20"/>
              </w:rPr>
            </w:pPr>
            <w:r w:rsidRPr="00E8274D">
              <w:rPr>
                <w:rFonts w:ascii="Verdana" w:hAnsi="Verdana"/>
                <w:sz w:val="20"/>
                <w:szCs w:val="20"/>
              </w:rPr>
              <w:t>Marca y país</w:t>
            </w:r>
          </w:p>
        </w:tc>
        <w:tc>
          <w:tcPr>
            <w:tcW w:w="2425" w:type="dxa"/>
            <w:vMerge/>
            <w:tcBorders>
              <w:top w:val="single" w:sz="4" w:space="0" w:color="auto"/>
              <w:left w:val="single" w:sz="4" w:space="0" w:color="auto"/>
              <w:bottom w:val="single" w:sz="4" w:space="0" w:color="auto"/>
              <w:right w:val="single" w:sz="4" w:space="0" w:color="auto"/>
            </w:tcBorders>
            <w:vAlign w:val="center"/>
            <w:hideMark/>
          </w:tcPr>
          <w:p w:rsidR="00197CDD" w:rsidRPr="00E8274D" w:rsidRDefault="00197CDD" w:rsidP="00EC63DA">
            <w:pPr>
              <w:rPr>
                <w:rFonts w:ascii="Verdana" w:hAnsi="Verdana"/>
                <w:sz w:val="20"/>
                <w:szCs w:val="20"/>
                <w:lang w:eastAsia="es-EC"/>
              </w:rPr>
            </w:pPr>
          </w:p>
        </w:tc>
      </w:tr>
      <w:tr w:rsidR="00197CDD" w:rsidRPr="00E8274D" w:rsidTr="00E8274D">
        <w:tc>
          <w:tcPr>
            <w:tcW w:w="1809" w:type="dxa"/>
            <w:vMerge/>
            <w:tcBorders>
              <w:left w:val="single" w:sz="4" w:space="0" w:color="auto"/>
              <w:right w:val="single" w:sz="4" w:space="0" w:color="auto"/>
            </w:tcBorders>
            <w:vAlign w:val="center"/>
            <w:hideMark/>
          </w:tcPr>
          <w:p w:rsidR="00197CDD" w:rsidRPr="00E8274D" w:rsidRDefault="00197CDD" w:rsidP="00EC63DA">
            <w:pPr>
              <w:rPr>
                <w:rFonts w:ascii="Verdana" w:hAnsi="Verdana"/>
                <w:sz w:val="20"/>
                <w:szCs w:val="20"/>
                <w:lang w:eastAsia="es-EC"/>
              </w:rPr>
            </w:pPr>
          </w:p>
        </w:tc>
        <w:tc>
          <w:tcPr>
            <w:tcW w:w="1560" w:type="dxa"/>
            <w:tcBorders>
              <w:top w:val="single" w:sz="4" w:space="0" w:color="auto"/>
              <w:left w:val="single" w:sz="4" w:space="0" w:color="auto"/>
              <w:bottom w:val="single" w:sz="4" w:space="0" w:color="auto"/>
              <w:right w:val="single" w:sz="4" w:space="0" w:color="auto"/>
            </w:tcBorders>
            <w:hideMark/>
          </w:tcPr>
          <w:p w:rsidR="00197CDD" w:rsidRPr="00E8274D" w:rsidRDefault="00197CDD" w:rsidP="00EC63DA">
            <w:pPr>
              <w:pStyle w:val="Textoindependiente"/>
              <w:contextualSpacing/>
              <w:jc w:val="both"/>
              <w:rPr>
                <w:rFonts w:ascii="Verdana" w:hAnsi="Verdana"/>
                <w:sz w:val="20"/>
                <w:szCs w:val="20"/>
              </w:rPr>
            </w:pPr>
            <w:r w:rsidRPr="00E8274D">
              <w:rPr>
                <w:rFonts w:ascii="Verdana" w:hAnsi="Verdana"/>
                <w:sz w:val="20"/>
                <w:szCs w:val="20"/>
              </w:rPr>
              <w:t>Venta de vehículos por:</w:t>
            </w:r>
          </w:p>
        </w:tc>
        <w:tc>
          <w:tcPr>
            <w:tcW w:w="3260" w:type="dxa"/>
            <w:tcBorders>
              <w:top w:val="single" w:sz="4" w:space="0" w:color="auto"/>
              <w:left w:val="single" w:sz="4" w:space="0" w:color="auto"/>
              <w:bottom w:val="single" w:sz="4" w:space="0" w:color="auto"/>
              <w:right w:val="single" w:sz="4" w:space="0" w:color="auto"/>
            </w:tcBorders>
            <w:hideMark/>
          </w:tcPr>
          <w:p w:rsidR="00197CDD" w:rsidRPr="00E8274D" w:rsidRDefault="00197CDD" w:rsidP="00EC63DA">
            <w:pPr>
              <w:pStyle w:val="Textoindependiente"/>
              <w:numPr>
                <w:ilvl w:val="0"/>
                <w:numId w:val="28"/>
              </w:numPr>
              <w:spacing w:after="0"/>
              <w:contextualSpacing/>
              <w:jc w:val="both"/>
              <w:rPr>
                <w:rFonts w:ascii="Verdana" w:hAnsi="Verdana"/>
                <w:sz w:val="20"/>
                <w:szCs w:val="20"/>
              </w:rPr>
            </w:pPr>
            <w:r w:rsidRPr="00E8274D">
              <w:rPr>
                <w:rFonts w:ascii="Verdana" w:hAnsi="Verdana"/>
                <w:sz w:val="20"/>
                <w:szCs w:val="20"/>
              </w:rPr>
              <w:t>Ensamblaje local</w:t>
            </w:r>
          </w:p>
          <w:p w:rsidR="00197CDD" w:rsidRPr="00E8274D" w:rsidRDefault="00197CDD" w:rsidP="00EC63DA">
            <w:pPr>
              <w:pStyle w:val="Textoindependiente"/>
              <w:numPr>
                <w:ilvl w:val="0"/>
                <w:numId w:val="28"/>
              </w:numPr>
              <w:spacing w:after="0"/>
              <w:contextualSpacing/>
              <w:jc w:val="both"/>
              <w:rPr>
                <w:rFonts w:ascii="Verdana" w:hAnsi="Verdana"/>
                <w:sz w:val="20"/>
                <w:szCs w:val="20"/>
              </w:rPr>
            </w:pPr>
            <w:r w:rsidRPr="00E8274D">
              <w:rPr>
                <w:rFonts w:ascii="Verdana" w:hAnsi="Verdana"/>
                <w:sz w:val="20"/>
                <w:szCs w:val="20"/>
              </w:rPr>
              <w:t>Importaciones</w:t>
            </w:r>
          </w:p>
          <w:p w:rsidR="00197CDD" w:rsidRPr="00E8274D" w:rsidRDefault="00197CDD" w:rsidP="00EC63DA">
            <w:pPr>
              <w:pStyle w:val="Textoindependiente"/>
              <w:numPr>
                <w:ilvl w:val="0"/>
                <w:numId w:val="28"/>
              </w:numPr>
              <w:spacing w:after="0"/>
              <w:contextualSpacing/>
              <w:jc w:val="both"/>
              <w:rPr>
                <w:rFonts w:ascii="Verdana" w:hAnsi="Verdana"/>
                <w:sz w:val="20"/>
                <w:szCs w:val="20"/>
              </w:rPr>
            </w:pPr>
            <w:r w:rsidRPr="00E8274D">
              <w:rPr>
                <w:rFonts w:ascii="Verdana" w:hAnsi="Verdana"/>
                <w:sz w:val="20"/>
                <w:szCs w:val="20"/>
              </w:rPr>
              <w:t>Tipo de vehículo</w:t>
            </w:r>
          </w:p>
          <w:p w:rsidR="00197CDD" w:rsidRPr="00E8274D" w:rsidRDefault="00197CDD" w:rsidP="00EC63DA">
            <w:pPr>
              <w:pStyle w:val="Textoindependiente"/>
              <w:numPr>
                <w:ilvl w:val="0"/>
                <w:numId w:val="28"/>
              </w:numPr>
              <w:spacing w:after="0"/>
              <w:contextualSpacing/>
              <w:rPr>
                <w:rFonts w:ascii="Verdana" w:hAnsi="Verdana"/>
                <w:sz w:val="20"/>
                <w:szCs w:val="20"/>
              </w:rPr>
            </w:pPr>
            <w:r w:rsidRPr="00E8274D">
              <w:rPr>
                <w:rFonts w:ascii="Verdana" w:hAnsi="Verdana"/>
                <w:sz w:val="20"/>
                <w:szCs w:val="20"/>
              </w:rPr>
              <w:t>Según principales provincias</w:t>
            </w:r>
          </w:p>
          <w:p w:rsidR="00197CDD" w:rsidRPr="00E8274D" w:rsidRDefault="00197CDD" w:rsidP="00EC63DA">
            <w:pPr>
              <w:pStyle w:val="Textoindependiente"/>
              <w:numPr>
                <w:ilvl w:val="0"/>
                <w:numId w:val="28"/>
              </w:numPr>
              <w:spacing w:after="0"/>
              <w:contextualSpacing/>
              <w:jc w:val="both"/>
              <w:rPr>
                <w:rFonts w:ascii="Verdana" w:hAnsi="Verdana"/>
                <w:sz w:val="20"/>
                <w:szCs w:val="20"/>
              </w:rPr>
            </w:pPr>
            <w:r w:rsidRPr="00E8274D">
              <w:rPr>
                <w:rFonts w:ascii="Verdana" w:hAnsi="Verdana"/>
                <w:sz w:val="20"/>
                <w:szCs w:val="20"/>
              </w:rPr>
              <w:t>Según marca</w:t>
            </w:r>
          </w:p>
          <w:p w:rsidR="00197CDD" w:rsidRPr="00E8274D" w:rsidRDefault="00197CDD" w:rsidP="00EC63DA">
            <w:pPr>
              <w:pStyle w:val="Textoindependiente"/>
              <w:numPr>
                <w:ilvl w:val="0"/>
                <w:numId w:val="28"/>
              </w:numPr>
              <w:spacing w:after="0"/>
              <w:contextualSpacing/>
              <w:jc w:val="both"/>
              <w:rPr>
                <w:rFonts w:ascii="Verdana" w:hAnsi="Verdana"/>
                <w:sz w:val="20"/>
                <w:szCs w:val="20"/>
              </w:rPr>
            </w:pPr>
            <w:r w:rsidRPr="00E8274D">
              <w:rPr>
                <w:rFonts w:ascii="Verdana" w:hAnsi="Verdana"/>
                <w:sz w:val="20"/>
                <w:szCs w:val="20"/>
              </w:rPr>
              <w:t>Precios promedio según segmento</w:t>
            </w:r>
          </w:p>
        </w:tc>
        <w:tc>
          <w:tcPr>
            <w:tcW w:w="2425" w:type="dxa"/>
            <w:vMerge/>
            <w:tcBorders>
              <w:top w:val="single" w:sz="4" w:space="0" w:color="auto"/>
              <w:left w:val="single" w:sz="4" w:space="0" w:color="auto"/>
              <w:bottom w:val="single" w:sz="4" w:space="0" w:color="auto"/>
              <w:right w:val="single" w:sz="4" w:space="0" w:color="auto"/>
            </w:tcBorders>
            <w:vAlign w:val="center"/>
            <w:hideMark/>
          </w:tcPr>
          <w:p w:rsidR="00197CDD" w:rsidRPr="00E8274D" w:rsidRDefault="00197CDD" w:rsidP="00EC63DA">
            <w:pPr>
              <w:rPr>
                <w:rFonts w:ascii="Verdana" w:hAnsi="Verdana"/>
                <w:sz w:val="20"/>
                <w:szCs w:val="20"/>
                <w:lang w:eastAsia="es-EC"/>
              </w:rPr>
            </w:pPr>
          </w:p>
        </w:tc>
      </w:tr>
      <w:tr w:rsidR="00197CDD" w:rsidRPr="00E8274D" w:rsidTr="00E8274D">
        <w:tc>
          <w:tcPr>
            <w:tcW w:w="1809" w:type="dxa"/>
            <w:vMerge/>
            <w:tcBorders>
              <w:left w:val="single" w:sz="4" w:space="0" w:color="auto"/>
              <w:right w:val="single" w:sz="4" w:space="0" w:color="auto"/>
            </w:tcBorders>
            <w:vAlign w:val="center"/>
          </w:tcPr>
          <w:p w:rsidR="00197CDD" w:rsidRPr="00E8274D" w:rsidRDefault="00197CDD" w:rsidP="00EC63DA">
            <w:pPr>
              <w:rPr>
                <w:rFonts w:ascii="Verdana" w:hAnsi="Verdana"/>
                <w:sz w:val="20"/>
                <w:szCs w:val="20"/>
                <w:lang w:eastAsia="es-EC"/>
              </w:rPr>
            </w:pPr>
          </w:p>
        </w:tc>
        <w:tc>
          <w:tcPr>
            <w:tcW w:w="1560" w:type="dxa"/>
            <w:tcBorders>
              <w:top w:val="single" w:sz="4" w:space="0" w:color="auto"/>
              <w:left w:val="single" w:sz="4" w:space="0" w:color="auto"/>
              <w:bottom w:val="single" w:sz="4" w:space="0" w:color="auto"/>
              <w:right w:val="single" w:sz="4" w:space="0" w:color="auto"/>
            </w:tcBorders>
          </w:tcPr>
          <w:p w:rsidR="00197CDD" w:rsidRPr="00E8274D" w:rsidRDefault="00197CDD" w:rsidP="00EC63DA">
            <w:pPr>
              <w:pStyle w:val="Textoindependiente"/>
              <w:contextualSpacing/>
              <w:jc w:val="both"/>
              <w:rPr>
                <w:rFonts w:ascii="Verdana" w:hAnsi="Verdana"/>
                <w:sz w:val="20"/>
                <w:szCs w:val="20"/>
              </w:rPr>
            </w:pPr>
            <w:r w:rsidRPr="00E8274D">
              <w:rPr>
                <w:rFonts w:ascii="Verdana" w:hAnsi="Verdana"/>
                <w:sz w:val="20"/>
                <w:szCs w:val="20"/>
              </w:rPr>
              <w:t>Fabricación de equipos de transporte con año base 2007:</w:t>
            </w:r>
          </w:p>
        </w:tc>
        <w:tc>
          <w:tcPr>
            <w:tcW w:w="3260" w:type="dxa"/>
            <w:tcBorders>
              <w:top w:val="single" w:sz="4" w:space="0" w:color="auto"/>
              <w:left w:val="single" w:sz="4" w:space="0" w:color="auto"/>
              <w:bottom w:val="single" w:sz="4" w:space="0" w:color="auto"/>
              <w:right w:val="single" w:sz="4" w:space="0" w:color="auto"/>
            </w:tcBorders>
          </w:tcPr>
          <w:p w:rsidR="00197CDD" w:rsidRPr="00E8274D" w:rsidRDefault="00197CDD" w:rsidP="00EC63DA">
            <w:pPr>
              <w:pStyle w:val="Textoindependiente"/>
              <w:numPr>
                <w:ilvl w:val="0"/>
                <w:numId w:val="28"/>
              </w:numPr>
              <w:spacing w:after="0"/>
              <w:contextualSpacing/>
              <w:jc w:val="both"/>
              <w:rPr>
                <w:rFonts w:ascii="Verdana" w:hAnsi="Verdana"/>
                <w:sz w:val="20"/>
                <w:szCs w:val="20"/>
              </w:rPr>
            </w:pPr>
            <w:r w:rsidRPr="00E8274D">
              <w:rPr>
                <w:rFonts w:ascii="Verdana" w:hAnsi="Verdana"/>
                <w:sz w:val="20"/>
                <w:szCs w:val="20"/>
              </w:rPr>
              <w:t>En miles de USD</w:t>
            </w:r>
          </w:p>
          <w:p w:rsidR="00197CDD" w:rsidRPr="00E8274D" w:rsidRDefault="00197CDD" w:rsidP="00EC63DA">
            <w:pPr>
              <w:pStyle w:val="Textoindependiente"/>
              <w:numPr>
                <w:ilvl w:val="0"/>
                <w:numId w:val="28"/>
              </w:numPr>
              <w:spacing w:after="0"/>
              <w:contextualSpacing/>
              <w:jc w:val="both"/>
              <w:rPr>
                <w:rFonts w:ascii="Verdana" w:hAnsi="Verdana"/>
                <w:sz w:val="20"/>
                <w:szCs w:val="20"/>
              </w:rPr>
            </w:pPr>
            <w:r w:rsidRPr="00E8274D">
              <w:rPr>
                <w:rFonts w:ascii="Verdana" w:hAnsi="Verdana"/>
                <w:sz w:val="20"/>
                <w:szCs w:val="20"/>
              </w:rPr>
              <w:t xml:space="preserve">Con respecto al PIB </w:t>
            </w:r>
          </w:p>
          <w:p w:rsidR="00197CDD" w:rsidRPr="00E8274D" w:rsidRDefault="00197CDD" w:rsidP="00EC63DA">
            <w:pPr>
              <w:pStyle w:val="Textoindependiente"/>
              <w:numPr>
                <w:ilvl w:val="0"/>
                <w:numId w:val="28"/>
              </w:numPr>
              <w:spacing w:after="0"/>
              <w:contextualSpacing/>
              <w:jc w:val="both"/>
              <w:rPr>
                <w:rFonts w:ascii="Verdana" w:hAnsi="Verdana"/>
                <w:sz w:val="20"/>
                <w:szCs w:val="20"/>
              </w:rPr>
            </w:pPr>
            <w:r w:rsidRPr="00E8274D">
              <w:rPr>
                <w:rFonts w:ascii="Verdana" w:hAnsi="Verdana"/>
                <w:sz w:val="20"/>
                <w:szCs w:val="20"/>
              </w:rPr>
              <w:t>Con respecto a la industria manufacturera</w:t>
            </w:r>
          </w:p>
        </w:tc>
        <w:tc>
          <w:tcPr>
            <w:tcW w:w="2425" w:type="dxa"/>
            <w:vMerge w:val="restart"/>
            <w:tcBorders>
              <w:top w:val="single" w:sz="4" w:space="0" w:color="auto"/>
              <w:left w:val="single" w:sz="4" w:space="0" w:color="auto"/>
              <w:right w:val="single" w:sz="4" w:space="0" w:color="auto"/>
            </w:tcBorders>
            <w:vAlign w:val="center"/>
          </w:tcPr>
          <w:p w:rsidR="00197CDD" w:rsidRPr="00E8274D" w:rsidRDefault="00197CDD" w:rsidP="00EC63DA">
            <w:pPr>
              <w:jc w:val="center"/>
              <w:rPr>
                <w:rFonts w:ascii="Verdana" w:hAnsi="Verdana"/>
                <w:sz w:val="20"/>
                <w:szCs w:val="20"/>
                <w:lang w:eastAsia="es-EC"/>
              </w:rPr>
            </w:pPr>
            <w:r w:rsidRPr="00E8274D">
              <w:rPr>
                <w:rFonts w:ascii="Verdana" w:hAnsi="Verdana"/>
                <w:sz w:val="20"/>
                <w:szCs w:val="20"/>
                <w:lang w:eastAsia="es-EC"/>
              </w:rPr>
              <w:t>Banco Central del Ecuador (BCE). Disponible en: https://contenido.bce.fin.ec/documentos/PublicacionesNotas/Catalogo/CuentasNacionales/Anuales/Dolares/indicecn1.htm</w:t>
            </w:r>
          </w:p>
        </w:tc>
      </w:tr>
      <w:tr w:rsidR="00197CDD" w:rsidRPr="00E8274D" w:rsidTr="00E8274D">
        <w:tc>
          <w:tcPr>
            <w:tcW w:w="1809" w:type="dxa"/>
            <w:vMerge/>
            <w:tcBorders>
              <w:left w:val="single" w:sz="4" w:space="0" w:color="auto"/>
              <w:right w:val="single" w:sz="4" w:space="0" w:color="auto"/>
            </w:tcBorders>
            <w:vAlign w:val="center"/>
          </w:tcPr>
          <w:p w:rsidR="00197CDD" w:rsidRPr="00E8274D" w:rsidRDefault="00197CDD" w:rsidP="00EC63DA">
            <w:pPr>
              <w:rPr>
                <w:rFonts w:ascii="Verdana" w:hAnsi="Verdana"/>
                <w:sz w:val="20"/>
                <w:szCs w:val="20"/>
                <w:lang w:eastAsia="es-EC"/>
              </w:rPr>
            </w:pPr>
          </w:p>
        </w:tc>
        <w:tc>
          <w:tcPr>
            <w:tcW w:w="1560" w:type="dxa"/>
            <w:tcBorders>
              <w:top w:val="single" w:sz="4" w:space="0" w:color="auto"/>
              <w:left w:val="single" w:sz="4" w:space="0" w:color="auto"/>
              <w:bottom w:val="single" w:sz="4" w:space="0" w:color="auto"/>
              <w:right w:val="single" w:sz="4" w:space="0" w:color="auto"/>
            </w:tcBorders>
          </w:tcPr>
          <w:p w:rsidR="00197CDD" w:rsidRPr="00E8274D" w:rsidRDefault="00197CDD" w:rsidP="00EC63DA">
            <w:pPr>
              <w:pStyle w:val="Textoindependiente"/>
              <w:contextualSpacing/>
              <w:jc w:val="both"/>
              <w:rPr>
                <w:rFonts w:ascii="Verdana" w:hAnsi="Verdana"/>
                <w:sz w:val="20"/>
                <w:szCs w:val="20"/>
              </w:rPr>
            </w:pPr>
            <w:r w:rsidRPr="00E8274D">
              <w:rPr>
                <w:rFonts w:ascii="Verdana" w:hAnsi="Verdana"/>
                <w:sz w:val="20"/>
                <w:szCs w:val="20"/>
              </w:rPr>
              <w:t xml:space="preserve">Formación bruta de capital fijo (FBKF) de la categoría </w:t>
            </w:r>
            <w:r w:rsidRPr="00E8274D">
              <w:rPr>
                <w:rFonts w:ascii="Verdana" w:hAnsi="Verdana"/>
                <w:sz w:val="20"/>
                <w:szCs w:val="20"/>
              </w:rPr>
              <w:lastRenderedPageBreak/>
              <w:t>equipos de transporte con año base 2007:</w:t>
            </w:r>
          </w:p>
        </w:tc>
        <w:tc>
          <w:tcPr>
            <w:tcW w:w="3260" w:type="dxa"/>
            <w:tcBorders>
              <w:top w:val="single" w:sz="4" w:space="0" w:color="auto"/>
              <w:left w:val="single" w:sz="4" w:space="0" w:color="auto"/>
              <w:bottom w:val="single" w:sz="4" w:space="0" w:color="auto"/>
              <w:right w:val="single" w:sz="4" w:space="0" w:color="auto"/>
            </w:tcBorders>
          </w:tcPr>
          <w:p w:rsidR="00197CDD" w:rsidRPr="00E8274D" w:rsidRDefault="00197CDD" w:rsidP="00EC63DA">
            <w:pPr>
              <w:pStyle w:val="Textoindependiente"/>
              <w:numPr>
                <w:ilvl w:val="0"/>
                <w:numId w:val="28"/>
              </w:numPr>
              <w:spacing w:after="0"/>
              <w:contextualSpacing/>
              <w:jc w:val="both"/>
              <w:rPr>
                <w:rFonts w:ascii="Verdana" w:hAnsi="Verdana"/>
                <w:sz w:val="20"/>
                <w:szCs w:val="20"/>
              </w:rPr>
            </w:pPr>
            <w:r w:rsidRPr="00E8274D">
              <w:rPr>
                <w:rFonts w:ascii="Verdana" w:hAnsi="Verdana"/>
                <w:sz w:val="20"/>
                <w:szCs w:val="20"/>
              </w:rPr>
              <w:lastRenderedPageBreak/>
              <w:t>En miles de USD</w:t>
            </w:r>
          </w:p>
          <w:p w:rsidR="00197CDD" w:rsidRPr="00E8274D" w:rsidRDefault="00197CDD" w:rsidP="00EC63DA">
            <w:pPr>
              <w:pStyle w:val="Textoindependiente"/>
              <w:numPr>
                <w:ilvl w:val="0"/>
                <w:numId w:val="28"/>
              </w:numPr>
              <w:spacing w:after="0"/>
              <w:contextualSpacing/>
              <w:jc w:val="both"/>
              <w:rPr>
                <w:rFonts w:ascii="Verdana" w:hAnsi="Verdana"/>
                <w:sz w:val="20"/>
                <w:szCs w:val="20"/>
              </w:rPr>
            </w:pPr>
            <w:r w:rsidRPr="00E8274D">
              <w:rPr>
                <w:rFonts w:ascii="Verdana" w:hAnsi="Verdana"/>
                <w:sz w:val="20"/>
                <w:szCs w:val="20"/>
              </w:rPr>
              <w:t>Tasa de variación</w:t>
            </w:r>
          </w:p>
          <w:p w:rsidR="00197CDD" w:rsidRPr="00E8274D" w:rsidRDefault="00197CDD" w:rsidP="00EC63DA">
            <w:pPr>
              <w:pStyle w:val="Textoindependiente"/>
              <w:numPr>
                <w:ilvl w:val="0"/>
                <w:numId w:val="28"/>
              </w:numPr>
              <w:spacing w:after="0"/>
              <w:contextualSpacing/>
              <w:jc w:val="both"/>
              <w:rPr>
                <w:rFonts w:ascii="Verdana" w:hAnsi="Verdana"/>
                <w:sz w:val="20"/>
                <w:szCs w:val="20"/>
              </w:rPr>
            </w:pPr>
            <w:r w:rsidRPr="00E8274D">
              <w:rPr>
                <w:rFonts w:ascii="Verdana" w:hAnsi="Verdana"/>
                <w:sz w:val="20"/>
                <w:szCs w:val="20"/>
              </w:rPr>
              <w:t>Con respecto a la FBKF total de Ecuador</w:t>
            </w:r>
          </w:p>
          <w:p w:rsidR="00197CDD" w:rsidRPr="00E8274D" w:rsidRDefault="00197CDD" w:rsidP="00EC63DA">
            <w:pPr>
              <w:pStyle w:val="Textoindependiente"/>
              <w:numPr>
                <w:ilvl w:val="0"/>
                <w:numId w:val="28"/>
              </w:numPr>
              <w:spacing w:after="0"/>
              <w:contextualSpacing/>
              <w:jc w:val="both"/>
              <w:rPr>
                <w:rFonts w:ascii="Verdana" w:hAnsi="Verdana"/>
                <w:sz w:val="20"/>
                <w:szCs w:val="20"/>
              </w:rPr>
            </w:pPr>
            <w:r w:rsidRPr="00E8274D">
              <w:rPr>
                <w:rFonts w:ascii="Verdana" w:hAnsi="Verdana"/>
                <w:sz w:val="20"/>
                <w:szCs w:val="20"/>
              </w:rPr>
              <w:t xml:space="preserve">Con respecto a la </w:t>
            </w:r>
            <w:r w:rsidRPr="00E8274D">
              <w:rPr>
                <w:rFonts w:ascii="Verdana" w:hAnsi="Verdana"/>
                <w:sz w:val="20"/>
                <w:szCs w:val="20"/>
              </w:rPr>
              <w:lastRenderedPageBreak/>
              <w:t>FBKF de la industria manufacturera</w:t>
            </w:r>
          </w:p>
        </w:tc>
        <w:tc>
          <w:tcPr>
            <w:tcW w:w="2425" w:type="dxa"/>
            <w:vMerge/>
            <w:tcBorders>
              <w:left w:val="single" w:sz="4" w:space="0" w:color="auto"/>
              <w:bottom w:val="single" w:sz="4" w:space="0" w:color="auto"/>
              <w:right w:val="single" w:sz="4" w:space="0" w:color="auto"/>
            </w:tcBorders>
            <w:vAlign w:val="center"/>
          </w:tcPr>
          <w:p w:rsidR="00197CDD" w:rsidRPr="00E8274D" w:rsidRDefault="00197CDD" w:rsidP="00EC63DA">
            <w:pPr>
              <w:rPr>
                <w:rFonts w:ascii="Verdana" w:hAnsi="Verdana"/>
                <w:sz w:val="20"/>
                <w:szCs w:val="20"/>
                <w:lang w:eastAsia="es-EC"/>
              </w:rPr>
            </w:pPr>
          </w:p>
        </w:tc>
      </w:tr>
      <w:tr w:rsidR="00197CDD" w:rsidRPr="00E8274D" w:rsidTr="00E8274D">
        <w:tc>
          <w:tcPr>
            <w:tcW w:w="1809" w:type="dxa"/>
            <w:vMerge/>
            <w:tcBorders>
              <w:left w:val="single" w:sz="4" w:space="0" w:color="auto"/>
              <w:bottom w:val="single" w:sz="4" w:space="0" w:color="auto"/>
              <w:right w:val="single" w:sz="4" w:space="0" w:color="auto"/>
            </w:tcBorders>
            <w:vAlign w:val="center"/>
          </w:tcPr>
          <w:p w:rsidR="00197CDD" w:rsidRPr="00E8274D" w:rsidRDefault="00197CDD" w:rsidP="00EC63DA">
            <w:pPr>
              <w:rPr>
                <w:rFonts w:ascii="Verdana" w:hAnsi="Verdana"/>
                <w:sz w:val="20"/>
                <w:szCs w:val="20"/>
                <w:lang w:eastAsia="es-EC"/>
              </w:rPr>
            </w:pPr>
          </w:p>
        </w:tc>
        <w:tc>
          <w:tcPr>
            <w:tcW w:w="1560" w:type="dxa"/>
            <w:tcBorders>
              <w:top w:val="single" w:sz="4" w:space="0" w:color="auto"/>
              <w:left w:val="single" w:sz="4" w:space="0" w:color="auto"/>
              <w:bottom w:val="single" w:sz="4" w:space="0" w:color="auto"/>
              <w:right w:val="single" w:sz="4" w:space="0" w:color="auto"/>
            </w:tcBorders>
          </w:tcPr>
          <w:p w:rsidR="00197CDD" w:rsidRPr="00E8274D" w:rsidRDefault="00197CDD" w:rsidP="00EC63DA">
            <w:pPr>
              <w:pStyle w:val="Textoindependiente"/>
              <w:contextualSpacing/>
              <w:jc w:val="both"/>
              <w:rPr>
                <w:rFonts w:ascii="Verdana" w:hAnsi="Verdana"/>
                <w:sz w:val="20"/>
                <w:szCs w:val="20"/>
              </w:rPr>
            </w:pPr>
            <w:r w:rsidRPr="00E8274D">
              <w:rPr>
                <w:rFonts w:ascii="Verdana" w:hAnsi="Verdana"/>
                <w:sz w:val="20"/>
                <w:szCs w:val="20"/>
              </w:rPr>
              <w:t>Personal ocupado en el sector automotriz</w:t>
            </w:r>
          </w:p>
        </w:tc>
        <w:tc>
          <w:tcPr>
            <w:tcW w:w="3260" w:type="dxa"/>
            <w:tcBorders>
              <w:top w:val="single" w:sz="4" w:space="0" w:color="auto"/>
              <w:left w:val="single" w:sz="4" w:space="0" w:color="auto"/>
              <w:bottom w:val="single" w:sz="4" w:space="0" w:color="auto"/>
              <w:right w:val="single" w:sz="4" w:space="0" w:color="auto"/>
            </w:tcBorders>
          </w:tcPr>
          <w:p w:rsidR="00197CDD" w:rsidRPr="00E8274D" w:rsidRDefault="00197CDD" w:rsidP="00EC63DA">
            <w:pPr>
              <w:pStyle w:val="Textoindependiente"/>
              <w:numPr>
                <w:ilvl w:val="0"/>
                <w:numId w:val="28"/>
              </w:numPr>
              <w:spacing w:after="0"/>
              <w:contextualSpacing/>
              <w:jc w:val="both"/>
              <w:rPr>
                <w:rFonts w:ascii="Verdana" w:hAnsi="Verdana"/>
                <w:sz w:val="20"/>
                <w:szCs w:val="20"/>
              </w:rPr>
            </w:pPr>
            <w:r w:rsidRPr="00E8274D">
              <w:rPr>
                <w:rFonts w:ascii="Verdana" w:hAnsi="Verdana"/>
                <w:sz w:val="20"/>
                <w:szCs w:val="20"/>
              </w:rPr>
              <w:t>Por tipo de empresas</w:t>
            </w:r>
          </w:p>
        </w:tc>
        <w:tc>
          <w:tcPr>
            <w:tcW w:w="2425" w:type="dxa"/>
            <w:tcBorders>
              <w:left w:val="single" w:sz="4" w:space="0" w:color="auto"/>
              <w:bottom w:val="single" w:sz="4" w:space="0" w:color="auto"/>
              <w:right w:val="single" w:sz="4" w:space="0" w:color="auto"/>
            </w:tcBorders>
            <w:vAlign w:val="center"/>
          </w:tcPr>
          <w:p w:rsidR="00197CDD" w:rsidRPr="00E8274D" w:rsidRDefault="00197CDD" w:rsidP="00EC63DA">
            <w:pPr>
              <w:rPr>
                <w:rFonts w:ascii="Verdana" w:hAnsi="Verdana"/>
                <w:sz w:val="20"/>
                <w:szCs w:val="20"/>
                <w:lang w:eastAsia="es-EC"/>
              </w:rPr>
            </w:pPr>
            <w:r w:rsidRPr="00E8274D">
              <w:rPr>
                <w:rFonts w:ascii="Verdana" w:hAnsi="Verdana"/>
                <w:sz w:val="20"/>
                <w:szCs w:val="20"/>
                <w:lang w:eastAsia="es-EC"/>
              </w:rPr>
              <w:t>AEADE (2016) Sector automotor en cifras. Disponible en: http://aeade.net/wp-content/uploads/2016/11/cifras-000-1.pdf</w:t>
            </w:r>
          </w:p>
        </w:tc>
      </w:tr>
      <w:tr w:rsidR="00197CDD" w:rsidRPr="00E8274D" w:rsidTr="00E8274D">
        <w:tc>
          <w:tcPr>
            <w:tcW w:w="1809" w:type="dxa"/>
            <w:tcBorders>
              <w:top w:val="single" w:sz="4" w:space="0" w:color="auto"/>
              <w:left w:val="single" w:sz="4" w:space="0" w:color="auto"/>
              <w:bottom w:val="single" w:sz="4" w:space="0" w:color="auto"/>
              <w:right w:val="single" w:sz="4" w:space="0" w:color="auto"/>
            </w:tcBorders>
            <w:hideMark/>
          </w:tcPr>
          <w:p w:rsidR="00197CDD" w:rsidRPr="00E8274D" w:rsidRDefault="00197CDD" w:rsidP="00EC63DA">
            <w:pPr>
              <w:pStyle w:val="Textoindependiente"/>
              <w:contextualSpacing/>
              <w:jc w:val="center"/>
              <w:rPr>
                <w:rFonts w:ascii="Verdana" w:hAnsi="Verdana"/>
                <w:sz w:val="20"/>
                <w:szCs w:val="20"/>
              </w:rPr>
            </w:pPr>
            <w:r w:rsidRPr="00E8274D">
              <w:rPr>
                <w:rFonts w:ascii="Verdana" w:hAnsi="Verdana"/>
                <w:sz w:val="20"/>
                <w:szCs w:val="20"/>
              </w:rPr>
              <w:t>Identificar políticas económicas que impulsen al sector automotriz</w:t>
            </w:r>
          </w:p>
        </w:tc>
        <w:tc>
          <w:tcPr>
            <w:tcW w:w="1560" w:type="dxa"/>
            <w:tcBorders>
              <w:top w:val="single" w:sz="4" w:space="0" w:color="auto"/>
              <w:left w:val="single" w:sz="4" w:space="0" w:color="auto"/>
              <w:bottom w:val="single" w:sz="4" w:space="0" w:color="auto"/>
              <w:right w:val="single" w:sz="4" w:space="0" w:color="auto"/>
            </w:tcBorders>
          </w:tcPr>
          <w:p w:rsidR="00197CDD" w:rsidRPr="00E8274D" w:rsidRDefault="00197CDD" w:rsidP="00EC63DA">
            <w:pPr>
              <w:pStyle w:val="Textoindependiente"/>
              <w:contextualSpacing/>
              <w:jc w:val="both"/>
              <w:rPr>
                <w:rFonts w:ascii="Verdana" w:hAnsi="Verdana"/>
                <w:sz w:val="20"/>
                <w:szCs w:val="20"/>
              </w:rPr>
            </w:pPr>
          </w:p>
          <w:p w:rsidR="00197CDD" w:rsidRPr="00E8274D" w:rsidRDefault="00197CDD" w:rsidP="00EC63DA">
            <w:pPr>
              <w:pStyle w:val="Textoindependiente"/>
              <w:contextualSpacing/>
              <w:jc w:val="both"/>
              <w:rPr>
                <w:rFonts w:ascii="Verdana" w:hAnsi="Verdana"/>
                <w:sz w:val="20"/>
                <w:szCs w:val="20"/>
              </w:rPr>
            </w:pPr>
          </w:p>
          <w:p w:rsidR="00197CDD" w:rsidRPr="00E8274D" w:rsidRDefault="00197CDD" w:rsidP="00EC63DA">
            <w:pPr>
              <w:pStyle w:val="Textoindependiente"/>
              <w:contextualSpacing/>
              <w:jc w:val="both"/>
              <w:rPr>
                <w:rFonts w:ascii="Verdana" w:hAnsi="Verdana"/>
                <w:sz w:val="20"/>
                <w:szCs w:val="20"/>
              </w:rPr>
            </w:pPr>
            <w:r w:rsidRPr="00E8274D">
              <w:rPr>
                <w:rFonts w:ascii="Verdana" w:hAnsi="Verdana"/>
                <w:sz w:val="20"/>
                <w:szCs w:val="20"/>
              </w:rPr>
              <w:t>Entrevista</w:t>
            </w:r>
          </w:p>
        </w:tc>
        <w:tc>
          <w:tcPr>
            <w:tcW w:w="3260" w:type="dxa"/>
            <w:tcBorders>
              <w:top w:val="single" w:sz="4" w:space="0" w:color="auto"/>
              <w:left w:val="single" w:sz="4" w:space="0" w:color="auto"/>
              <w:bottom w:val="single" w:sz="4" w:space="0" w:color="auto"/>
              <w:right w:val="single" w:sz="4" w:space="0" w:color="auto"/>
            </w:tcBorders>
            <w:hideMark/>
          </w:tcPr>
          <w:p w:rsidR="00197CDD" w:rsidRPr="00E8274D" w:rsidRDefault="00197CDD" w:rsidP="00EC63DA">
            <w:pPr>
              <w:pStyle w:val="Textoindependiente"/>
              <w:numPr>
                <w:ilvl w:val="0"/>
                <w:numId w:val="28"/>
              </w:numPr>
              <w:spacing w:after="0"/>
              <w:contextualSpacing/>
              <w:jc w:val="both"/>
              <w:rPr>
                <w:rFonts w:ascii="Verdana" w:hAnsi="Verdana"/>
                <w:sz w:val="20"/>
                <w:szCs w:val="20"/>
              </w:rPr>
            </w:pPr>
            <w:r w:rsidRPr="00E8274D">
              <w:rPr>
                <w:rFonts w:ascii="Verdana" w:hAnsi="Verdana"/>
                <w:sz w:val="20"/>
                <w:szCs w:val="20"/>
              </w:rPr>
              <w:t>Estado, oportunidades y amenazas del sector automotriz ecuatoriano</w:t>
            </w:r>
          </w:p>
        </w:tc>
        <w:tc>
          <w:tcPr>
            <w:tcW w:w="2425" w:type="dxa"/>
            <w:tcBorders>
              <w:top w:val="single" w:sz="4" w:space="0" w:color="auto"/>
              <w:left w:val="single" w:sz="4" w:space="0" w:color="auto"/>
              <w:bottom w:val="single" w:sz="4" w:space="0" w:color="auto"/>
              <w:right w:val="single" w:sz="4" w:space="0" w:color="auto"/>
            </w:tcBorders>
          </w:tcPr>
          <w:p w:rsidR="00197CDD" w:rsidRPr="00E8274D" w:rsidRDefault="00197CDD" w:rsidP="00EC63DA">
            <w:pPr>
              <w:pStyle w:val="Textoindependiente"/>
              <w:contextualSpacing/>
              <w:jc w:val="both"/>
              <w:rPr>
                <w:rFonts w:ascii="Verdana" w:hAnsi="Verdana"/>
                <w:sz w:val="20"/>
                <w:szCs w:val="20"/>
              </w:rPr>
            </w:pPr>
            <w:r w:rsidRPr="00E8274D">
              <w:rPr>
                <w:rFonts w:ascii="Verdana" w:hAnsi="Verdana"/>
                <w:sz w:val="20"/>
                <w:szCs w:val="20"/>
              </w:rPr>
              <w:t>Director ejecutivo de la CINAE: Eco. David Molina</w:t>
            </w:r>
          </w:p>
          <w:p w:rsidR="00197CDD" w:rsidRPr="00E8274D" w:rsidRDefault="00197CDD" w:rsidP="00EC63DA">
            <w:pPr>
              <w:pStyle w:val="Textoindependiente"/>
              <w:ind w:left="720"/>
              <w:contextualSpacing/>
              <w:jc w:val="both"/>
              <w:rPr>
                <w:rFonts w:ascii="Verdana" w:hAnsi="Verdana"/>
                <w:sz w:val="20"/>
                <w:szCs w:val="20"/>
              </w:rPr>
            </w:pPr>
          </w:p>
        </w:tc>
      </w:tr>
    </w:tbl>
    <w:p w:rsidR="00197CDD" w:rsidRPr="00197CDD" w:rsidRDefault="00197CDD" w:rsidP="00EC63DA">
      <w:pPr>
        <w:jc w:val="both"/>
        <w:rPr>
          <w:rFonts w:ascii="Verdana" w:hAnsi="Verdana"/>
        </w:rPr>
      </w:pPr>
    </w:p>
    <w:p w:rsidR="00F12876" w:rsidRPr="00EE4D50" w:rsidRDefault="00F12876" w:rsidP="00EC63DA">
      <w:pPr>
        <w:spacing w:after="60"/>
        <w:jc w:val="both"/>
        <w:rPr>
          <w:rFonts w:ascii="Verdana" w:hAnsi="Verdana" w:cs="Times New Roman"/>
          <w:b/>
        </w:rPr>
      </w:pPr>
    </w:p>
    <w:p w:rsidR="004D467B" w:rsidRPr="00EE4D50" w:rsidRDefault="00BB3D26" w:rsidP="00EC63DA">
      <w:pPr>
        <w:pStyle w:val="Ttulo2"/>
        <w:rPr>
          <w:rFonts w:cs="Times New Roman"/>
        </w:rPr>
      </w:pPr>
      <w:bookmarkStart w:id="12" w:name="_Toc485137187"/>
      <w:r w:rsidRPr="00EE4D50">
        <w:rPr>
          <w:rFonts w:cs="Times New Roman"/>
        </w:rPr>
        <w:t>Delimitación</w:t>
      </w:r>
      <w:bookmarkEnd w:id="12"/>
    </w:p>
    <w:p w:rsidR="004D467B" w:rsidRPr="00EE4D50" w:rsidRDefault="004D467B" w:rsidP="00EC63DA">
      <w:pPr>
        <w:pStyle w:val="Ttulo2"/>
        <w:rPr>
          <w:rFonts w:cs="Times New Roman"/>
        </w:rPr>
      </w:pPr>
    </w:p>
    <w:p w:rsidR="00BB3D26" w:rsidRPr="00EE4D50" w:rsidRDefault="00BB3D26" w:rsidP="00EC63DA">
      <w:pPr>
        <w:pStyle w:val="Ttulo2"/>
        <w:rPr>
          <w:rFonts w:cs="Times New Roman"/>
        </w:rPr>
      </w:pPr>
      <w:bookmarkStart w:id="13" w:name="_Toc485137188"/>
      <w:r w:rsidRPr="00EE4D50">
        <w:rPr>
          <w:rFonts w:cs="Times New Roman"/>
        </w:rPr>
        <w:t>Espacial:</w:t>
      </w:r>
      <w:bookmarkEnd w:id="13"/>
    </w:p>
    <w:p w:rsidR="004D467B" w:rsidRPr="00EE4D50" w:rsidRDefault="004D467B" w:rsidP="00EC63DA">
      <w:pPr>
        <w:spacing w:after="60"/>
        <w:jc w:val="both"/>
        <w:rPr>
          <w:rFonts w:ascii="Verdana" w:hAnsi="Verdana" w:cs="Times New Roman"/>
        </w:rPr>
      </w:pPr>
    </w:p>
    <w:p w:rsidR="00562053" w:rsidRPr="00EE4D50" w:rsidRDefault="00BB3D26" w:rsidP="00EC63DA">
      <w:pPr>
        <w:spacing w:after="60"/>
        <w:jc w:val="both"/>
        <w:rPr>
          <w:rFonts w:ascii="Verdana" w:hAnsi="Verdana" w:cs="Times New Roman"/>
        </w:rPr>
      </w:pPr>
      <w:r w:rsidRPr="00EE4D50">
        <w:rPr>
          <w:rFonts w:ascii="Verdana" w:hAnsi="Verdana" w:cs="Times New Roman"/>
        </w:rPr>
        <w:t>La unidad de análisis se concentra en la industria automotriz ecuatoriana, específicamente en la actividad económica dedicada al ensamblaje de vehículos porque es un sector que encadena a los produc</w:t>
      </w:r>
      <w:r w:rsidR="000B2352" w:rsidRPr="00EE4D50">
        <w:rPr>
          <w:rFonts w:ascii="Verdana" w:hAnsi="Verdana" w:cs="Times New Roman"/>
        </w:rPr>
        <w:t>tores nacionales de autopartes.</w:t>
      </w:r>
    </w:p>
    <w:p w:rsidR="000B2352" w:rsidRPr="00EE4D50" w:rsidRDefault="000B2352" w:rsidP="00EC63DA">
      <w:pPr>
        <w:spacing w:after="60"/>
        <w:jc w:val="both"/>
        <w:rPr>
          <w:rFonts w:ascii="Verdana" w:hAnsi="Verdana" w:cs="Times New Roman"/>
          <w:i/>
          <w:sz w:val="28"/>
          <w:szCs w:val="32"/>
        </w:rPr>
      </w:pPr>
    </w:p>
    <w:p w:rsidR="00BB3D26" w:rsidRPr="00EE4D50" w:rsidRDefault="00BB3D26" w:rsidP="00EC63DA">
      <w:pPr>
        <w:pStyle w:val="Ttulo2"/>
        <w:rPr>
          <w:rFonts w:cs="Times New Roman"/>
        </w:rPr>
      </w:pPr>
      <w:bookmarkStart w:id="14" w:name="_Toc485137189"/>
      <w:r w:rsidRPr="00EE4D50">
        <w:rPr>
          <w:rFonts w:cs="Times New Roman"/>
        </w:rPr>
        <w:t>Temporal:</w:t>
      </w:r>
      <w:bookmarkEnd w:id="14"/>
    </w:p>
    <w:p w:rsidR="004D467B" w:rsidRPr="00EE4D50" w:rsidRDefault="004D467B" w:rsidP="00EC63DA">
      <w:pPr>
        <w:spacing w:after="60"/>
        <w:jc w:val="both"/>
        <w:rPr>
          <w:rFonts w:ascii="Verdana" w:hAnsi="Verdana" w:cs="Times New Roman"/>
        </w:rPr>
      </w:pPr>
    </w:p>
    <w:p w:rsidR="00BB3D26" w:rsidRPr="00EE4D50" w:rsidRDefault="00BB3D26" w:rsidP="00EC63DA">
      <w:pPr>
        <w:jc w:val="both"/>
        <w:rPr>
          <w:rFonts w:ascii="Verdana" w:hAnsi="Verdana" w:cs="Times New Roman"/>
        </w:rPr>
      </w:pPr>
      <w:r w:rsidRPr="00EE4D50">
        <w:rPr>
          <w:rFonts w:ascii="Verdana" w:hAnsi="Verdana" w:cs="Times New Roman"/>
        </w:rPr>
        <w:t>De acuerdo a los datos disponibles, se analizará desde 1980 al 2015 en tres fases. La primera fase presenta una reseña histórica desde el inicio del sector automotriz en la década de los setentas hasta el inicio del esquema monetario de la dolarización (ciclo de desarrollo). Luego, otro momento durante los años 2003 y 2010 (ciclo de estabilidad). Mientras que la siguiente y más importante fase temporal de la investigación compr</w:t>
      </w:r>
      <w:r w:rsidR="00B82378">
        <w:rPr>
          <w:rFonts w:ascii="Verdana" w:hAnsi="Verdana" w:cs="Times New Roman"/>
        </w:rPr>
        <w:t>ende al periodo 2011-2015 (ciclo</w:t>
      </w:r>
      <w:r w:rsidRPr="00EE4D50">
        <w:rPr>
          <w:rFonts w:ascii="Verdana" w:hAnsi="Verdana" w:cs="Times New Roman"/>
        </w:rPr>
        <w:t xml:space="preserve"> de auge y recesión).</w:t>
      </w:r>
    </w:p>
    <w:p w:rsidR="00BD1008" w:rsidRPr="00EE4D50" w:rsidRDefault="00BD1008" w:rsidP="00EC63DA">
      <w:pPr>
        <w:jc w:val="both"/>
        <w:rPr>
          <w:rFonts w:ascii="Verdana" w:hAnsi="Verdana" w:cs="Times New Roman"/>
        </w:rPr>
      </w:pPr>
    </w:p>
    <w:p w:rsidR="00BD1008" w:rsidRPr="00EE4D50" w:rsidRDefault="00BD1008" w:rsidP="00EC63DA">
      <w:pPr>
        <w:jc w:val="both"/>
        <w:rPr>
          <w:rFonts w:ascii="Verdana" w:hAnsi="Verdana" w:cs="Times New Roman"/>
        </w:rPr>
      </w:pPr>
    </w:p>
    <w:p w:rsidR="00462D4D" w:rsidRDefault="00462D4D" w:rsidP="00EC63DA">
      <w:pPr>
        <w:pStyle w:val="Ttulo1"/>
        <w:spacing w:before="0" w:after="60"/>
        <w:rPr>
          <w:rFonts w:ascii="Verdana" w:eastAsiaTheme="minorHAnsi" w:hAnsi="Verdana" w:cs="Times New Roman"/>
          <w:b w:val="0"/>
          <w:bCs w:val="0"/>
          <w:color w:val="auto"/>
          <w:sz w:val="22"/>
          <w:szCs w:val="22"/>
          <w:lang w:val="es-EC"/>
        </w:rPr>
      </w:pPr>
    </w:p>
    <w:p w:rsidR="00E8274D" w:rsidRPr="00E8274D" w:rsidRDefault="00E8274D" w:rsidP="00EC63DA"/>
    <w:p w:rsidR="006769C1" w:rsidRPr="006769C1" w:rsidRDefault="006769C1" w:rsidP="00EC63DA"/>
    <w:p w:rsidR="00642B20" w:rsidRDefault="00BB07EF" w:rsidP="00EC63DA">
      <w:pPr>
        <w:pStyle w:val="Ttulo1"/>
        <w:spacing w:before="0" w:after="60"/>
        <w:jc w:val="center"/>
        <w:rPr>
          <w:rFonts w:ascii="Verdana" w:hAnsi="Verdana" w:cs="Times New Roman"/>
          <w:i/>
          <w:color w:val="auto"/>
          <w:sz w:val="32"/>
          <w:szCs w:val="22"/>
        </w:rPr>
      </w:pPr>
      <w:bookmarkStart w:id="15" w:name="_Toc485137190"/>
      <w:r w:rsidRPr="00EE4D50">
        <w:rPr>
          <w:rFonts w:ascii="Verdana" w:hAnsi="Verdana" w:cs="Times New Roman"/>
          <w:i/>
          <w:color w:val="auto"/>
          <w:sz w:val="32"/>
          <w:szCs w:val="22"/>
        </w:rPr>
        <w:lastRenderedPageBreak/>
        <w:t>Fundamentación teórica</w:t>
      </w:r>
      <w:bookmarkEnd w:id="15"/>
    </w:p>
    <w:p w:rsidR="00462D4D" w:rsidRPr="00462D4D" w:rsidRDefault="00462D4D" w:rsidP="00EC63DA">
      <w:pPr>
        <w:rPr>
          <w:lang w:val="es-US"/>
        </w:rPr>
      </w:pPr>
    </w:p>
    <w:p w:rsidR="00BB07EF" w:rsidRPr="00EE4D50" w:rsidRDefault="00BB07EF" w:rsidP="00EC63DA">
      <w:pPr>
        <w:pStyle w:val="Ttulo2"/>
        <w:rPr>
          <w:rFonts w:cs="Times New Roman"/>
        </w:rPr>
      </w:pPr>
      <w:bookmarkStart w:id="16" w:name="_Toc485137191"/>
      <w:r w:rsidRPr="00EE4D50">
        <w:rPr>
          <w:rFonts w:cs="Times New Roman"/>
        </w:rPr>
        <w:t>Adam Smith</w:t>
      </w:r>
      <w:bookmarkEnd w:id="16"/>
    </w:p>
    <w:p w:rsidR="00161409" w:rsidRPr="00EE4D50" w:rsidRDefault="00161409" w:rsidP="00EC63DA">
      <w:pPr>
        <w:spacing w:after="60"/>
        <w:jc w:val="both"/>
        <w:rPr>
          <w:rFonts w:ascii="Verdana" w:hAnsi="Verdana" w:cs="Times New Roman"/>
          <w:lang w:val="es-US"/>
        </w:rPr>
      </w:pPr>
    </w:p>
    <w:p w:rsidR="00BB07EF" w:rsidRPr="00EE4D50" w:rsidRDefault="00BB07EF" w:rsidP="00EC63DA">
      <w:pPr>
        <w:spacing w:after="60"/>
        <w:jc w:val="both"/>
        <w:rPr>
          <w:rFonts w:ascii="Verdana" w:hAnsi="Verdana" w:cs="Times New Roman"/>
        </w:rPr>
      </w:pPr>
      <w:r w:rsidRPr="00EE4D50">
        <w:rPr>
          <w:rFonts w:ascii="Verdana" w:hAnsi="Verdana" w:cs="Times New Roman"/>
        </w:rPr>
        <w:t>Adam Smith</w:t>
      </w:r>
      <w:r w:rsidRPr="00EE4D50">
        <w:rPr>
          <w:rStyle w:val="Refdenotaalpie"/>
          <w:rFonts w:ascii="Verdana" w:hAnsi="Verdana" w:cs="Times New Roman"/>
        </w:rPr>
        <w:footnoteReference w:id="1"/>
      </w:r>
      <w:r w:rsidRPr="00EE4D50">
        <w:rPr>
          <w:rFonts w:ascii="Verdana" w:hAnsi="Verdana" w:cs="Times New Roman"/>
        </w:rPr>
        <w:t xml:space="preserve"> fue uno de los defensores del libre comercio, para él, este concepto promovía a la división internacional del trabajo y los países podían agrupar su producción en bienes que lograrían ser elaborados en un menor costo; de manera que haya un eficiente intercambio internacional  entre los países a través de su especialización en el factor trabajo, y así poder elevar la riqueza de una nación. En resumen, la teoría del valor trabajo de Smith comprende: 1) el trabajo es el único factor de producción homogéneo con una misma calidad, y 2) el precio de un bien depende únicamente de la calidad de trabajo que se necesita para su produc</w:t>
      </w:r>
      <w:r w:rsidR="006E6D87">
        <w:rPr>
          <w:rFonts w:ascii="Verdana" w:hAnsi="Verdana" w:cs="Times New Roman"/>
        </w:rPr>
        <w:t>ción  (</w:t>
      </w:r>
      <w:r w:rsidR="00925F38">
        <w:rPr>
          <w:rFonts w:ascii="Verdana" w:hAnsi="Verdana" w:cs="Times New Roman"/>
        </w:rPr>
        <w:t xml:space="preserve">Smith, 2004, </w:t>
      </w:r>
      <w:r w:rsidR="006E6D87">
        <w:rPr>
          <w:rFonts w:ascii="Verdana" w:hAnsi="Verdana" w:cs="Times New Roman"/>
        </w:rPr>
        <w:t>citado en Andrade, 2014:</w:t>
      </w:r>
      <w:r w:rsidR="00921745">
        <w:rPr>
          <w:rFonts w:ascii="Verdana" w:hAnsi="Verdana" w:cs="Times New Roman"/>
        </w:rPr>
        <w:t xml:space="preserve"> </w:t>
      </w:r>
      <w:r w:rsidRPr="00EE4D50">
        <w:rPr>
          <w:rFonts w:ascii="Verdana" w:hAnsi="Verdana" w:cs="Times New Roman"/>
        </w:rPr>
        <w:t>15).</w:t>
      </w:r>
    </w:p>
    <w:p w:rsidR="000B2352" w:rsidRPr="00EE4D50" w:rsidRDefault="000B2352" w:rsidP="00EC63DA">
      <w:pPr>
        <w:spacing w:after="60"/>
        <w:jc w:val="both"/>
        <w:rPr>
          <w:rFonts w:ascii="Verdana" w:hAnsi="Verdana" w:cs="Times New Roman"/>
        </w:rPr>
      </w:pPr>
    </w:p>
    <w:p w:rsidR="004D467B" w:rsidRPr="00EE4D50" w:rsidRDefault="00BB07EF" w:rsidP="00EC63DA">
      <w:pPr>
        <w:spacing w:after="60"/>
        <w:jc w:val="both"/>
        <w:rPr>
          <w:rFonts w:ascii="Verdana" w:hAnsi="Verdana" w:cs="Times New Roman"/>
        </w:rPr>
      </w:pPr>
      <w:r w:rsidRPr="00EE4D50">
        <w:rPr>
          <w:rFonts w:ascii="Verdana" w:hAnsi="Verdana" w:cs="Times New Roman"/>
        </w:rPr>
        <w:t>De acuerdo con Smith, las naciones se benefician de mayor manera al producir los bienes que le generan un menor costo para exportarlos e importar aquellos que le producen mayor costo. Es decir, cada nación debe ser eficiente en términos absolutos que su socio comercial.  De esta premisa surge el principio comercial denominado ventaja absoluta, la cual es el resultado de utilizar eficientemente a los recursos en el marco de la especialización. “Una nación importará aquellos bienes respecto de los cuales posee una desventaja absoluta de costos y exportará los bienes respecto de los cuales posee una ventaja absoluta en costos”</w:t>
      </w:r>
      <w:r w:rsidR="00876150" w:rsidRPr="00EE4D50">
        <w:rPr>
          <w:rFonts w:ascii="Verdana" w:hAnsi="Verdana" w:cs="Times New Roman"/>
        </w:rPr>
        <w:t xml:space="preserve"> </w:t>
      </w:r>
      <w:r w:rsidR="00DA4758" w:rsidRPr="00EE4D50">
        <w:rPr>
          <w:rFonts w:ascii="Verdana" w:hAnsi="Verdana" w:cs="Times New Roman"/>
        </w:rPr>
        <w:t>(</w:t>
      </w:r>
      <w:r w:rsidR="004D467B" w:rsidRPr="00EE4D50">
        <w:rPr>
          <w:rFonts w:ascii="Verdana" w:hAnsi="Verdana" w:cs="Times New Roman"/>
        </w:rPr>
        <w:t>Andrade, 2014:</w:t>
      </w:r>
      <w:r w:rsidR="00921745">
        <w:rPr>
          <w:rFonts w:ascii="Verdana" w:hAnsi="Verdana" w:cs="Times New Roman"/>
        </w:rPr>
        <w:t xml:space="preserve"> </w:t>
      </w:r>
      <w:r w:rsidR="004D467B" w:rsidRPr="00EE4D50">
        <w:rPr>
          <w:rFonts w:ascii="Verdana" w:hAnsi="Verdana" w:cs="Times New Roman"/>
        </w:rPr>
        <w:t>20).</w:t>
      </w:r>
    </w:p>
    <w:p w:rsidR="004D467B" w:rsidRPr="00EE4D50" w:rsidRDefault="004D467B" w:rsidP="00EC63DA">
      <w:pPr>
        <w:spacing w:after="60"/>
        <w:jc w:val="both"/>
        <w:rPr>
          <w:rFonts w:ascii="Verdana" w:hAnsi="Verdana" w:cs="Times New Roman"/>
        </w:rPr>
      </w:pPr>
    </w:p>
    <w:p w:rsidR="004D467B" w:rsidRPr="00EE4D50" w:rsidRDefault="00BB07EF" w:rsidP="00EC63DA">
      <w:pPr>
        <w:spacing w:after="60"/>
        <w:jc w:val="both"/>
        <w:rPr>
          <w:rFonts w:ascii="Verdana" w:hAnsi="Verdana" w:cs="Times New Roman"/>
        </w:rPr>
      </w:pPr>
      <w:r w:rsidRPr="00EE4D50">
        <w:rPr>
          <w:rFonts w:ascii="Verdana" w:hAnsi="Verdana" w:cs="Times New Roman"/>
        </w:rPr>
        <w:t>La ventaja absoluta es la capacidad que tiene un país, con factores de producción mínimos o en menor cantidad que otros, para producir un bien, ya que a la hora de comparar diferentes productos se puede identificar los procesos mejorados entre ambos, los cuales pueden ser, tecnología, tiempo, capital, mejor recurso humano, entre otros. En otras palabras, el país que utilice menos recursos para producir un bien o servicio, se diría que tiene ventaj</w:t>
      </w:r>
      <w:r w:rsidR="00BD1008" w:rsidRPr="00EE4D50">
        <w:rPr>
          <w:rFonts w:ascii="Verdana" w:hAnsi="Verdana" w:cs="Times New Roman"/>
        </w:rPr>
        <w:t>a absoluta (Economipedia, 2015).</w:t>
      </w:r>
    </w:p>
    <w:p w:rsidR="00BD1008" w:rsidRPr="00EE4D50" w:rsidRDefault="00BD1008" w:rsidP="00EC63DA">
      <w:pPr>
        <w:spacing w:after="60"/>
        <w:jc w:val="both"/>
        <w:rPr>
          <w:rFonts w:ascii="Verdana" w:hAnsi="Verdana" w:cs="Times New Roman"/>
        </w:rPr>
      </w:pPr>
    </w:p>
    <w:p w:rsidR="004D467B" w:rsidRPr="00EE4D50" w:rsidRDefault="00BB07EF" w:rsidP="00EC63DA">
      <w:pPr>
        <w:spacing w:after="60"/>
        <w:jc w:val="both"/>
        <w:rPr>
          <w:rFonts w:ascii="Verdana" w:hAnsi="Verdana" w:cs="Times New Roman"/>
        </w:rPr>
      </w:pPr>
      <w:r w:rsidRPr="00EE4D50">
        <w:rPr>
          <w:rFonts w:ascii="Verdana" w:hAnsi="Verdana" w:cs="Times New Roman"/>
        </w:rPr>
        <w:t>La eficiencia del comercio internacional según la teoría de la ventaja absoluta es cuando los países que presentan ventaja absoluta en sus bienes, exportan a otros países y obtiene ganancia por ello, ya que los recursos que se destina para la producción son escasos. El comercio internacional es mutuamente beneficioso para los países participantes bajo la perspectiva de la ventaja absoluta (Economipedia, 2015)</w:t>
      </w:r>
    </w:p>
    <w:p w:rsidR="00BB07EF" w:rsidRPr="00EE4D50" w:rsidRDefault="00BB07EF" w:rsidP="00EC63DA">
      <w:pPr>
        <w:spacing w:after="60"/>
        <w:jc w:val="both"/>
        <w:rPr>
          <w:rFonts w:ascii="Verdana" w:hAnsi="Verdana" w:cs="Times New Roman"/>
        </w:rPr>
      </w:pPr>
      <w:r w:rsidRPr="00EE4D50">
        <w:rPr>
          <w:rFonts w:ascii="Verdana" w:hAnsi="Verdana" w:cs="Times New Roman"/>
        </w:rPr>
        <w:lastRenderedPageBreak/>
        <w:t>Para Adam Smith, ésta teoría, bajo un libre cambio, debe especializarse en la elaboración de las mercancías lo más eficientemente posible; y así poder importarlas para tener ganancias, de manera que ese país tenga ventaja absoluta, la cual debe representar un coste menor de la producción en términos de trabajo con respecto a los demás países (EFI- Economía, 2016).</w:t>
      </w:r>
    </w:p>
    <w:p w:rsidR="004D467B" w:rsidRPr="00EE4D50" w:rsidRDefault="004D467B" w:rsidP="00EC63DA">
      <w:pPr>
        <w:spacing w:after="60"/>
        <w:jc w:val="both"/>
        <w:rPr>
          <w:rFonts w:ascii="Verdana" w:hAnsi="Verdana" w:cs="Times New Roman"/>
        </w:rPr>
      </w:pPr>
    </w:p>
    <w:p w:rsidR="00BB07EF" w:rsidRDefault="00BB07EF" w:rsidP="00EC63DA">
      <w:pPr>
        <w:spacing w:after="60"/>
        <w:jc w:val="both"/>
        <w:rPr>
          <w:rFonts w:ascii="Verdana" w:hAnsi="Verdana" w:cs="Times New Roman"/>
        </w:rPr>
      </w:pPr>
      <w:r w:rsidRPr="00EE4D50">
        <w:rPr>
          <w:rFonts w:ascii="Verdana" w:hAnsi="Verdana" w:cs="Times New Roman"/>
        </w:rPr>
        <w:t>Adam Smith desarrolló este análisis bajo tres principios. Según EFI- Economía (2016):</w:t>
      </w:r>
    </w:p>
    <w:p w:rsidR="00462D4D" w:rsidRPr="00EE4D50" w:rsidRDefault="00462D4D" w:rsidP="00EC63DA">
      <w:pPr>
        <w:spacing w:after="60"/>
        <w:jc w:val="both"/>
        <w:rPr>
          <w:rFonts w:ascii="Verdana" w:hAnsi="Verdana" w:cs="Times New Roman"/>
        </w:rPr>
      </w:pPr>
    </w:p>
    <w:p w:rsidR="00BB07EF" w:rsidRPr="00EE4D50" w:rsidRDefault="00BB07EF" w:rsidP="00EC63DA">
      <w:pPr>
        <w:spacing w:line="240" w:lineRule="auto"/>
        <w:ind w:left="709" w:hanging="1"/>
        <w:jc w:val="both"/>
        <w:rPr>
          <w:rFonts w:ascii="Verdana" w:hAnsi="Verdana" w:cs="Times New Roman"/>
          <w:sz w:val="20"/>
        </w:rPr>
      </w:pPr>
      <w:r w:rsidRPr="00EE4D50">
        <w:rPr>
          <w:rFonts w:ascii="Verdana" w:hAnsi="Verdana" w:cs="Times New Roman"/>
          <w:sz w:val="20"/>
        </w:rPr>
        <w:t>1. El dinero solo era un mecanismo para los cálculos que no tenían en las cuentas de las relaciones productivas sino los intereses de las autoridades.</w:t>
      </w:r>
    </w:p>
    <w:p w:rsidR="00BB07EF" w:rsidRPr="00EE4D50" w:rsidRDefault="00BB07EF" w:rsidP="00EC63DA">
      <w:pPr>
        <w:spacing w:line="240" w:lineRule="auto"/>
        <w:ind w:left="709" w:hanging="1"/>
        <w:jc w:val="both"/>
        <w:rPr>
          <w:rFonts w:ascii="Verdana" w:hAnsi="Verdana" w:cs="Times New Roman"/>
          <w:sz w:val="20"/>
        </w:rPr>
      </w:pPr>
      <w:r w:rsidRPr="00EE4D50">
        <w:rPr>
          <w:rFonts w:ascii="Verdana" w:hAnsi="Verdana" w:cs="Times New Roman"/>
          <w:sz w:val="20"/>
        </w:rPr>
        <w:t>2. La riqueza de una nación no se mide por la cantidad de oro acumulado, sino por la magnitud de su capacidad productiva en periodos y condiciones determinadas.</w:t>
      </w:r>
    </w:p>
    <w:p w:rsidR="004D467B" w:rsidRPr="00EE4D50" w:rsidRDefault="00BB07EF" w:rsidP="00EC63DA">
      <w:pPr>
        <w:spacing w:after="60" w:line="240" w:lineRule="auto"/>
        <w:ind w:left="709" w:hanging="1"/>
        <w:jc w:val="both"/>
        <w:rPr>
          <w:rFonts w:ascii="Verdana" w:hAnsi="Verdana" w:cs="Times New Roman"/>
          <w:sz w:val="20"/>
        </w:rPr>
      </w:pPr>
      <w:r w:rsidRPr="00EE4D50">
        <w:rPr>
          <w:rFonts w:ascii="Verdana" w:hAnsi="Verdana" w:cs="Times New Roman"/>
          <w:sz w:val="20"/>
        </w:rPr>
        <w:t xml:space="preserve">3. El trabajo es el patrón único de medida que tiene la propiedad de invariable frente al tiempo y la distribución y con el cual todos los bienes pueden comprarse y la riqueza se pueda </w:t>
      </w:r>
      <w:r w:rsidR="0012641E" w:rsidRPr="00EE4D50">
        <w:rPr>
          <w:rFonts w:ascii="Verdana" w:hAnsi="Verdana" w:cs="Times New Roman"/>
          <w:sz w:val="20"/>
        </w:rPr>
        <w:t>cuantificar en términos reales.</w:t>
      </w:r>
    </w:p>
    <w:p w:rsidR="0012641E" w:rsidRPr="00EE4D50" w:rsidRDefault="0012641E" w:rsidP="00EC63DA">
      <w:pPr>
        <w:spacing w:after="60"/>
        <w:ind w:left="709" w:hanging="709"/>
        <w:jc w:val="both"/>
        <w:rPr>
          <w:rFonts w:ascii="Verdana" w:hAnsi="Verdana" w:cs="Times New Roman"/>
          <w:sz w:val="20"/>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 premisa para que esta teoría se cumpla, es que exista comercio entre dos países y uno de ellos tenga ventaja absoluta en la producción de los bienes que se comercialicen, al tener ventaja absoluta en la producción de un bien se refiere a que puede producir ese bien con una menor cantidad de trabajo  con relación a los otros países produciendo ese mismo bien. Desde esta perspectiva todos los países saldrían ganando con el comercio  para una eficiencia a nivel internacional (EFI- Economía, 2016).</w:t>
      </w:r>
    </w:p>
    <w:p w:rsidR="00642B20" w:rsidRPr="00EE4D50" w:rsidRDefault="00642B20" w:rsidP="00EC63DA">
      <w:pPr>
        <w:spacing w:after="60"/>
        <w:jc w:val="both"/>
        <w:rPr>
          <w:rFonts w:ascii="Verdana" w:hAnsi="Verdana" w:cs="Times New Roman"/>
        </w:rPr>
      </w:pPr>
    </w:p>
    <w:p w:rsidR="00161409" w:rsidRPr="00EE4D50" w:rsidRDefault="00BB07EF" w:rsidP="00EC63DA">
      <w:pPr>
        <w:pStyle w:val="Ttulo2"/>
        <w:rPr>
          <w:rFonts w:cs="Times New Roman"/>
        </w:rPr>
      </w:pPr>
      <w:bookmarkStart w:id="17" w:name="_Toc485137192"/>
      <w:r w:rsidRPr="00EE4D50">
        <w:rPr>
          <w:rFonts w:cs="Times New Roman"/>
        </w:rPr>
        <w:t>David Ricardo</w:t>
      </w:r>
      <w:bookmarkEnd w:id="17"/>
    </w:p>
    <w:p w:rsidR="00BB07EF" w:rsidRPr="00EE4D50" w:rsidRDefault="00BB07EF" w:rsidP="00EC63DA">
      <w:pPr>
        <w:spacing w:after="60"/>
        <w:jc w:val="both"/>
        <w:rPr>
          <w:rFonts w:ascii="Verdana" w:hAnsi="Verdana" w:cs="Times New Roman"/>
        </w:rPr>
      </w:pPr>
      <w:r w:rsidRPr="00EE4D50">
        <w:rPr>
          <w:rFonts w:ascii="Verdana" w:hAnsi="Verdana" w:cs="Times New Roman"/>
        </w:rPr>
        <w:tab/>
      </w:r>
    </w:p>
    <w:p w:rsidR="00BB07EF" w:rsidRPr="00EE4D50" w:rsidRDefault="00BB07EF" w:rsidP="00EC63DA">
      <w:pPr>
        <w:spacing w:after="60"/>
        <w:jc w:val="both"/>
        <w:rPr>
          <w:rFonts w:ascii="Verdana" w:hAnsi="Verdana" w:cs="Times New Roman"/>
        </w:rPr>
      </w:pPr>
      <w:r w:rsidRPr="00EE4D50">
        <w:rPr>
          <w:rFonts w:ascii="Verdana" w:hAnsi="Verdana" w:cs="Times New Roman"/>
        </w:rPr>
        <w:t>Según David Ricardo</w:t>
      </w:r>
      <w:r w:rsidRPr="00EE4D50">
        <w:rPr>
          <w:rStyle w:val="Refdenotaalpie"/>
          <w:rFonts w:ascii="Verdana" w:hAnsi="Verdana" w:cs="Times New Roman"/>
        </w:rPr>
        <w:footnoteReference w:id="2"/>
      </w:r>
      <w:r w:rsidRPr="00EE4D50">
        <w:rPr>
          <w:rFonts w:ascii="Verdana" w:hAnsi="Verdana" w:cs="Times New Roman"/>
        </w:rPr>
        <w:t>, para que haya un intercambio comercial entre países se debe seguir dos caminos: 1) Los países comercializan porque son diferentes y 2) Los países mercantilizan para conseguir economías de escala en su producción. Esto quiere decir que es mejor que los países se especialicen en un producto del que sean buenos, a que traten de producir dos bienes de los que no pueden ser eficientes (Andrade, 2014: 16).</w:t>
      </w:r>
    </w:p>
    <w:p w:rsidR="004D467B" w:rsidRPr="00EE4D50" w:rsidRDefault="004D467B" w:rsidP="00EC63DA">
      <w:pPr>
        <w:spacing w:after="60"/>
        <w:jc w:val="both"/>
        <w:rPr>
          <w:rFonts w:ascii="Verdana" w:hAnsi="Verdana" w:cs="Times New Roman"/>
        </w:rPr>
      </w:pPr>
    </w:p>
    <w:p w:rsidR="00BB07EF" w:rsidRDefault="00BB07EF" w:rsidP="00EC63DA">
      <w:pPr>
        <w:spacing w:after="60"/>
        <w:jc w:val="both"/>
        <w:rPr>
          <w:rFonts w:ascii="Verdana" w:hAnsi="Verdana" w:cs="Times New Roman"/>
        </w:rPr>
      </w:pPr>
      <w:r w:rsidRPr="00EE4D50">
        <w:rPr>
          <w:rFonts w:ascii="Verdana" w:hAnsi="Verdana" w:cs="Times New Roman"/>
        </w:rPr>
        <w:t>Según Coyuntura-economía (2010), el economista Samuelson resumió de manera lúcida el concepto de ventaja comparativa así:</w:t>
      </w:r>
    </w:p>
    <w:p w:rsidR="00462D4D" w:rsidRPr="00EE4D50" w:rsidRDefault="00462D4D" w:rsidP="00EC63DA">
      <w:pPr>
        <w:spacing w:after="60"/>
        <w:jc w:val="both"/>
        <w:rPr>
          <w:rFonts w:ascii="Verdana" w:hAnsi="Verdana" w:cs="Times New Roman"/>
        </w:rPr>
      </w:pPr>
    </w:p>
    <w:p w:rsidR="00BB07EF" w:rsidRPr="00EE4D50" w:rsidRDefault="00BB07EF" w:rsidP="00EC63DA">
      <w:pPr>
        <w:spacing w:after="60" w:line="240" w:lineRule="auto"/>
        <w:ind w:left="709" w:hanging="1"/>
        <w:jc w:val="both"/>
        <w:rPr>
          <w:rFonts w:ascii="Verdana" w:hAnsi="Verdana" w:cs="Times New Roman"/>
          <w:sz w:val="20"/>
        </w:rPr>
      </w:pPr>
      <w:r w:rsidRPr="00EE4D50">
        <w:rPr>
          <w:rFonts w:ascii="Verdana" w:hAnsi="Verdana" w:cs="Times New Roman"/>
          <w:sz w:val="20"/>
        </w:rPr>
        <w:t xml:space="preserve">Es simplemente de sentido común que los países producen y exportan bienes para los que están excepcionalmente cualificados. Pero existe un principio más </w:t>
      </w:r>
      <w:r w:rsidRPr="00EE4D50">
        <w:rPr>
          <w:rFonts w:ascii="Verdana" w:hAnsi="Verdana" w:cs="Times New Roman"/>
          <w:sz w:val="20"/>
        </w:rPr>
        <w:lastRenderedPageBreak/>
        <w:t>profundo que subyace a todo comercio -al que tiene lugar en el seno de una familia, dentro de un mismo país y entre los países- y que va más allá del sentido común. Según el principio de la ventaja comparativa, un país puede beneficiarse del comercio incluso aunque sea, en términos absolutos, más eficiente (o menos eficiente) que otros en la producción de todos los bienes. De hecho, según la ventaja comparativa el comercio reporta mutuos</w:t>
      </w:r>
      <w:r w:rsidR="00642B20" w:rsidRPr="00EE4D50">
        <w:rPr>
          <w:rFonts w:ascii="Verdana" w:hAnsi="Verdana" w:cs="Times New Roman"/>
          <w:sz w:val="20"/>
        </w:rPr>
        <w:t xml:space="preserve"> beneficios a todos los países.</w:t>
      </w:r>
    </w:p>
    <w:p w:rsidR="004D467B" w:rsidRPr="00EE4D50" w:rsidRDefault="004D467B" w:rsidP="00EC63DA">
      <w:pPr>
        <w:autoSpaceDE w:val="0"/>
        <w:autoSpaceDN w:val="0"/>
        <w:adjustRightInd w:val="0"/>
        <w:spacing w:after="60"/>
        <w:jc w:val="both"/>
        <w:rPr>
          <w:rFonts w:ascii="Verdana" w:hAnsi="Verdana" w:cs="Times New Roman"/>
        </w:rPr>
      </w:pPr>
    </w:p>
    <w:p w:rsidR="004D467B" w:rsidRPr="00EE4D50" w:rsidRDefault="00BB07EF" w:rsidP="00EC63DA">
      <w:pPr>
        <w:spacing w:after="60"/>
        <w:jc w:val="both"/>
        <w:rPr>
          <w:rFonts w:ascii="Verdana" w:hAnsi="Verdana" w:cs="Times New Roman"/>
        </w:rPr>
      </w:pPr>
      <w:r w:rsidRPr="00EE4D50">
        <w:rPr>
          <w:rFonts w:ascii="Verdana" w:hAnsi="Verdana" w:cs="Times New Roman"/>
        </w:rPr>
        <w:t>De acuerd</w:t>
      </w:r>
      <w:r w:rsidR="006E6D87">
        <w:rPr>
          <w:rFonts w:ascii="Verdana" w:hAnsi="Verdana" w:cs="Times New Roman"/>
        </w:rPr>
        <w:t xml:space="preserve">o con Krugman y Obstfeld (2012: </w:t>
      </w:r>
      <w:r w:rsidRPr="00EE4D50">
        <w:rPr>
          <w:rFonts w:ascii="Verdana" w:hAnsi="Verdana" w:cs="Times New Roman"/>
        </w:rPr>
        <w:t>26), los países participan en el comercio internacional por dos razones básicas que conducen a obtener ganancias gracias al comercio. La primera se refiere a que los países comercian porque son diferentes. Las naciones pueden beneficiarse de la diferencia mediante una relación en la que cada uno hace aquello que sabe hacer relativamente bien. La segunda tiene que ver con que los países comercian para conseguir economías de escala en la producción. Es decir, si cada país produce solo una gama limitada de bienes, puede producir cada uno de esos bienes a una escala mayor y, por tanto, de manera más eficiente que</w:t>
      </w:r>
      <w:r w:rsidR="004D467B" w:rsidRPr="00EE4D50">
        <w:rPr>
          <w:rFonts w:ascii="Verdana" w:hAnsi="Verdana" w:cs="Times New Roman"/>
        </w:rPr>
        <w:t xml:space="preserve"> si intentara producir de todo.</w:t>
      </w:r>
    </w:p>
    <w:p w:rsidR="004D467B" w:rsidRPr="00EE4D50" w:rsidRDefault="004D467B" w:rsidP="00EC63DA">
      <w:pPr>
        <w:spacing w:after="60"/>
        <w:jc w:val="both"/>
        <w:rPr>
          <w:rFonts w:ascii="Verdana" w:hAnsi="Verdana" w:cs="Times New Roman"/>
        </w:rPr>
      </w:pPr>
    </w:p>
    <w:p w:rsidR="004D467B" w:rsidRDefault="00BB07EF" w:rsidP="00EC63DA">
      <w:pPr>
        <w:spacing w:after="60"/>
        <w:jc w:val="both"/>
        <w:rPr>
          <w:rFonts w:ascii="Verdana" w:hAnsi="Verdana" w:cs="Times New Roman"/>
        </w:rPr>
      </w:pPr>
      <w:r w:rsidRPr="00EE4D50">
        <w:rPr>
          <w:rFonts w:ascii="Verdana" w:hAnsi="Verdana" w:cs="Times New Roman"/>
        </w:rPr>
        <w:t xml:space="preserve">Según </w:t>
      </w:r>
      <w:r w:rsidR="006E6D87">
        <w:rPr>
          <w:rFonts w:ascii="Verdana" w:hAnsi="Verdana" w:cs="Times New Roman"/>
        </w:rPr>
        <w:t>Salmon (2010) l</w:t>
      </w:r>
      <w:r w:rsidRPr="00EE4D50">
        <w:rPr>
          <w:rFonts w:ascii="Verdana" w:hAnsi="Verdana" w:cs="Times New Roman"/>
        </w:rPr>
        <w:t>a ventaja comparativa es uno de los temas económicos que más explica el crecimiento del comercio internacional. Básicamente la ventaja comparativa explica que un país debe especializarse en las actividades donde más ventaja tiene y no necesariamente en todo lo que hace mejor que otros. En conclusión, este concepto es la fundamentación teórica del impu</w:t>
      </w:r>
      <w:r w:rsidR="004D467B" w:rsidRPr="00EE4D50">
        <w:rPr>
          <w:rFonts w:ascii="Verdana" w:hAnsi="Verdana" w:cs="Times New Roman"/>
        </w:rPr>
        <w:t>lso del comercio internacional.</w:t>
      </w:r>
    </w:p>
    <w:p w:rsidR="00462D4D" w:rsidRPr="00EE4D50" w:rsidRDefault="00462D4D"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 razón por la que el comercio internacional produce aumento de la producción mundial, es que permite que cada país se especialice en la producción del bien en el que dispone de ventaja comparativa. “Un país tiene ventaja comparativa en la producción de un bien si el coste de oportunidad en la producción de este bien en términos de otros bienes es inferior en este país de lo que lo es en otros países” (Krugman y Obstfeld 2012:</w:t>
      </w:r>
      <w:r w:rsidR="006E6D87">
        <w:rPr>
          <w:rFonts w:ascii="Verdana" w:hAnsi="Verdana" w:cs="Times New Roman"/>
        </w:rPr>
        <w:t xml:space="preserve"> </w:t>
      </w:r>
      <w:r w:rsidRPr="00EE4D50">
        <w:rPr>
          <w:rFonts w:ascii="Verdana" w:hAnsi="Verdana" w:cs="Times New Roman"/>
        </w:rPr>
        <w:t>29).</w:t>
      </w:r>
    </w:p>
    <w:p w:rsidR="00BB07EF" w:rsidRPr="00EE4D50" w:rsidRDefault="00BB07EF" w:rsidP="00EC63DA">
      <w:pPr>
        <w:spacing w:after="60"/>
        <w:jc w:val="both"/>
        <w:rPr>
          <w:rFonts w:ascii="Verdana" w:hAnsi="Verdana" w:cs="Times New Roman"/>
        </w:rPr>
      </w:pPr>
    </w:p>
    <w:p w:rsidR="00BB07EF" w:rsidRPr="00EE4D50" w:rsidRDefault="00BB07EF" w:rsidP="00EC63DA">
      <w:pPr>
        <w:pStyle w:val="Ttulo2"/>
        <w:rPr>
          <w:rFonts w:cs="Times New Roman"/>
        </w:rPr>
      </w:pPr>
      <w:bookmarkStart w:id="18" w:name="_Toc485137193"/>
      <w:r w:rsidRPr="00EE4D50">
        <w:rPr>
          <w:rFonts w:cs="Times New Roman"/>
        </w:rPr>
        <w:t>Competitividad</w:t>
      </w:r>
      <w:bookmarkEnd w:id="18"/>
    </w:p>
    <w:p w:rsidR="00161409" w:rsidRPr="00EE4D50" w:rsidRDefault="00161409" w:rsidP="00EC63DA">
      <w:pPr>
        <w:spacing w:after="60"/>
        <w:jc w:val="both"/>
        <w:rPr>
          <w:rFonts w:ascii="Verdana" w:hAnsi="Verdana" w:cs="Times New Roman"/>
        </w:rPr>
      </w:pPr>
    </w:p>
    <w:p w:rsidR="00657870" w:rsidRDefault="00BB07EF" w:rsidP="00EC63DA">
      <w:pPr>
        <w:spacing w:after="60"/>
        <w:jc w:val="both"/>
        <w:rPr>
          <w:rFonts w:ascii="Verdana" w:hAnsi="Verdana" w:cs="Times New Roman"/>
        </w:rPr>
      </w:pPr>
      <w:r w:rsidRPr="00EE4D50">
        <w:rPr>
          <w:rFonts w:ascii="Verdana" w:hAnsi="Verdana" w:cs="Times New Roman"/>
        </w:rPr>
        <w:t xml:space="preserve">Según el Foro Económico Mundial (2015), la competitividad es el conjunto de instituciones, políticas y factores que determinan el nivel de productividad de un país. Este Foro publica cada año el Informe Global de Competitividad, en el cual se encuentra el índice de Competitividad que mide el nivel de productividad y prosperidad de un país, y su potencial de crecimiento, de acuerdo a la etapa de desarrollo en que se encuentra. Los factores determinantes que impulsan la productividad y competitividad de los países constituyen un conjunto de 12 pilares, y se asigna un puntaje de 1 a 7 a cada una de las variables. Dichos pilares son: instituciones, infraestructura, estabilidad macroeconómica, salud y educación primaria, educación superior y capacitación, eficiencia en el mercado </w:t>
      </w:r>
      <w:r w:rsidRPr="00EE4D50">
        <w:rPr>
          <w:rFonts w:ascii="Verdana" w:hAnsi="Verdana" w:cs="Times New Roman"/>
        </w:rPr>
        <w:lastRenderedPageBreak/>
        <w:t>de bienes, eficiencia en el mercado de trabajo, desarrollo de mercados financieros, preparación tecnológica, tamaño del mercado, sofisticación de negocios e innovación.</w:t>
      </w:r>
    </w:p>
    <w:p w:rsidR="00462D4D" w:rsidRPr="00EE4D50" w:rsidRDefault="00462D4D" w:rsidP="00EC63DA">
      <w:pPr>
        <w:spacing w:after="60"/>
        <w:jc w:val="both"/>
        <w:rPr>
          <w:rFonts w:ascii="Verdana" w:hAnsi="Verdana" w:cs="Times New Roman"/>
        </w:rPr>
      </w:pPr>
    </w:p>
    <w:p w:rsidR="00657870" w:rsidRPr="00EE4D50" w:rsidRDefault="00BB07EF" w:rsidP="00EC63DA">
      <w:pPr>
        <w:spacing w:after="60"/>
        <w:jc w:val="both"/>
        <w:rPr>
          <w:rFonts w:ascii="Verdana" w:hAnsi="Verdana" w:cs="Times New Roman"/>
        </w:rPr>
      </w:pPr>
      <w:r w:rsidRPr="00EE4D50">
        <w:rPr>
          <w:rFonts w:ascii="Verdana" w:hAnsi="Verdana" w:cs="Times New Roman"/>
        </w:rPr>
        <w:t>La competitividad consiste en la capacidad de un sector productivo para sostener y expandir su participación en los mercados, y elevar simultáneamente el nivel de vida de quienes intervienen en el sector como fuerza productiva. Esto exige el incremento de la productividad y, por ende, la incorporación de progreso técnico (CEPAL, 1988:</w:t>
      </w:r>
      <w:r w:rsidR="006E6D87">
        <w:rPr>
          <w:rFonts w:ascii="Verdana" w:hAnsi="Verdana" w:cs="Times New Roman"/>
        </w:rPr>
        <w:t xml:space="preserve"> </w:t>
      </w:r>
      <w:r w:rsidRPr="00EE4D50">
        <w:rPr>
          <w:rFonts w:ascii="Verdana" w:hAnsi="Verdana" w:cs="Times New Roman"/>
        </w:rPr>
        <w:t>20). Es decir, la competitividad representa la capacidad para mantener e incrementar la participación en el mercado internacional.</w:t>
      </w:r>
    </w:p>
    <w:p w:rsidR="00657870" w:rsidRPr="00EE4D50" w:rsidRDefault="00657870"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Según Xavier Sala-i-Martin (2011) para que exista competitividad hay que priorizar dos factores:</w:t>
      </w:r>
    </w:p>
    <w:p w:rsidR="00657870" w:rsidRPr="00EE4D50" w:rsidRDefault="00657870" w:rsidP="00EC63DA">
      <w:pPr>
        <w:spacing w:after="60"/>
        <w:jc w:val="both"/>
        <w:rPr>
          <w:rFonts w:ascii="Verdana" w:hAnsi="Verdana" w:cs="Times New Roman"/>
        </w:rPr>
      </w:pPr>
    </w:p>
    <w:p w:rsidR="00921745" w:rsidRPr="00921745" w:rsidRDefault="00921745" w:rsidP="00EC63DA">
      <w:pPr>
        <w:spacing w:line="240" w:lineRule="auto"/>
        <w:ind w:left="709" w:hanging="1"/>
        <w:jc w:val="both"/>
        <w:rPr>
          <w:rFonts w:ascii="Verdana" w:hAnsi="Verdana" w:cs="Times New Roman"/>
          <w:sz w:val="20"/>
        </w:rPr>
      </w:pPr>
      <w:r>
        <w:rPr>
          <w:rFonts w:ascii="Verdana" w:hAnsi="Verdana" w:cs="Times New Roman"/>
          <w:sz w:val="20"/>
        </w:rPr>
        <w:t xml:space="preserve">1. </w:t>
      </w:r>
      <w:r w:rsidR="00BB07EF" w:rsidRPr="00921745">
        <w:rPr>
          <w:rFonts w:ascii="Verdana" w:hAnsi="Verdana" w:cs="Times New Roman"/>
          <w:sz w:val="20"/>
        </w:rPr>
        <w:t>Una educación moderna para la totalidad de la población, la cual debe fomentar la creatividad y el espíritu crítico. Al hablar del total de la población se hace hincapié a la población de los trabajadores, estudiantes, etc. no solo a las elites que incluyen científicos.</w:t>
      </w:r>
    </w:p>
    <w:p w:rsidR="00BB07EF" w:rsidRPr="00921745" w:rsidRDefault="00921745" w:rsidP="00EC63DA">
      <w:pPr>
        <w:spacing w:line="240" w:lineRule="auto"/>
        <w:ind w:left="709" w:hanging="1"/>
        <w:jc w:val="both"/>
        <w:rPr>
          <w:rFonts w:ascii="Verdana" w:hAnsi="Verdana" w:cs="Times New Roman"/>
          <w:sz w:val="20"/>
        </w:rPr>
      </w:pPr>
      <w:r>
        <w:rPr>
          <w:rFonts w:ascii="Verdana" w:hAnsi="Verdana" w:cs="Times New Roman"/>
          <w:sz w:val="20"/>
        </w:rPr>
        <w:t xml:space="preserve">2. </w:t>
      </w:r>
      <w:r w:rsidR="00BB07EF" w:rsidRPr="00921745">
        <w:rPr>
          <w:rFonts w:ascii="Verdana" w:hAnsi="Verdana" w:cs="Times New Roman"/>
          <w:sz w:val="20"/>
        </w:rPr>
        <w:t xml:space="preserve">El segundo pilar es la implementación, la cual pueda ser formulada por el </w:t>
      </w:r>
      <w:r w:rsidRPr="00921745">
        <w:rPr>
          <w:rFonts w:ascii="Verdana" w:hAnsi="Verdana" w:cs="Times New Roman"/>
          <w:sz w:val="20"/>
        </w:rPr>
        <w:t xml:space="preserve">   </w:t>
      </w:r>
      <w:r w:rsidR="00BB07EF" w:rsidRPr="00921745">
        <w:rPr>
          <w:rFonts w:ascii="Verdana" w:hAnsi="Verdana" w:cs="Times New Roman"/>
          <w:sz w:val="20"/>
        </w:rPr>
        <w:t>ciudadano común, el cual tenga ideas innovadoras con iniciativas empresariales. Para esto el Estado debe crear un entorno regulador eficiente compatible con la libre empresa, infraestructuras modernas, sistemas financieros, las cuales ayuden a financiar ideas por más extrañas que sean y con un mercado laboral flexible que permita a los trabajador</w:t>
      </w:r>
      <w:r w:rsidR="00657870" w:rsidRPr="00921745">
        <w:rPr>
          <w:rFonts w:ascii="Verdana" w:hAnsi="Verdana" w:cs="Times New Roman"/>
          <w:sz w:val="20"/>
        </w:rPr>
        <w:t>es adoptarse a las nuevas idea.</w:t>
      </w:r>
    </w:p>
    <w:p w:rsidR="00657870" w:rsidRPr="00EE4D50" w:rsidRDefault="00657870" w:rsidP="00EC63DA">
      <w:pPr>
        <w:spacing w:after="60" w:line="240" w:lineRule="auto"/>
        <w:ind w:left="709" w:hanging="709"/>
        <w:jc w:val="both"/>
        <w:rPr>
          <w:rFonts w:ascii="Verdana" w:hAnsi="Verdana" w:cs="Times New Roman"/>
          <w:sz w:val="20"/>
        </w:rPr>
      </w:pPr>
    </w:p>
    <w:p w:rsidR="00BB07EF" w:rsidRPr="00EE4D50" w:rsidRDefault="00BB07EF" w:rsidP="00EC63DA">
      <w:pPr>
        <w:spacing w:after="60"/>
        <w:jc w:val="both"/>
        <w:rPr>
          <w:rFonts w:ascii="Verdana" w:hAnsi="Verdana" w:cs="Times New Roman"/>
        </w:rPr>
      </w:pPr>
      <w:r w:rsidRPr="00EE4D50">
        <w:rPr>
          <w:rFonts w:ascii="Verdana" w:hAnsi="Verdana" w:cs="Times New Roman"/>
        </w:rPr>
        <w:t>Ya que la principal meta económica es producir bienestar en la calidad de vida para sus ciudadanos, se vincula a la competitividad con la capacidad de conseguir bienestar y por lo tanto este determinada por el nivel de productividad con la que una nación, región o clusters utilizan sus recursos naturales, humanos y de capital. La competitividad está determinada por la productividad, definida como el valor del producto generado por una unidad de trabajo o de capital. La productividad es función de la calidad de los productos de la que a su vez depende el precio y de la eficiencia productiva. Estos factores son importantes para la búsqueda de una posición competitiva favorable en un sector industrial, lo que Porter llamó la estrat</w:t>
      </w:r>
      <w:r w:rsidR="006E6D87">
        <w:rPr>
          <w:rFonts w:ascii="Verdana" w:hAnsi="Verdana" w:cs="Times New Roman"/>
        </w:rPr>
        <w:t xml:space="preserve">egia competitiva (Porter, 1996: </w:t>
      </w:r>
      <w:r w:rsidRPr="00EE4D50">
        <w:rPr>
          <w:rFonts w:ascii="Verdana" w:hAnsi="Verdana" w:cs="Times New Roman"/>
        </w:rPr>
        <w:t>19).</w:t>
      </w:r>
    </w:p>
    <w:p w:rsidR="00657870" w:rsidRPr="00EE4D50" w:rsidRDefault="00657870" w:rsidP="00EC63DA">
      <w:pPr>
        <w:spacing w:after="60"/>
        <w:jc w:val="both"/>
        <w:rPr>
          <w:rFonts w:ascii="Verdana" w:hAnsi="Verdana" w:cs="Times New Roman"/>
        </w:rPr>
      </w:pPr>
    </w:p>
    <w:p w:rsidR="00657870" w:rsidRPr="00EE4D50" w:rsidRDefault="00337B4C" w:rsidP="00EC63DA">
      <w:pPr>
        <w:spacing w:after="60"/>
        <w:jc w:val="both"/>
        <w:rPr>
          <w:rFonts w:ascii="Verdana" w:hAnsi="Verdana" w:cs="Times New Roman"/>
        </w:rPr>
      </w:pPr>
      <w:r w:rsidRPr="00EE4D50">
        <w:rPr>
          <w:rFonts w:ascii="Verdana" w:hAnsi="Verdana" w:cs="Times New Roman"/>
        </w:rPr>
        <w:t>Porter (1985</w:t>
      </w:r>
      <w:r w:rsidR="006E6D87">
        <w:rPr>
          <w:rFonts w:ascii="Verdana" w:hAnsi="Verdana" w:cs="Times New Roman"/>
        </w:rPr>
        <w:t>: 98</w:t>
      </w:r>
      <w:r w:rsidRPr="00EE4D50">
        <w:rPr>
          <w:rFonts w:ascii="Verdana" w:hAnsi="Verdana" w:cs="Times New Roman"/>
        </w:rPr>
        <w:t>) formuló que para generar ventajas competitivas al interior de la empresa se necesita de la articulación eficiente de la misma alrededor de un</w:t>
      </w:r>
      <w:r>
        <w:rPr>
          <w:rFonts w:ascii="Verdana" w:hAnsi="Verdana" w:cs="Times New Roman"/>
        </w:rPr>
        <w:t>a</w:t>
      </w:r>
      <w:r w:rsidRPr="00EE4D50">
        <w:rPr>
          <w:rFonts w:ascii="Verdana" w:hAnsi="Verdana" w:cs="Times New Roman"/>
        </w:rPr>
        <w:t xml:space="preserve"> cadena de valor que va desde proveedores de materias primas e insumos y termina con los servicios encargados de garantizar la satisfacción del consumidor final.</w:t>
      </w:r>
    </w:p>
    <w:p w:rsidR="00657870" w:rsidRPr="00EE4D50" w:rsidRDefault="00657870"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La competencia constituye el éxito o el fracaso de las empresas.  Este concepto determina la propiedad de  las actividades de una empresa que pueden contribuir </w:t>
      </w:r>
      <w:r w:rsidRPr="00EE4D50">
        <w:rPr>
          <w:rFonts w:ascii="Verdana" w:hAnsi="Verdana" w:cs="Times New Roman"/>
        </w:rPr>
        <w:lastRenderedPageBreak/>
        <w:t>a su desempeño, por ejemplo las innovaciones, o una cultura cohesiva, o una buena implementación. Además, la ventaja competitiva nace fundamentalmente del valor que una empresa es capaz de crear para sus compradoras, que exceda el costo de esa empresa por crearlo. El valor es lo que los compradores están dispuestos a pagar y el valor superior sale de ofrecer precios más bajos que los competidores por beneficios equivalentes o proporcionales beneficios únicos que justifiquen un precio mayor (Porter, 1996: 20).</w:t>
      </w:r>
    </w:p>
    <w:p w:rsidR="00657870" w:rsidRPr="00EE4D50" w:rsidRDefault="00657870" w:rsidP="00EC63DA">
      <w:pPr>
        <w:spacing w:after="60"/>
        <w:jc w:val="both"/>
        <w:rPr>
          <w:rFonts w:ascii="Verdana" w:hAnsi="Verdana" w:cs="Times New Roman"/>
        </w:rPr>
      </w:pPr>
    </w:p>
    <w:p w:rsidR="00BB07EF" w:rsidRPr="00EE4D50" w:rsidRDefault="00BB07EF" w:rsidP="00EC63DA">
      <w:pPr>
        <w:pStyle w:val="Ttulo2"/>
        <w:rPr>
          <w:rFonts w:cs="Times New Roman"/>
        </w:rPr>
      </w:pPr>
      <w:bookmarkStart w:id="19" w:name="_Toc485137194"/>
      <w:r w:rsidRPr="00EE4D50">
        <w:rPr>
          <w:rFonts w:cs="Times New Roman"/>
        </w:rPr>
        <w:t>Diamante De Porter</w:t>
      </w:r>
      <w:bookmarkEnd w:id="19"/>
    </w:p>
    <w:p w:rsidR="00161409" w:rsidRPr="00EE4D50" w:rsidRDefault="00161409" w:rsidP="00EC63DA">
      <w:pPr>
        <w:spacing w:before="60" w:after="60"/>
        <w:rPr>
          <w:rFonts w:ascii="Verdana" w:hAnsi="Verdana" w:cs="Times New Roman"/>
          <w:lang w:val="es-MX"/>
        </w:rPr>
      </w:pPr>
    </w:p>
    <w:p w:rsidR="00BB07EF" w:rsidRPr="00EE4D50" w:rsidRDefault="00BB07EF" w:rsidP="00EC63DA">
      <w:pPr>
        <w:spacing w:before="60" w:after="60"/>
        <w:jc w:val="both"/>
        <w:rPr>
          <w:rFonts w:ascii="Verdana" w:hAnsi="Verdana" w:cs="Times New Roman"/>
        </w:rPr>
      </w:pPr>
      <w:r w:rsidRPr="00EE4D50">
        <w:rPr>
          <w:rFonts w:ascii="Verdana" w:hAnsi="Verdana" w:cs="Times New Roman"/>
        </w:rPr>
        <w:t xml:space="preserve">El diamante de Porter es un sistema, en el cual el efecto de un determinante depende del estado de los otros. Este sistema puede contemplar por separado sus componentes ya que se encuentran interrelacionados entre sí.  En otras palabras, el desarrollo o la actuación de uno siempre </w:t>
      </w:r>
      <w:r w:rsidR="00337B4C" w:rsidRPr="00EE4D50">
        <w:rPr>
          <w:rFonts w:ascii="Verdana" w:hAnsi="Verdana" w:cs="Times New Roman"/>
        </w:rPr>
        <w:t>van</w:t>
      </w:r>
      <w:r w:rsidRPr="00EE4D50">
        <w:rPr>
          <w:rFonts w:ascii="Verdana" w:hAnsi="Verdana" w:cs="Times New Roman"/>
        </w:rPr>
        <w:t xml:space="preserve"> a beneficiar o afectar el desempeño de los otros.</w:t>
      </w:r>
    </w:p>
    <w:p w:rsidR="00E102D6" w:rsidRPr="00EE4D50" w:rsidRDefault="00E102D6" w:rsidP="00EC63DA">
      <w:pPr>
        <w:spacing w:before="60" w:after="60"/>
        <w:jc w:val="both"/>
        <w:rPr>
          <w:rFonts w:ascii="Verdana" w:hAnsi="Verdana" w:cs="Times New Roman"/>
        </w:rPr>
      </w:pPr>
    </w:p>
    <w:p w:rsidR="00642B20" w:rsidRPr="00EE4D50" w:rsidRDefault="00BB07EF" w:rsidP="00EC63DA">
      <w:pPr>
        <w:spacing w:before="60" w:after="60"/>
        <w:rPr>
          <w:rFonts w:ascii="Verdana" w:hAnsi="Verdana" w:cs="Times New Roman"/>
        </w:rPr>
      </w:pPr>
      <w:r w:rsidRPr="00EE4D50">
        <w:rPr>
          <w:rFonts w:ascii="Verdana" w:hAnsi="Verdana" w:cs="Times New Roman"/>
        </w:rPr>
        <w:t>Según Michael Porter existen cuatro determinantes de la ventaja competi</w:t>
      </w:r>
      <w:r w:rsidR="005F5350" w:rsidRPr="00EE4D50">
        <w:rPr>
          <w:rFonts w:ascii="Verdana" w:hAnsi="Verdana" w:cs="Times New Roman"/>
        </w:rPr>
        <w:t>tiva que conforman el diamante:</w:t>
      </w:r>
    </w:p>
    <w:p w:rsidR="00E102D6" w:rsidRPr="00EE4D50" w:rsidRDefault="00E102D6" w:rsidP="00EC63DA">
      <w:pPr>
        <w:spacing w:before="60" w:after="60"/>
        <w:rPr>
          <w:rFonts w:ascii="Verdana" w:hAnsi="Verdana" w:cs="Times New Roman"/>
        </w:rPr>
      </w:pPr>
    </w:p>
    <w:p w:rsidR="00BB07EF" w:rsidRPr="00EE4D50" w:rsidRDefault="00536A2E" w:rsidP="00EC63DA">
      <w:pPr>
        <w:pStyle w:val="Epgrafe"/>
        <w:spacing w:after="0"/>
        <w:jc w:val="center"/>
        <w:rPr>
          <w:rFonts w:ascii="Verdana" w:hAnsi="Verdana" w:cs="Times New Roman"/>
          <w:b w:val="0"/>
          <w:i/>
          <w:color w:val="auto"/>
          <w:sz w:val="20"/>
          <w:szCs w:val="20"/>
        </w:rPr>
      </w:pPr>
      <w:bookmarkStart w:id="20" w:name="_Toc473640026"/>
      <w:r w:rsidRPr="00EE4D50">
        <w:rPr>
          <w:rFonts w:ascii="Verdana" w:hAnsi="Verdana" w:cs="Times New Roman"/>
          <w:color w:val="auto"/>
          <w:sz w:val="20"/>
          <w:szCs w:val="20"/>
        </w:rPr>
        <w:t xml:space="preserve">Figura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Figura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1</w:t>
      </w:r>
      <w:r w:rsidRPr="00EE4D50">
        <w:rPr>
          <w:rFonts w:ascii="Verdana" w:hAnsi="Verdana" w:cs="Times New Roman"/>
          <w:color w:val="auto"/>
          <w:sz w:val="20"/>
          <w:szCs w:val="20"/>
        </w:rPr>
        <w:fldChar w:fldCharType="end"/>
      </w:r>
      <w:r w:rsidRPr="00EE4D50">
        <w:rPr>
          <w:rFonts w:ascii="Verdana" w:hAnsi="Verdana" w:cs="Times New Roman"/>
          <w:b w:val="0"/>
          <w:i/>
          <w:color w:val="auto"/>
          <w:sz w:val="20"/>
          <w:szCs w:val="20"/>
        </w:rPr>
        <w:t xml:space="preserve">: </w:t>
      </w:r>
      <w:r w:rsidR="00BB07EF" w:rsidRPr="00EE4D50">
        <w:rPr>
          <w:rFonts w:ascii="Verdana" w:hAnsi="Verdana" w:cs="Times New Roman"/>
          <w:b w:val="0"/>
          <w:i/>
          <w:color w:val="auto"/>
          <w:sz w:val="20"/>
          <w:szCs w:val="20"/>
        </w:rPr>
        <w:t>Diamante de Porter</w:t>
      </w:r>
      <w:bookmarkEnd w:id="20"/>
    </w:p>
    <w:p w:rsidR="005F5350" w:rsidRPr="00EE4D50" w:rsidRDefault="00BB07EF" w:rsidP="00EC63DA">
      <w:pPr>
        <w:spacing w:after="0" w:line="240" w:lineRule="auto"/>
        <w:contextualSpacing/>
        <w:jc w:val="center"/>
        <w:rPr>
          <w:rFonts w:ascii="Verdana" w:hAnsi="Verdana" w:cs="Times New Roman"/>
          <w:i/>
          <w:sz w:val="20"/>
        </w:rPr>
      </w:pPr>
      <w:r w:rsidRPr="00EE4D50">
        <w:rPr>
          <w:rFonts w:ascii="Verdana" w:hAnsi="Verdana" w:cs="Times New Roman"/>
          <w:noProof/>
          <w:lang w:eastAsia="es-EC"/>
        </w:rPr>
        <w:drawing>
          <wp:inline distT="0" distB="0" distL="0" distR="0" wp14:anchorId="3EDF7477" wp14:editId="1D83D937">
            <wp:extent cx="4690753" cy="3255221"/>
            <wp:effectExtent l="19050" t="19050" r="14605" b="2159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52013" cy="3297734"/>
                    </a:xfrm>
                    <a:prstGeom prst="rect">
                      <a:avLst/>
                    </a:prstGeom>
                    <a:noFill/>
                    <a:ln>
                      <a:solidFill>
                        <a:schemeClr val="tx1"/>
                      </a:solidFill>
                    </a:ln>
                  </pic:spPr>
                </pic:pic>
              </a:graphicData>
            </a:graphic>
          </wp:inline>
        </w:drawing>
      </w:r>
    </w:p>
    <w:p w:rsidR="00BB07EF" w:rsidRPr="00EE4D50" w:rsidRDefault="005F5350" w:rsidP="00EC63DA">
      <w:pPr>
        <w:spacing w:after="0" w:line="240" w:lineRule="auto"/>
        <w:contextualSpacing/>
        <w:rPr>
          <w:rFonts w:ascii="Verdana" w:hAnsi="Verdana" w:cs="Times New Roman"/>
        </w:rPr>
      </w:pPr>
      <w:r w:rsidRPr="00EE4D50">
        <w:rPr>
          <w:rFonts w:ascii="Verdana" w:hAnsi="Verdana" w:cs="Times New Roman"/>
          <w:i/>
          <w:sz w:val="20"/>
        </w:rPr>
        <w:t xml:space="preserve">       </w:t>
      </w:r>
      <w:r w:rsidR="00536A2E" w:rsidRPr="00EE4D50">
        <w:rPr>
          <w:rFonts w:ascii="Verdana" w:hAnsi="Verdana" w:cs="Times New Roman"/>
          <w:i/>
          <w:sz w:val="20"/>
        </w:rPr>
        <w:t xml:space="preserve">   </w:t>
      </w:r>
      <w:r w:rsidR="00250095">
        <w:rPr>
          <w:rFonts w:ascii="Verdana" w:hAnsi="Verdana" w:cs="Times New Roman"/>
          <w:i/>
          <w:sz w:val="20"/>
        </w:rPr>
        <w:t xml:space="preserve">  </w:t>
      </w:r>
      <w:r w:rsidR="00BB07EF" w:rsidRPr="00EE4D50">
        <w:rPr>
          <w:rFonts w:ascii="Verdana" w:hAnsi="Verdana" w:cs="Times New Roman"/>
          <w:i/>
          <w:sz w:val="20"/>
        </w:rPr>
        <w:t>Fuente: Porter (1996)</w:t>
      </w:r>
    </w:p>
    <w:p w:rsidR="00BB07EF" w:rsidRPr="00EE4D50" w:rsidRDefault="00BB07EF" w:rsidP="00EC63DA">
      <w:pPr>
        <w:jc w:val="both"/>
        <w:rPr>
          <w:rFonts w:ascii="Verdana" w:hAnsi="Verdana" w:cs="Times New Roman"/>
        </w:rPr>
      </w:pPr>
    </w:p>
    <w:p w:rsidR="00BB07EF" w:rsidRPr="00EE4D50" w:rsidRDefault="00BB07EF" w:rsidP="00EC63DA">
      <w:pPr>
        <w:jc w:val="both"/>
        <w:rPr>
          <w:rFonts w:ascii="Verdana" w:hAnsi="Verdana" w:cs="Times New Roman"/>
        </w:rPr>
      </w:pPr>
      <w:r w:rsidRPr="00EE4D50">
        <w:rPr>
          <w:rFonts w:ascii="Verdana" w:hAnsi="Verdana" w:cs="Times New Roman"/>
        </w:rPr>
        <w:t xml:space="preserve">Hay cuatro atributos que engloba a las ventajas competitivas. Según Porter  (1996: 110) son: </w:t>
      </w:r>
    </w:p>
    <w:p w:rsidR="00BB07EF" w:rsidRPr="00EE4D50" w:rsidRDefault="00921745" w:rsidP="00EC63DA">
      <w:pPr>
        <w:spacing w:line="240" w:lineRule="auto"/>
        <w:ind w:left="709" w:hanging="1"/>
        <w:jc w:val="both"/>
        <w:rPr>
          <w:rFonts w:ascii="Verdana" w:hAnsi="Verdana" w:cs="Times New Roman"/>
          <w:sz w:val="20"/>
        </w:rPr>
      </w:pPr>
      <w:r>
        <w:rPr>
          <w:rFonts w:ascii="Verdana" w:hAnsi="Verdana" w:cs="Times New Roman"/>
          <w:sz w:val="20"/>
        </w:rPr>
        <w:lastRenderedPageBreak/>
        <w:t xml:space="preserve">1. </w:t>
      </w:r>
      <w:r w:rsidR="00BB07EF" w:rsidRPr="00EE4D50">
        <w:rPr>
          <w:rFonts w:ascii="Verdana" w:hAnsi="Verdana" w:cs="Times New Roman"/>
          <w:sz w:val="20"/>
        </w:rPr>
        <w:t>Condiciones de los factores. La posición de la nación en lo que concierne a mano de obra especializada o infraestructura necesaria para competir en un sector dado.</w:t>
      </w:r>
    </w:p>
    <w:p w:rsidR="00BB07EF" w:rsidRPr="00EE4D50" w:rsidRDefault="00921745" w:rsidP="00EC63DA">
      <w:pPr>
        <w:spacing w:line="240" w:lineRule="auto"/>
        <w:ind w:left="709" w:hanging="1"/>
        <w:jc w:val="both"/>
        <w:rPr>
          <w:rFonts w:ascii="Verdana" w:hAnsi="Verdana" w:cs="Times New Roman"/>
          <w:sz w:val="20"/>
        </w:rPr>
      </w:pPr>
      <w:r>
        <w:rPr>
          <w:rFonts w:ascii="Verdana" w:hAnsi="Verdana" w:cs="Times New Roman"/>
          <w:sz w:val="20"/>
        </w:rPr>
        <w:t xml:space="preserve">2. </w:t>
      </w:r>
      <w:r w:rsidR="00BB07EF" w:rsidRPr="00EE4D50">
        <w:rPr>
          <w:rFonts w:ascii="Verdana" w:hAnsi="Verdana" w:cs="Times New Roman"/>
          <w:sz w:val="20"/>
        </w:rPr>
        <w:t>Condiciones de la demanda. La naturaleza de la demanda interior de los productos o servicios del sector.</w:t>
      </w:r>
    </w:p>
    <w:p w:rsidR="00BB07EF" w:rsidRPr="001A1E18" w:rsidRDefault="00921745" w:rsidP="00EC63DA">
      <w:pPr>
        <w:spacing w:line="240" w:lineRule="auto"/>
        <w:ind w:left="709" w:hanging="1"/>
        <w:jc w:val="both"/>
        <w:rPr>
          <w:rFonts w:ascii="Verdana" w:hAnsi="Verdana" w:cs="Times New Roman"/>
          <w:sz w:val="20"/>
        </w:rPr>
      </w:pPr>
      <w:r>
        <w:rPr>
          <w:rFonts w:ascii="Verdana" w:hAnsi="Verdana" w:cs="Times New Roman"/>
          <w:sz w:val="20"/>
        </w:rPr>
        <w:t xml:space="preserve">3. </w:t>
      </w:r>
      <w:r w:rsidR="00BB07EF" w:rsidRPr="00EE4D50">
        <w:rPr>
          <w:rFonts w:ascii="Verdana" w:hAnsi="Verdana" w:cs="Times New Roman"/>
          <w:sz w:val="20"/>
        </w:rPr>
        <w:t>Sectores afines y de apoyo. La presencia o ausencia en la nación de sectores proveedores y sectores afines que sean internacionalmente competitivos.</w:t>
      </w:r>
    </w:p>
    <w:p w:rsidR="00BB07EF" w:rsidRDefault="00921745" w:rsidP="00EC63DA">
      <w:pPr>
        <w:spacing w:line="240" w:lineRule="auto"/>
        <w:ind w:left="709" w:hanging="1"/>
        <w:jc w:val="both"/>
        <w:rPr>
          <w:rFonts w:ascii="Verdana" w:hAnsi="Verdana" w:cs="Times New Roman"/>
          <w:sz w:val="20"/>
        </w:rPr>
      </w:pPr>
      <w:r>
        <w:rPr>
          <w:rFonts w:ascii="Verdana" w:hAnsi="Verdana" w:cs="Times New Roman"/>
          <w:sz w:val="20"/>
        </w:rPr>
        <w:t xml:space="preserve">4. </w:t>
      </w:r>
      <w:r w:rsidR="00BB07EF" w:rsidRPr="00EE4D50">
        <w:rPr>
          <w:rFonts w:ascii="Verdana" w:hAnsi="Verdana" w:cs="Times New Roman"/>
          <w:sz w:val="20"/>
        </w:rPr>
        <w:t>Estrategia, estructura y rivalidad de la empresa. Las condiciones vigentes en la nación respecto a cómo se crean, organizan y gestionan las compañías, así como la naturaleza de la rivalidad doméstica.</w:t>
      </w:r>
    </w:p>
    <w:p w:rsidR="00462D4D" w:rsidRPr="00462D4D" w:rsidRDefault="00462D4D" w:rsidP="00EC63DA">
      <w:pPr>
        <w:pStyle w:val="Prrafodelista"/>
        <w:autoSpaceDE w:val="0"/>
        <w:autoSpaceDN w:val="0"/>
        <w:adjustRightInd w:val="0"/>
        <w:spacing w:after="60" w:line="240" w:lineRule="auto"/>
        <w:ind w:left="709"/>
        <w:jc w:val="both"/>
        <w:rPr>
          <w:rFonts w:ascii="Verdana" w:hAnsi="Verdana" w:cs="Times New Roman"/>
          <w:sz w:val="20"/>
        </w:rPr>
      </w:pPr>
    </w:p>
    <w:p w:rsidR="00657870" w:rsidRDefault="00BB07EF" w:rsidP="00EC63DA">
      <w:pPr>
        <w:spacing w:after="60"/>
        <w:jc w:val="both"/>
        <w:rPr>
          <w:rFonts w:ascii="Verdana" w:hAnsi="Verdana" w:cs="Times New Roman"/>
        </w:rPr>
      </w:pPr>
      <w:r w:rsidRPr="00EE4D50">
        <w:rPr>
          <w:rFonts w:ascii="Verdana" w:hAnsi="Verdana" w:cs="Times New Roman"/>
        </w:rPr>
        <w:t>Estos cuatro elementos conforman un sistema, el cual Porter denomino “Diamante”, con dos variables auxiliares, las cuales complementan el marco del análisis que son el papel del gobierno y los hechos fortuitos o causales.</w:t>
      </w:r>
    </w:p>
    <w:p w:rsidR="00462D4D" w:rsidRPr="00EE4D50" w:rsidRDefault="00462D4D"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Las características de los componentes de este diamante determinan a las industrias o los segmentos industriales en los que una nación tiene las mejores oportunidades para un éxito internacional. Para que exista ese éxito no es necesario conseguir ventajas competitivas en una industria.</w:t>
      </w:r>
    </w:p>
    <w:p w:rsidR="00657870" w:rsidRPr="00EE4D50" w:rsidRDefault="00657870"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diamante es en sí un sistema dinámico, donde el efecto de uno de los atributos depende de la situación de los demás. Este sistema depende de dos elementos importantes: la competencia interna y la concentración geográfica. La competencia interna promueve la innovación constante en el resto de los atributos; la concentración o proximidad geográfica acelera la interacción de los cuatro diferentes atributos. Mientras más local sea la competencia, más intensa será.</w:t>
      </w:r>
    </w:p>
    <w:p w:rsidR="00657870" w:rsidRPr="00EE4D50" w:rsidRDefault="00657870" w:rsidP="00EC63DA">
      <w:pPr>
        <w:spacing w:after="60"/>
        <w:jc w:val="both"/>
        <w:rPr>
          <w:rFonts w:ascii="Verdana" w:hAnsi="Verdana" w:cs="Times New Roman"/>
        </w:rPr>
      </w:pPr>
    </w:p>
    <w:p w:rsidR="00BB07EF" w:rsidRDefault="00BB07EF" w:rsidP="00EC63DA">
      <w:pPr>
        <w:spacing w:after="60"/>
        <w:jc w:val="both"/>
        <w:rPr>
          <w:rFonts w:ascii="Verdana" w:hAnsi="Verdana" w:cs="Times New Roman"/>
        </w:rPr>
      </w:pPr>
      <w:r w:rsidRPr="00EE4D50">
        <w:rPr>
          <w:rFonts w:ascii="Verdana" w:hAnsi="Verdana" w:cs="Times New Roman"/>
        </w:rPr>
        <w:t>El diamante de Porter genera un entorno favorable para la creación de empresas competitivas y promueve la agrupación de cluster de empresas globalmente competitivas, esto genera un efecto de cascada hacia industrias relacionadas tanto vertical como horizontal.</w:t>
      </w:r>
    </w:p>
    <w:p w:rsidR="00462D4D" w:rsidRPr="00EE4D50" w:rsidRDefault="00462D4D" w:rsidP="00EC63DA">
      <w:pPr>
        <w:spacing w:after="60"/>
        <w:jc w:val="both"/>
        <w:rPr>
          <w:rFonts w:ascii="Verdana" w:hAnsi="Verdana" w:cs="Times New Roman"/>
        </w:rPr>
      </w:pPr>
    </w:p>
    <w:p w:rsidR="00BB07EF" w:rsidRPr="00EE4D50" w:rsidRDefault="00BB07EF" w:rsidP="00EC63DA">
      <w:pPr>
        <w:pStyle w:val="Ttulo2"/>
        <w:rPr>
          <w:rFonts w:cs="Times New Roman"/>
        </w:rPr>
      </w:pPr>
      <w:bookmarkStart w:id="21" w:name="_Toc485137195"/>
      <w:r w:rsidRPr="00EE4D50">
        <w:rPr>
          <w:rFonts w:cs="Times New Roman"/>
        </w:rPr>
        <w:t>Cadena de valor</w:t>
      </w:r>
      <w:bookmarkEnd w:id="21"/>
    </w:p>
    <w:p w:rsidR="00161409" w:rsidRPr="00EE4D50" w:rsidRDefault="00161409" w:rsidP="00EC63DA">
      <w:pPr>
        <w:spacing w:before="60" w:after="60"/>
        <w:rPr>
          <w:rFonts w:ascii="Verdana" w:hAnsi="Verdana" w:cs="Times New Roman"/>
          <w:lang w:val="es-MX"/>
        </w:rPr>
      </w:pPr>
    </w:p>
    <w:p w:rsidR="00657870" w:rsidRPr="00EE4D50" w:rsidRDefault="00BB07EF" w:rsidP="00EC63DA">
      <w:pPr>
        <w:spacing w:after="60"/>
        <w:jc w:val="both"/>
        <w:rPr>
          <w:rFonts w:ascii="Verdana" w:hAnsi="Verdana" w:cs="Times New Roman"/>
        </w:rPr>
      </w:pPr>
      <w:r w:rsidRPr="00EE4D50">
        <w:rPr>
          <w:rFonts w:ascii="Verdana" w:hAnsi="Verdana" w:cs="Times New Roman"/>
        </w:rPr>
        <w:t>Michael Porter (1985</w:t>
      </w:r>
      <w:r w:rsidR="005A080C">
        <w:rPr>
          <w:rFonts w:ascii="Verdana" w:hAnsi="Verdana" w:cs="Times New Roman"/>
        </w:rPr>
        <w:t>: 80</w:t>
      </w:r>
      <w:r w:rsidRPr="00EE4D50">
        <w:rPr>
          <w:rFonts w:ascii="Verdana" w:hAnsi="Verdana" w:cs="Times New Roman"/>
        </w:rPr>
        <w:t>) introdujo el análisis de cadena de valor en su libro Ventaja Competitiva donde presenta ideas sobre los sistemas empresariales tomando como referencia a Mckinsey, quien consideraba que una empresa cumplía una serie de funciones las cuales, eran: mercadeo, producción, recursos humanos, investigación, desarrollo, etc. y la manera de entenderlas era analizando cada una de sus funciones con relación a las desempeñadas por de sus competidores</w:t>
      </w:r>
      <w:r w:rsidR="00657870" w:rsidRPr="00EE4D50">
        <w:rPr>
          <w:rFonts w:ascii="Verdana" w:hAnsi="Verdana" w:cs="Times New Roman"/>
        </w:rPr>
        <w:t>.</w:t>
      </w:r>
    </w:p>
    <w:p w:rsidR="00BB07EF" w:rsidRPr="00EE4D50" w:rsidRDefault="00BB07EF" w:rsidP="00EC63DA">
      <w:pPr>
        <w:spacing w:after="60"/>
        <w:jc w:val="both"/>
        <w:rPr>
          <w:rFonts w:ascii="Verdana" w:hAnsi="Verdana" w:cs="Times New Roman"/>
        </w:rPr>
      </w:pPr>
      <w:r w:rsidRPr="00EE4D50">
        <w:rPr>
          <w:rFonts w:ascii="Verdana" w:hAnsi="Verdana" w:cs="Times New Roman"/>
        </w:rPr>
        <w:lastRenderedPageBreak/>
        <w:t>Porter (1985</w:t>
      </w:r>
      <w:r w:rsidR="005A080C">
        <w:rPr>
          <w:rFonts w:ascii="Verdana" w:hAnsi="Verdana" w:cs="Times New Roman"/>
        </w:rPr>
        <w:t>: 82</w:t>
      </w:r>
      <w:r w:rsidRPr="00EE4D50">
        <w:rPr>
          <w:rFonts w:ascii="Verdana" w:hAnsi="Verdana" w:cs="Times New Roman"/>
        </w:rPr>
        <w:t>) identifica dos fuente separadas y fundamentales de ventaja competitiva, las cuales son: liderazgo en costo bajo y la diferenciación, las cuales para Porter dependían de todas aquellas actividades discretas que desarrolla una empresa y al separarlas en grupos, podría ayudar a comprender el comportamiento de los costos e identificar fuente existentes o potenciales de diferenciación.</w:t>
      </w:r>
    </w:p>
    <w:p w:rsidR="00657870" w:rsidRPr="00EE4D50" w:rsidRDefault="00657870"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La definición de Porter de valor, es la suma de los beneficios percibidos que el cliente recibe menos los costos percibidos por el al adquirir o usar un producto o servicio. Una cadena de valor es la forma de análisis de las </w:t>
      </w:r>
      <w:r w:rsidR="00490531">
        <w:rPr>
          <w:rFonts w:ascii="Verdana" w:hAnsi="Verdana" w:cs="Times New Roman"/>
        </w:rPr>
        <w:t>actividades empresariales en la</w:t>
      </w:r>
      <w:r w:rsidRPr="00EE4D50">
        <w:rPr>
          <w:rFonts w:ascii="Verdana" w:hAnsi="Verdana" w:cs="Times New Roman"/>
        </w:rPr>
        <w:t xml:space="preserve"> cual se descompone una empresa en sus partes constituidas, buscando identificar fuentes de ventaja competitiva en las actividades que generen valor. En otras palabras la cadena de valor de una empresa, está conformada por todas sus actividades generadoras de valor agregado y por sus márgenes que estas aporten.</w:t>
      </w:r>
    </w:p>
    <w:p w:rsidR="00657870" w:rsidRPr="00EE4D50" w:rsidRDefault="00657870"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 cadena de valor de una empresa es un sistema interdependiente o red de actividades, conectado mediante enlaces. Los enlaces se producen cuando la forma de llevar a cabo una actividad afecta el coste o la eficacia de las otras actividades que deben optimizarse. Dentro de este sistema de valor los encadenamientos son una parte fundamental del éxito corporativo debido a que proporcionan flujos de información, bienes y servicios y también de sistemas de procesos para la innovación. Los encadenamientos o enlaces constituyen, en esencia, relaciones de cooperación y flujos de información que promueve a la ventaja competitiva (Porter, 1985</w:t>
      </w:r>
      <w:r w:rsidR="005A080C">
        <w:rPr>
          <w:rFonts w:ascii="Verdana" w:hAnsi="Verdana" w:cs="Times New Roman"/>
        </w:rPr>
        <w:t>: 85</w:t>
      </w:r>
      <w:r w:rsidRPr="00EE4D50">
        <w:rPr>
          <w:rFonts w:ascii="Verdana" w:hAnsi="Verdana" w:cs="Times New Roman"/>
        </w:rPr>
        <w:t>).</w:t>
      </w:r>
    </w:p>
    <w:p w:rsidR="00657870" w:rsidRPr="00EE4D50" w:rsidRDefault="00657870" w:rsidP="00EC63DA">
      <w:pPr>
        <w:spacing w:after="60"/>
        <w:jc w:val="both"/>
        <w:rPr>
          <w:rFonts w:ascii="Verdana" w:hAnsi="Verdana" w:cs="Times New Roman"/>
        </w:rPr>
      </w:pPr>
    </w:p>
    <w:p w:rsidR="00BB07EF" w:rsidRPr="00EE4D50" w:rsidRDefault="00BB07EF" w:rsidP="00EC63DA">
      <w:pPr>
        <w:spacing w:before="60" w:after="60"/>
        <w:jc w:val="both"/>
        <w:rPr>
          <w:rFonts w:ascii="Verdana" w:hAnsi="Verdana" w:cs="Times New Roman"/>
        </w:rPr>
      </w:pPr>
      <w:r w:rsidRPr="00EE4D50">
        <w:rPr>
          <w:rFonts w:ascii="Verdana" w:hAnsi="Verdana" w:cs="Times New Roman"/>
        </w:rPr>
        <w:t>El trabajo en cadenas de valor se concibe como una estrategia comercial potencialmente exitosa, que se puede emplear para desarrollar relaciones de negocios fuertes y sustentables a nivel local para competir con éxito en la economía globalizada. Estas se crean cuando las empresas pequeñas, medianas y grandes) y los productores tienen una visión compartida y metas comunes, se forman para reunir objetivos específicos de mercado, tomando decisiones en conjunto, así como para compartir riesgos y beneficios (CONCOPE, 2011</w:t>
      </w:r>
      <w:r w:rsidR="00C42C63" w:rsidRPr="00EE4D50">
        <w:rPr>
          <w:rFonts w:ascii="Verdana" w:hAnsi="Verdana" w:cs="Times New Roman"/>
        </w:rPr>
        <w:t>:</w:t>
      </w:r>
      <w:r w:rsidR="005A080C">
        <w:rPr>
          <w:rFonts w:ascii="Verdana" w:hAnsi="Verdana" w:cs="Times New Roman"/>
        </w:rPr>
        <w:t xml:space="preserve"> </w:t>
      </w:r>
      <w:r w:rsidR="00C42C63" w:rsidRPr="00EE4D50">
        <w:rPr>
          <w:rFonts w:ascii="Verdana" w:hAnsi="Verdana" w:cs="Times New Roman"/>
        </w:rPr>
        <w:t>99).</w:t>
      </w:r>
    </w:p>
    <w:p w:rsidR="00C42C63" w:rsidRPr="00EE4D50" w:rsidRDefault="00C42C63" w:rsidP="00EC63DA">
      <w:pPr>
        <w:spacing w:after="60"/>
        <w:jc w:val="both"/>
        <w:rPr>
          <w:rFonts w:ascii="Verdana" w:hAnsi="Verdana" w:cs="Times New Roman"/>
        </w:rPr>
      </w:pPr>
    </w:p>
    <w:p w:rsidR="00BB07EF" w:rsidRPr="00EE4D50" w:rsidRDefault="00C42C63" w:rsidP="00EC63DA">
      <w:pPr>
        <w:pStyle w:val="Ttulo2"/>
        <w:rPr>
          <w:rFonts w:cs="Times New Roman"/>
        </w:rPr>
      </w:pPr>
      <w:bookmarkStart w:id="22" w:name="_Toc485137196"/>
      <w:r w:rsidRPr="00EE4D50">
        <w:rPr>
          <w:rFonts w:cs="Times New Roman"/>
        </w:rPr>
        <w:t>Cadena Productiva</w:t>
      </w:r>
      <w:bookmarkEnd w:id="22"/>
    </w:p>
    <w:p w:rsidR="00C42C63" w:rsidRPr="00EE4D50" w:rsidRDefault="00C42C63" w:rsidP="00EC63DA">
      <w:pPr>
        <w:spacing w:after="60"/>
        <w:jc w:val="both"/>
        <w:rPr>
          <w:rFonts w:ascii="Verdana" w:hAnsi="Verdana" w:cs="Times New Roman"/>
          <w:lang w:val="es-MX"/>
        </w:rPr>
      </w:pPr>
    </w:p>
    <w:p w:rsidR="00462D4D" w:rsidRDefault="00BB07EF" w:rsidP="00EC63DA">
      <w:pPr>
        <w:spacing w:after="60"/>
        <w:jc w:val="both"/>
        <w:rPr>
          <w:rFonts w:ascii="Verdana" w:hAnsi="Verdana" w:cs="Times New Roman"/>
        </w:rPr>
      </w:pPr>
      <w:r w:rsidRPr="00EE4D50">
        <w:rPr>
          <w:rFonts w:ascii="Verdana" w:hAnsi="Verdana" w:cs="Times New Roman"/>
        </w:rPr>
        <w:t xml:space="preserve">La cadena productiva se refiere a las funciones de producción, transformación, comercialización y consumo que realizan diversos agentes económicos. Estos actores se relacionan mediante una serie de transacciones, monetarias o no monetarias, las cuales permiten el flujo de productos, desde la provisión de insumos y materias primas hasta el consumidor final; lo que incluye diferentes niveles de transformación y agregación de valor. Cuando un producto está disponible en el mercado significa que existe una cadena productiva en la que </w:t>
      </w:r>
      <w:r w:rsidRPr="00EE4D50">
        <w:rPr>
          <w:rFonts w:ascii="Verdana" w:hAnsi="Verdana" w:cs="Times New Roman"/>
        </w:rPr>
        <w:lastRenderedPageBreak/>
        <w:t>participan una serie de actores para llevar ese producto desde la provisión de insumos y los procesos de producción, hasta el punto de comercialización donde lo adquiere el cons</w:t>
      </w:r>
      <w:r w:rsidR="00BD1008" w:rsidRPr="00EE4D50">
        <w:rPr>
          <w:rFonts w:ascii="Verdana" w:hAnsi="Verdana" w:cs="Times New Roman"/>
        </w:rPr>
        <w:t>umidor final (CONCOPE, 2011:</w:t>
      </w:r>
      <w:r w:rsidR="005A080C">
        <w:rPr>
          <w:rFonts w:ascii="Verdana" w:hAnsi="Verdana" w:cs="Times New Roman"/>
        </w:rPr>
        <w:t xml:space="preserve"> </w:t>
      </w:r>
      <w:r w:rsidR="00BD1008" w:rsidRPr="00EE4D50">
        <w:rPr>
          <w:rFonts w:ascii="Verdana" w:hAnsi="Verdana" w:cs="Times New Roman"/>
        </w:rPr>
        <w:t>98).</w:t>
      </w:r>
    </w:p>
    <w:p w:rsidR="00462D4D" w:rsidRDefault="00462D4D" w:rsidP="00EC63DA">
      <w:pPr>
        <w:pStyle w:val="Epgrafe"/>
        <w:spacing w:after="0"/>
        <w:jc w:val="center"/>
        <w:rPr>
          <w:rFonts w:ascii="Verdana" w:hAnsi="Verdana" w:cs="Times New Roman"/>
          <w:b w:val="0"/>
          <w:bCs w:val="0"/>
          <w:color w:val="auto"/>
          <w:sz w:val="22"/>
          <w:szCs w:val="22"/>
        </w:rPr>
      </w:pPr>
      <w:bookmarkStart w:id="23" w:name="_Toc473640027"/>
    </w:p>
    <w:p w:rsidR="00BB07EF" w:rsidRPr="00C44099" w:rsidRDefault="00536A2E" w:rsidP="00EC63DA">
      <w:pPr>
        <w:pStyle w:val="Epgrafe"/>
        <w:spacing w:after="0"/>
        <w:jc w:val="center"/>
        <w:rPr>
          <w:rFonts w:ascii="Verdana" w:hAnsi="Verdana" w:cs="Times New Roman"/>
          <w:color w:val="auto"/>
          <w:sz w:val="20"/>
          <w:szCs w:val="20"/>
        </w:rPr>
      </w:pPr>
      <w:r w:rsidRPr="00EE4D50">
        <w:rPr>
          <w:rFonts w:ascii="Verdana" w:hAnsi="Verdana" w:cs="Times New Roman"/>
          <w:color w:val="auto"/>
          <w:sz w:val="20"/>
          <w:szCs w:val="20"/>
        </w:rPr>
        <w:t xml:space="preserve">Figura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Figura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2</w:t>
      </w:r>
      <w:r w:rsidRPr="00EE4D50">
        <w:rPr>
          <w:rFonts w:ascii="Verdana" w:hAnsi="Verdana" w:cs="Times New Roman"/>
          <w:color w:val="auto"/>
          <w:sz w:val="20"/>
          <w:szCs w:val="20"/>
        </w:rPr>
        <w:fldChar w:fldCharType="end"/>
      </w:r>
      <w:r w:rsidR="00BB07EF" w:rsidRPr="00C44099">
        <w:rPr>
          <w:rFonts w:ascii="Verdana" w:hAnsi="Verdana" w:cs="Times New Roman"/>
          <w:color w:val="auto"/>
          <w:sz w:val="20"/>
          <w:szCs w:val="20"/>
        </w:rPr>
        <w:t xml:space="preserve">: </w:t>
      </w:r>
      <w:r w:rsidR="00BB07EF" w:rsidRPr="00C44099">
        <w:rPr>
          <w:rFonts w:ascii="Verdana" w:hAnsi="Verdana" w:cs="Times New Roman"/>
          <w:b w:val="0"/>
          <w:i/>
          <w:color w:val="auto"/>
          <w:sz w:val="20"/>
          <w:szCs w:val="20"/>
        </w:rPr>
        <w:t>Esquema de cadena productiva</w:t>
      </w:r>
      <w:bookmarkEnd w:id="23"/>
    </w:p>
    <w:p w:rsidR="00BB07EF" w:rsidRPr="00EE4D50" w:rsidRDefault="00BB07EF" w:rsidP="00EC63DA">
      <w:pPr>
        <w:spacing w:line="240" w:lineRule="auto"/>
        <w:contextualSpacing/>
        <w:jc w:val="center"/>
        <w:rPr>
          <w:rFonts w:ascii="Verdana" w:hAnsi="Verdana" w:cs="Times New Roman"/>
        </w:rPr>
      </w:pPr>
      <w:r w:rsidRPr="00EE4D50">
        <w:rPr>
          <w:rFonts w:ascii="Verdana" w:hAnsi="Verdana" w:cs="Times New Roman"/>
          <w:noProof/>
          <w:lang w:eastAsia="es-EC"/>
        </w:rPr>
        <w:drawing>
          <wp:inline distT="0" distB="0" distL="0" distR="0" wp14:anchorId="6630E09B" wp14:editId="7C257B0A">
            <wp:extent cx="5050465" cy="2232838"/>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l="24893" t="52666" r="36658" b="21950"/>
                    <a:stretch/>
                  </pic:blipFill>
                  <pic:spPr bwMode="auto">
                    <a:xfrm>
                      <a:off x="0" y="0"/>
                      <a:ext cx="5049017" cy="2232198"/>
                    </a:xfrm>
                    <a:prstGeom prst="rect">
                      <a:avLst/>
                    </a:prstGeom>
                    <a:ln>
                      <a:noFill/>
                    </a:ln>
                    <a:extLst>
                      <a:ext uri="{53640926-AAD7-44D8-BBD7-CCE9431645EC}">
                        <a14:shadowObscured xmlns:a14="http://schemas.microsoft.com/office/drawing/2010/main"/>
                      </a:ext>
                    </a:extLst>
                  </pic:spPr>
                </pic:pic>
              </a:graphicData>
            </a:graphic>
          </wp:inline>
        </w:drawing>
      </w:r>
    </w:p>
    <w:p w:rsidR="00BB07EF" w:rsidRPr="00EE4D50" w:rsidRDefault="0054358A" w:rsidP="00EC63DA">
      <w:pPr>
        <w:spacing w:line="240" w:lineRule="auto"/>
        <w:contextualSpacing/>
        <w:rPr>
          <w:rFonts w:ascii="Verdana" w:hAnsi="Verdana" w:cs="Times New Roman"/>
          <w:i/>
        </w:rPr>
      </w:pPr>
      <w:r w:rsidRPr="00EE4D50">
        <w:rPr>
          <w:rFonts w:ascii="Verdana" w:hAnsi="Verdana" w:cs="Times New Roman"/>
          <w:i/>
        </w:rPr>
        <w:t xml:space="preserve">       </w:t>
      </w:r>
      <w:r w:rsidR="00BB07EF" w:rsidRPr="00EE4D50">
        <w:rPr>
          <w:rFonts w:ascii="Verdana" w:hAnsi="Verdana" w:cs="Times New Roman"/>
          <w:i/>
          <w:sz w:val="20"/>
        </w:rPr>
        <w:t>Fuente: CONCOPE (2011)</w:t>
      </w:r>
    </w:p>
    <w:p w:rsidR="00BB07EF" w:rsidRPr="00EE4D50" w:rsidRDefault="00BB07EF" w:rsidP="00EC63DA">
      <w:pPr>
        <w:jc w:val="both"/>
        <w:rPr>
          <w:rFonts w:ascii="Verdana" w:hAnsi="Verdana" w:cs="Times New Roman"/>
        </w:rPr>
      </w:pPr>
    </w:p>
    <w:p w:rsidR="00BB07EF" w:rsidRPr="00EE4D50" w:rsidRDefault="00C42C63" w:rsidP="00EC63DA">
      <w:pPr>
        <w:pStyle w:val="Ttulo2"/>
        <w:rPr>
          <w:rFonts w:cs="Times New Roman"/>
        </w:rPr>
      </w:pPr>
      <w:bookmarkStart w:id="24" w:name="_Toc485137197"/>
      <w:r w:rsidRPr="00EE4D50">
        <w:rPr>
          <w:rFonts w:cs="Times New Roman"/>
        </w:rPr>
        <w:t>Estructuralismo e Industrialización</w:t>
      </w:r>
      <w:bookmarkEnd w:id="24"/>
    </w:p>
    <w:p w:rsidR="00BB07EF" w:rsidRPr="00EE4D50" w:rsidRDefault="00BB07EF" w:rsidP="00EC63DA">
      <w:pPr>
        <w:spacing w:after="60"/>
        <w:jc w:val="both"/>
        <w:rPr>
          <w:rFonts w:ascii="Verdana" w:eastAsia="Times New Roman" w:hAnsi="Verdana" w:cs="Times New Roman"/>
          <w:lang w:eastAsia="es-EC"/>
        </w:rPr>
      </w:pPr>
    </w:p>
    <w:p w:rsidR="00BB07EF" w:rsidRPr="00EE4D50" w:rsidRDefault="00BB07EF" w:rsidP="00EC63DA">
      <w:pPr>
        <w:spacing w:after="60"/>
        <w:jc w:val="both"/>
        <w:rPr>
          <w:rFonts w:ascii="Verdana" w:eastAsia="Times New Roman" w:hAnsi="Verdana" w:cs="Times New Roman"/>
          <w:lang w:eastAsia="es-EC"/>
        </w:rPr>
      </w:pPr>
      <w:r w:rsidRPr="00EE4D50">
        <w:rPr>
          <w:rFonts w:ascii="Verdana" w:eastAsia="Times New Roman" w:hAnsi="Verdana" w:cs="Times New Roman"/>
          <w:lang w:eastAsia="es-EC"/>
        </w:rPr>
        <w:t>El estructuralismo es un enfoque que propuso la CEPAL para los países de Latinoamérica, la cual se caracteriza por una mayor participación del Estado en el manejo de la economía y aumento de la industria regional. Con respecto a l</w:t>
      </w:r>
      <w:r w:rsidRPr="00EE4D50">
        <w:rPr>
          <w:rFonts w:ascii="Verdana" w:hAnsi="Verdana" w:cs="Times New Roman"/>
        </w:rPr>
        <w:t>a sustitución de importaciones, la teoría estructuralista se enfoca en el crecimiento, la inversión, el empleo y la distribución en el largo plazo</w:t>
      </w:r>
      <w:r w:rsidRPr="00EE4D50">
        <w:rPr>
          <w:rStyle w:val="Refdenotaalpie"/>
          <w:rFonts w:ascii="Verdana" w:hAnsi="Verdana" w:cs="Times New Roman"/>
        </w:rPr>
        <w:footnoteReference w:id="3"/>
      </w:r>
      <w:r w:rsidRPr="00EE4D50">
        <w:rPr>
          <w:rFonts w:ascii="Verdana" w:hAnsi="Verdana" w:cs="Times New Roman"/>
        </w:rPr>
        <w:t>. Este enfoque tiene su desarrollo en la economía de América Latina, la cual durante la gran depresión y la segunda guerra mundial experimentó sustitución de importaciones entre gobiernos y las empresas para encarar a las condiciones externas desfavorables</w:t>
      </w:r>
      <w:r w:rsidRPr="00EE4D50">
        <w:rPr>
          <w:rFonts w:ascii="Verdana" w:eastAsia="Times New Roman" w:hAnsi="Verdana" w:cs="Times New Roman"/>
          <w:lang w:eastAsia="es-EC"/>
        </w:rPr>
        <w:t xml:space="preserve"> (Fitzgerald, 1998</w:t>
      </w:r>
      <w:r w:rsidR="00411F84">
        <w:rPr>
          <w:rFonts w:ascii="Verdana" w:eastAsia="Times New Roman" w:hAnsi="Verdana" w:cs="Times New Roman"/>
          <w:lang w:eastAsia="es-EC"/>
        </w:rPr>
        <w:t>:</w:t>
      </w:r>
      <w:r w:rsidR="005A080C">
        <w:rPr>
          <w:rFonts w:ascii="Verdana" w:eastAsia="Times New Roman" w:hAnsi="Verdana" w:cs="Times New Roman"/>
          <w:lang w:eastAsia="es-EC"/>
        </w:rPr>
        <w:t xml:space="preserve"> </w:t>
      </w:r>
      <w:r w:rsidR="00411F84">
        <w:rPr>
          <w:rFonts w:ascii="Verdana" w:eastAsia="Times New Roman" w:hAnsi="Verdana" w:cs="Times New Roman"/>
          <w:lang w:eastAsia="es-EC"/>
        </w:rPr>
        <w:t>4</w:t>
      </w:r>
      <w:r w:rsidRPr="00EE4D50">
        <w:rPr>
          <w:rFonts w:ascii="Verdana" w:eastAsia="Times New Roman" w:hAnsi="Verdana" w:cs="Times New Roman"/>
          <w:lang w:eastAsia="es-EC"/>
        </w:rPr>
        <w:t>).</w:t>
      </w:r>
    </w:p>
    <w:p w:rsidR="00BB07EF" w:rsidRPr="00EE4D50" w:rsidRDefault="00BB07EF" w:rsidP="00EC63DA">
      <w:pPr>
        <w:spacing w:after="60"/>
        <w:jc w:val="both"/>
        <w:rPr>
          <w:rFonts w:ascii="Verdana" w:hAnsi="Verdana" w:cs="Times New Roman"/>
        </w:rPr>
      </w:pPr>
    </w:p>
    <w:p w:rsidR="00BB07EF" w:rsidRPr="00EE4D50" w:rsidRDefault="00BB07EF" w:rsidP="00EC63DA">
      <w:pPr>
        <w:spacing w:after="60"/>
        <w:jc w:val="both"/>
        <w:rPr>
          <w:rFonts w:ascii="Verdana" w:eastAsia="Times New Roman" w:hAnsi="Verdana" w:cs="Times New Roman"/>
          <w:lang w:eastAsia="es-EC"/>
        </w:rPr>
      </w:pPr>
      <w:r w:rsidRPr="00EE4D50">
        <w:rPr>
          <w:rFonts w:ascii="Verdana" w:eastAsia="Times New Roman" w:hAnsi="Verdana" w:cs="Times New Roman"/>
          <w:lang w:eastAsia="es-EC"/>
        </w:rPr>
        <w:t xml:space="preserve">Las diferencias estructurales de los países de centro y periferia </w:t>
      </w:r>
      <w:r w:rsidR="00337B4C" w:rsidRPr="00EE4D50">
        <w:rPr>
          <w:rFonts w:ascii="Verdana" w:eastAsia="Times New Roman" w:hAnsi="Verdana" w:cs="Times New Roman"/>
          <w:lang w:eastAsia="es-EC"/>
        </w:rPr>
        <w:t>configuraban</w:t>
      </w:r>
      <w:r w:rsidRPr="00EE4D50">
        <w:rPr>
          <w:rFonts w:ascii="Verdana" w:eastAsia="Times New Roman" w:hAnsi="Verdana" w:cs="Times New Roman"/>
          <w:lang w:eastAsia="es-EC"/>
        </w:rPr>
        <w:t xml:space="preserve"> a la hegemonía proveniente de la propiedad de los medios de producción y la desigual distribución de la renta, factores que determinan a los Estados Latinoamericanos (Prebisch, 2008:</w:t>
      </w:r>
      <w:r w:rsidR="005A080C">
        <w:rPr>
          <w:rFonts w:ascii="Verdana" w:eastAsia="Times New Roman" w:hAnsi="Verdana" w:cs="Times New Roman"/>
          <w:lang w:eastAsia="es-EC"/>
        </w:rPr>
        <w:t xml:space="preserve"> </w:t>
      </w:r>
      <w:r w:rsidRPr="00EE4D50">
        <w:rPr>
          <w:rFonts w:ascii="Verdana" w:eastAsia="Times New Roman" w:hAnsi="Verdana" w:cs="Times New Roman"/>
          <w:lang w:eastAsia="es-EC"/>
        </w:rPr>
        <w:t>27).</w:t>
      </w:r>
    </w:p>
    <w:p w:rsidR="00BB07EF" w:rsidRPr="00EE4D50" w:rsidRDefault="00BB07EF" w:rsidP="00EC63DA">
      <w:pPr>
        <w:spacing w:after="60"/>
        <w:jc w:val="both"/>
        <w:rPr>
          <w:rFonts w:ascii="Verdana" w:eastAsia="Times New Roman" w:hAnsi="Verdana" w:cs="Times New Roman"/>
          <w:lang w:eastAsia="es-EC"/>
        </w:rPr>
      </w:pPr>
    </w:p>
    <w:p w:rsidR="00BB07EF" w:rsidRPr="00EE4D50" w:rsidRDefault="00BB07EF" w:rsidP="00EC63DA">
      <w:pPr>
        <w:spacing w:after="60"/>
        <w:jc w:val="both"/>
        <w:rPr>
          <w:rFonts w:ascii="Verdana" w:eastAsia="Times New Roman" w:hAnsi="Verdana" w:cs="Times New Roman"/>
          <w:lang w:eastAsia="es-EC"/>
        </w:rPr>
      </w:pPr>
      <w:r w:rsidRPr="00EE4D50">
        <w:rPr>
          <w:rFonts w:ascii="Verdana" w:hAnsi="Verdana" w:cs="Times New Roman"/>
        </w:rPr>
        <w:t xml:space="preserve">Prebisch  argüía que  la mejora en productividad de la tierra,  debido a las nuevas tecnologías, debía  sustentarse en una política económica que impulse a que la mano de obra desplazada de la tierra agrícola se articule a otro sector </w:t>
      </w:r>
      <w:r w:rsidRPr="00EE4D50">
        <w:rPr>
          <w:rFonts w:ascii="Verdana" w:hAnsi="Verdana" w:cs="Times New Roman"/>
        </w:rPr>
        <w:lastRenderedPageBreak/>
        <w:t xml:space="preserve">impulsado por la productividad en la tierra.  Este sector  sería  la  industria,  que  a  su  vez  generaría  un  crecimiento  bastante  rápido  de  la economía </w:t>
      </w:r>
      <w:r w:rsidRPr="00EE4D50">
        <w:rPr>
          <w:rFonts w:ascii="Verdana" w:eastAsia="Times New Roman" w:hAnsi="Verdana" w:cs="Times New Roman"/>
          <w:lang w:eastAsia="es-EC"/>
        </w:rPr>
        <w:t>(Figueroa, 1990:</w:t>
      </w:r>
      <w:r w:rsidR="00925F38">
        <w:rPr>
          <w:rFonts w:ascii="Verdana" w:eastAsia="Times New Roman" w:hAnsi="Verdana" w:cs="Times New Roman"/>
          <w:lang w:eastAsia="es-EC"/>
        </w:rPr>
        <w:t xml:space="preserve"> </w:t>
      </w:r>
      <w:r w:rsidRPr="00EE4D50">
        <w:rPr>
          <w:rFonts w:ascii="Verdana" w:eastAsia="Times New Roman" w:hAnsi="Verdana" w:cs="Times New Roman"/>
          <w:lang w:eastAsia="es-EC"/>
        </w:rPr>
        <w:t>4).</w:t>
      </w:r>
    </w:p>
    <w:p w:rsidR="00BB07EF" w:rsidRPr="00EE4D50" w:rsidRDefault="00BB07EF" w:rsidP="00EC63DA">
      <w:pPr>
        <w:spacing w:after="60"/>
        <w:jc w:val="both"/>
        <w:rPr>
          <w:rFonts w:ascii="Verdana" w:eastAsia="Times New Roman" w:hAnsi="Verdana" w:cs="Times New Roman"/>
          <w:lang w:eastAsia="es-EC"/>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 CEPAL tuvo tres principales motivos para una industrialización sustitutiva por parte de los países latinoamericanos. De acuerdo con Fitzgerald (1998:</w:t>
      </w:r>
      <w:r w:rsidR="00925F38">
        <w:rPr>
          <w:rFonts w:ascii="Verdana" w:hAnsi="Verdana" w:cs="Times New Roman"/>
        </w:rPr>
        <w:t xml:space="preserve"> </w:t>
      </w:r>
      <w:r w:rsidRPr="00EE4D50">
        <w:rPr>
          <w:rFonts w:ascii="Verdana" w:hAnsi="Verdana" w:cs="Times New Roman"/>
        </w:rPr>
        <w:t>2) son:</w:t>
      </w:r>
    </w:p>
    <w:p w:rsidR="00657870" w:rsidRPr="00EE4D50" w:rsidRDefault="00657870" w:rsidP="00EC63DA">
      <w:pPr>
        <w:spacing w:after="60"/>
        <w:jc w:val="both"/>
        <w:rPr>
          <w:rFonts w:ascii="Verdana" w:hAnsi="Verdana" w:cs="Times New Roman"/>
        </w:rPr>
      </w:pPr>
    </w:p>
    <w:p w:rsidR="00BB07EF" w:rsidRPr="00EE4D50" w:rsidRDefault="00BB07EF" w:rsidP="00EC63DA">
      <w:pPr>
        <w:spacing w:after="60" w:line="240" w:lineRule="auto"/>
        <w:ind w:left="709" w:hanging="1"/>
        <w:jc w:val="both"/>
        <w:rPr>
          <w:rFonts w:ascii="Verdana" w:hAnsi="Verdana" w:cs="Times New Roman"/>
          <w:sz w:val="20"/>
        </w:rPr>
      </w:pPr>
      <w:r w:rsidRPr="00EE4D50">
        <w:rPr>
          <w:rFonts w:ascii="Verdana" w:hAnsi="Verdana" w:cs="Times New Roman"/>
          <w:sz w:val="20"/>
        </w:rPr>
        <w:t xml:space="preserve">La primera es la restricción externa al crecimiento necesaria para una fuente interna de crecimiento (que aplicaba a la caída de la relación de precios del intercambio para los productos primarios y a las barreras de acceso al mercado manufacturero). Segundo, una necesidad social por el aumento del empleo para absorber la fuerza del trabajo creciente y mejoras para la fuerza de trabajo subempleada, lo cual sectores primarios no lo podían lograr. Tercero, la industrialización, bajo la orientación del Estado, para un mejor progreso tecnológico, porque los beneficios de un aumento de la productividad en el sector primario de exportación solo lo percibían los importadores y no los exportadores. </w:t>
      </w:r>
      <w:r w:rsidR="00411F84">
        <w:rPr>
          <w:rFonts w:ascii="Verdana" w:hAnsi="Verdana" w:cs="Times New Roman"/>
          <w:sz w:val="20"/>
        </w:rPr>
        <w:t>(FitzGerald, 1998:</w:t>
      </w:r>
      <w:r w:rsidR="00925F38">
        <w:rPr>
          <w:rFonts w:ascii="Verdana" w:hAnsi="Verdana" w:cs="Times New Roman"/>
          <w:sz w:val="20"/>
        </w:rPr>
        <w:t xml:space="preserve"> </w:t>
      </w:r>
      <w:r w:rsidR="00411F84">
        <w:rPr>
          <w:rFonts w:ascii="Verdana" w:hAnsi="Verdana" w:cs="Times New Roman"/>
          <w:sz w:val="20"/>
        </w:rPr>
        <w:t>4)</w:t>
      </w:r>
    </w:p>
    <w:p w:rsidR="00E102D6" w:rsidRPr="00EE4D50" w:rsidRDefault="00E102D6" w:rsidP="00EC63DA">
      <w:pPr>
        <w:spacing w:after="60"/>
        <w:jc w:val="both"/>
        <w:rPr>
          <w:rFonts w:ascii="Verdana" w:eastAsia="Times New Roman" w:hAnsi="Verdana" w:cs="Times New Roman"/>
          <w:lang w:eastAsia="es-EC"/>
        </w:rPr>
      </w:pPr>
    </w:p>
    <w:p w:rsidR="00BB07EF" w:rsidRPr="00EE4D50" w:rsidRDefault="00BB07EF" w:rsidP="00EC63DA">
      <w:pPr>
        <w:spacing w:after="60"/>
        <w:jc w:val="both"/>
        <w:rPr>
          <w:rFonts w:ascii="Verdana" w:eastAsia="Times New Roman" w:hAnsi="Verdana" w:cs="Times New Roman"/>
          <w:lang w:eastAsia="es-EC"/>
        </w:rPr>
      </w:pPr>
      <w:r w:rsidRPr="00EE4D50">
        <w:rPr>
          <w:rFonts w:ascii="Verdana" w:eastAsia="Times New Roman" w:hAnsi="Verdana" w:cs="Times New Roman"/>
          <w:lang w:eastAsia="es-EC"/>
        </w:rPr>
        <w:t>El enfoque estructuralista tiene tres pilares que sostienen su línea de pensamiento. Según  (DiFilippo, 2009: 7) son:</w:t>
      </w:r>
    </w:p>
    <w:p w:rsidR="00261705" w:rsidRPr="00EE4D50" w:rsidRDefault="00261705" w:rsidP="00EC63DA">
      <w:pPr>
        <w:spacing w:after="60" w:line="240" w:lineRule="auto"/>
        <w:ind w:left="708" w:hangingChars="322" w:hanging="708"/>
        <w:jc w:val="both"/>
        <w:rPr>
          <w:rFonts w:ascii="Verdana" w:eastAsia="Times New Roman" w:hAnsi="Verdana" w:cs="Times New Roman"/>
          <w:lang w:eastAsia="es-EC"/>
        </w:rPr>
      </w:pPr>
    </w:p>
    <w:p w:rsidR="00BB07EF" w:rsidRPr="00EE4D50" w:rsidRDefault="00BB07EF" w:rsidP="00EC63DA">
      <w:pPr>
        <w:spacing w:after="60" w:line="240" w:lineRule="auto"/>
        <w:ind w:left="644"/>
        <w:jc w:val="both"/>
        <w:rPr>
          <w:rFonts w:ascii="Verdana" w:eastAsia="Times New Roman" w:hAnsi="Verdana" w:cs="Times New Roman"/>
          <w:sz w:val="20"/>
          <w:lang w:eastAsia="es-EC"/>
        </w:rPr>
      </w:pPr>
      <w:r w:rsidRPr="00EE4D50">
        <w:rPr>
          <w:rFonts w:ascii="Verdana" w:eastAsia="Times New Roman" w:hAnsi="Verdana" w:cs="Times New Roman"/>
          <w:sz w:val="20"/>
          <w:lang w:eastAsia="es-EC"/>
        </w:rPr>
        <w:t xml:space="preserve">El primero se trata sobre la distribución funcional del ingreso, que ocurre en los diferentes niveles de poder de producción e institucionales, siendo relevante el término denominado excedente de distribución, que indica la cantidad de poder adquisitivo general. </w:t>
      </w:r>
    </w:p>
    <w:p w:rsidR="00BB07EF" w:rsidRPr="00EE4D50" w:rsidRDefault="00BB07EF" w:rsidP="00EC63DA">
      <w:pPr>
        <w:spacing w:after="60" w:line="240" w:lineRule="auto"/>
        <w:ind w:left="644"/>
        <w:jc w:val="both"/>
        <w:rPr>
          <w:rFonts w:ascii="Verdana" w:eastAsia="Times New Roman" w:hAnsi="Verdana" w:cs="Times New Roman"/>
          <w:sz w:val="20"/>
          <w:lang w:eastAsia="es-EC"/>
        </w:rPr>
      </w:pPr>
      <w:r w:rsidRPr="00EE4D50">
        <w:rPr>
          <w:rFonts w:ascii="Verdana" w:eastAsia="Times New Roman" w:hAnsi="Verdana" w:cs="Times New Roman"/>
          <w:sz w:val="20"/>
          <w:lang w:eastAsia="es-EC"/>
        </w:rPr>
        <w:t xml:space="preserve">En segundo lugar se encuentra una derivación de la idea previa, en la que se incluye la distribución del ingreso a nivel familiar o personal, lo que afecta la demanda agregada de bienes de consumo y el comportamiento en lo referente al ahorro e inversión. </w:t>
      </w:r>
    </w:p>
    <w:p w:rsidR="00BB07EF" w:rsidRPr="00EE4D50" w:rsidRDefault="00BB07EF" w:rsidP="00EC63DA">
      <w:pPr>
        <w:spacing w:after="60" w:line="240" w:lineRule="auto"/>
        <w:ind w:left="644"/>
        <w:jc w:val="both"/>
        <w:rPr>
          <w:rFonts w:ascii="Verdana" w:eastAsia="Times New Roman" w:hAnsi="Verdana" w:cs="Times New Roman"/>
          <w:sz w:val="20"/>
          <w:lang w:eastAsia="es-EC"/>
        </w:rPr>
      </w:pPr>
      <w:r w:rsidRPr="00EE4D50">
        <w:rPr>
          <w:rFonts w:ascii="Verdana" w:eastAsia="Times New Roman" w:hAnsi="Verdana" w:cs="Times New Roman"/>
          <w:sz w:val="20"/>
          <w:lang w:eastAsia="es-EC"/>
        </w:rPr>
        <w:t>En tercera instancia está el funcionamiento del Estado como encargado de “generar las reglas de juego oficiales”, y el Gobierno como un organismo diferente al Estado, que interviene como actor estratégico en las socieda</w:t>
      </w:r>
      <w:r w:rsidR="00C42C63" w:rsidRPr="00EE4D50">
        <w:rPr>
          <w:rFonts w:ascii="Verdana" w:eastAsia="Times New Roman" w:hAnsi="Verdana" w:cs="Times New Roman"/>
          <w:sz w:val="20"/>
          <w:lang w:eastAsia="es-EC"/>
        </w:rPr>
        <w:t>des capitalistas desarrolladas.</w:t>
      </w:r>
    </w:p>
    <w:p w:rsidR="00261705" w:rsidRPr="00EE4D50" w:rsidRDefault="00261705" w:rsidP="00EC63DA">
      <w:pPr>
        <w:spacing w:after="60"/>
        <w:jc w:val="both"/>
        <w:rPr>
          <w:rFonts w:ascii="Verdana" w:eastAsia="Times New Roman" w:hAnsi="Verdana" w:cs="Times New Roman"/>
          <w:sz w:val="20"/>
          <w:lang w:eastAsia="es-EC"/>
        </w:rPr>
      </w:pPr>
    </w:p>
    <w:p w:rsidR="00BB07EF" w:rsidRPr="00EE4D50" w:rsidRDefault="00BB07EF" w:rsidP="00EC63DA">
      <w:pPr>
        <w:spacing w:after="60"/>
        <w:jc w:val="both"/>
        <w:rPr>
          <w:rFonts w:ascii="Verdana" w:hAnsi="Verdana" w:cs="Times New Roman"/>
          <w:noProof/>
        </w:rPr>
      </w:pPr>
      <w:r w:rsidRPr="00EE4D50">
        <w:rPr>
          <w:rFonts w:ascii="Verdana" w:eastAsia="Times New Roman" w:hAnsi="Verdana" w:cs="Times New Roman"/>
          <w:bCs/>
          <w:color w:val="000000"/>
          <w:lang w:eastAsia="es-US"/>
        </w:rPr>
        <w:t>El modelo estructuralista a favor de la industrialización mermó las relaciones de precios de intercambio</w:t>
      </w:r>
      <w:r w:rsidRPr="00EE4D50">
        <w:rPr>
          <w:rStyle w:val="Refdenotaalpie"/>
          <w:rFonts w:ascii="Verdana" w:eastAsia="Times New Roman" w:hAnsi="Verdana" w:cs="Times New Roman"/>
          <w:bCs/>
          <w:color w:val="000000"/>
          <w:lang w:eastAsia="es-US"/>
        </w:rPr>
        <w:footnoteReference w:id="4"/>
      </w:r>
      <w:r w:rsidRPr="00EE4D50">
        <w:rPr>
          <w:rFonts w:ascii="Verdana" w:eastAsia="Times New Roman" w:hAnsi="Verdana" w:cs="Times New Roman"/>
          <w:bCs/>
          <w:color w:val="000000"/>
          <w:lang w:eastAsia="es-US"/>
        </w:rPr>
        <w:t>. La tesis cepalina se basó en la asimetría de la formación de los precios, donde la periferia, fija sus precios de exportación agrícola en bajos costos derivados del exceso de oferta de mano de obra, mientras que el centro, colocaba sobreprecios a sus exportaciones industriales con un beneficio propio de sus empresas; así como también de su fuerza de trabajo. “E</w:t>
      </w:r>
      <w:r w:rsidRPr="00EE4D50">
        <w:rPr>
          <w:rFonts w:ascii="Verdana" w:hAnsi="Verdana" w:cs="Times New Roman"/>
          <w:color w:val="000000"/>
          <w:shd w:val="clear" w:color="auto" w:fill="FFFFFF"/>
        </w:rPr>
        <w:t xml:space="preserve">l modelo </w:t>
      </w:r>
      <w:r w:rsidRPr="00EE4D50">
        <w:rPr>
          <w:rFonts w:ascii="Verdana" w:hAnsi="Verdana" w:cs="Times New Roman"/>
          <w:color w:val="000000"/>
          <w:shd w:val="clear" w:color="auto" w:fill="FFFFFF"/>
        </w:rPr>
        <w:lastRenderedPageBreak/>
        <w:t>estructuralista de industrialización sustitutivo derivó entonces del secular deterioro de la relación de precios del intercambio” (</w:t>
      </w:r>
      <w:r w:rsidRPr="00EE4D50">
        <w:rPr>
          <w:rFonts w:ascii="Verdana" w:hAnsi="Verdana" w:cs="Times New Roman"/>
          <w:noProof/>
        </w:rPr>
        <w:t>FitzGerald, 1998: 3).</w:t>
      </w:r>
    </w:p>
    <w:p w:rsidR="00940110" w:rsidRPr="00EE4D50" w:rsidRDefault="00940110" w:rsidP="00EC63DA">
      <w:pPr>
        <w:spacing w:after="60"/>
        <w:jc w:val="both"/>
        <w:rPr>
          <w:rFonts w:ascii="Verdana" w:eastAsia="Times New Roman" w:hAnsi="Verdana" w:cs="Times New Roman"/>
          <w:bCs/>
          <w:color w:val="000000"/>
          <w:lang w:eastAsia="es-US"/>
        </w:rPr>
      </w:pPr>
    </w:p>
    <w:p w:rsidR="00BB07EF" w:rsidRPr="00EE4D50" w:rsidRDefault="00BB07EF" w:rsidP="00EC63DA">
      <w:pPr>
        <w:spacing w:after="60" w:line="240" w:lineRule="auto"/>
        <w:ind w:left="709" w:hanging="1"/>
        <w:jc w:val="both"/>
        <w:rPr>
          <w:rFonts w:ascii="Verdana" w:eastAsia="Times New Roman" w:hAnsi="Verdana" w:cs="Times New Roman"/>
          <w:color w:val="000000"/>
          <w:sz w:val="20"/>
          <w:lang w:eastAsia="es-US"/>
        </w:rPr>
      </w:pPr>
      <w:r w:rsidRPr="00EE4D50">
        <w:rPr>
          <w:rFonts w:ascii="Verdana" w:eastAsia="Times New Roman" w:hAnsi="Verdana" w:cs="Times New Roman"/>
          <w:color w:val="000000"/>
          <w:sz w:val="20"/>
          <w:lang w:eastAsia="es-US"/>
        </w:rPr>
        <w:t>Hubo cuatro dificultades para la inversión sustitutiva en América Latina: primero, u</w:t>
      </w:r>
      <w:r w:rsidR="005B653E" w:rsidRPr="00EE4D50">
        <w:rPr>
          <w:rFonts w:ascii="Verdana" w:eastAsia="Times New Roman" w:hAnsi="Verdana" w:cs="Times New Roman"/>
          <w:color w:val="000000"/>
          <w:sz w:val="20"/>
          <w:lang w:eastAsia="es-US"/>
        </w:rPr>
        <w:t xml:space="preserve">n </w:t>
      </w:r>
      <w:r w:rsidRPr="00EE4D50">
        <w:rPr>
          <w:rFonts w:ascii="Verdana" w:eastAsia="Times New Roman" w:hAnsi="Verdana" w:cs="Times New Roman"/>
          <w:color w:val="000000"/>
          <w:sz w:val="20"/>
          <w:lang w:eastAsia="es-US"/>
        </w:rPr>
        <w:t>freno por las grandes empresas para invertir en el sector manufacturero. Segundo, los proyectos industriales modernos excedían las posibilidades financieras y logística de los empresarios locales. Tercero, escases de servicios básicos (energía, transporte, etc.) y de una fuerza de trabajo experimentada. Finalmente la cuarta, la falta de conocimientos tecnológicos, las cuales eran monopolizadas por las empresas del exterior. Para solucionar estos inconvenientes, se necesitaba, según la CEPAL una inversión a gran escala con intervención del Estado en la parte productiva del sector privad</w:t>
      </w:r>
      <w:r w:rsidR="005F5350" w:rsidRPr="00EE4D50">
        <w:rPr>
          <w:rFonts w:ascii="Verdana" w:eastAsia="Times New Roman" w:hAnsi="Verdana" w:cs="Times New Roman"/>
          <w:color w:val="000000"/>
          <w:sz w:val="20"/>
          <w:lang w:eastAsia="es-US"/>
        </w:rPr>
        <w:t>o (citado en Fitzgerald, 1998</w:t>
      </w:r>
      <w:r w:rsidR="00411F84">
        <w:rPr>
          <w:rFonts w:ascii="Verdana" w:eastAsia="Times New Roman" w:hAnsi="Verdana" w:cs="Times New Roman"/>
          <w:color w:val="000000"/>
          <w:sz w:val="20"/>
          <w:lang w:eastAsia="es-US"/>
        </w:rPr>
        <w:t>:</w:t>
      </w:r>
      <w:r w:rsidR="00925F38">
        <w:rPr>
          <w:rFonts w:ascii="Verdana" w:eastAsia="Times New Roman" w:hAnsi="Verdana" w:cs="Times New Roman"/>
          <w:color w:val="000000"/>
          <w:sz w:val="20"/>
          <w:lang w:eastAsia="es-US"/>
        </w:rPr>
        <w:t xml:space="preserve"> </w:t>
      </w:r>
      <w:r w:rsidR="00411F84">
        <w:rPr>
          <w:rFonts w:ascii="Verdana" w:eastAsia="Times New Roman" w:hAnsi="Verdana" w:cs="Times New Roman"/>
          <w:color w:val="000000"/>
          <w:sz w:val="20"/>
          <w:lang w:eastAsia="es-US"/>
        </w:rPr>
        <w:t>5</w:t>
      </w:r>
      <w:r w:rsidR="005F5350" w:rsidRPr="00EE4D50">
        <w:rPr>
          <w:rFonts w:ascii="Verdana" w:eastAsia="Times New Roman" w:hAnsi="Verdana" w:cs="Times New Roman"/>
          <w:color w:val="000000"/>
          <w:sz w:val="20"/>
          <w:lang w:eastAsia="es-US"/>
        </w:rPr>
        <w:t>).</w:t>
      </w:r>
    </w:p>
    <w:p w:rsidR="00940110" w:rsidRPr="00EE4D50" w:rsidRDefault="00940110" w:rsidP="00EC63DA">
      <w:pPr>
        <w:spacing w:after="60" w:line="240" w:lineRule="auto"/>
        <w:ind w:left="709" w:hanging="709"/>
        <w:jc w:val="both"/>
        <w:rPr>
          <w:rFonts w:ascii="Verdana" w:eastAsia="Times New Roman" w:hAnsi="Verdana" w:cs="Times New Roman"/>
          <w:color w:val="000000"/>
          <w:sz w:val="20"/>
          <w:lang w:eastAsia="es-US"/>
        </w:rPr>
      </w:pPr>
    </w:p>
    <w:p w:rsidR="00940110" w:rsidRPr="00EE4D50" w:rsidRDefault="00BB07EF" w:rsidP="00EC63DA">
      <w:pPr>
        <w:spacing w:after="60"/>
        <w:jc w:val="both"/>
        <w:rPr>
          <w:rFonts w:ascii="Verdana" w:hAnsi="Verdana" w:cs="Times New Roman"/>
          <w:bCs/>
          <w:color w:val="000000"/>
          <w:shd w:val="clear" w:color="auto" w:fill="FFFFFF"/>
        </w:rPr>
      </w:pPr>
      <w:r w:rsidRPr="00EE4D50">
        <w:rPr>
          <w:rFonts w:ascii="Verdana" w:hAnsi="Verdana" w:cs="Times New Roman"/>
          <w:bCs/>
          <w:color w:val="000000"/>
          <w:shd w:val="clear" w:color="auto" w:fill="FFFFFF"/>
        </w:rPr>
        <w:t>El modelo de la CEPAL critica la idea que solo las fuerzas del mercado generaran el desarrollo económico en América Latina y no como a una teoría económica distinta. Para la CEPAL, la política debía tratar de orientar y racionalizar el proceso de industrialización. Para que el crecimiento económico sostenido tuviera algún efecto no solo debía haber promoción de las exportaciones, sino debía haber una apertura de las importaciones de los países industrializados (Fitzgerald, 1998</w:t>
      </w:r>
      <w:r w:rsidR="00411F84">
        <w:rPr>
          <w:rFonts w:ascii="Verdana" w:hAnsi="Verdana" w:cs="Times New Roman"/>
          <w:bCs/>
          <w:color w:val="000000"/>
          <w:shd w:val="clear" w:color="auto" w:fill="FFFFFF"/>
        </w:rPr>
        <w:t>:</w:t>
      </w:r>
      <w:r w:rsidR="00925F38">
        <w:rPr>
          <w:rFonts w:ascii="Verdana" w:hAnsi="Verdana" w:cs="Times New Roman"/>
          <w:bCs/>
          <w:color w:val="000000"/>
          <w:shd w:val="clear" w:color="auto" w:fill="FFFFFF"/>
        </w:rPr>
        <w:t xml:space="preserve"> </w:t>
      </w:r>
      <w:r w:rsidR="00411F84">
        <w:rPr>
          <w:rFonts w:ascii="Verdana" w:hAnsi="Verdana" w:cs="Times New Roman"/>
          <w:bCs/>
          <w:color w:val="000000"/>
          <w:shd w:val="clear" w:color="auto" w:fill="FFFFFF"/>
        </w:rPr>
        <w:t>5</w:t>
      </w:r>
      <w:r w:rsidRPr="00EE4D50">
        <w:rPr>
          <w:rFonts w:ascii="Verdana" w:hAnsi="Verdana" w:cs="Times New Roman"/>
          <w:bCs/>
          <w:color w:val="000000"/>
          <w:shd w:val="clear" w:color="auto" w:fill="FFFFFF"/>
        </w:rPr>
        <w:t>).</w:t>
      </w:r>
    </w:p>
    <w:p w:rsidR="00657870" w:rsidRPr="00EE4D50" w:rsidRDefault="00BB07EF" w:rsidP="00EC63DA">
      <w:pPr>
        <w:spacing w:after="60"/>
        <w:jc w:val="both"/>
        <w:rPr>
          <w:rFonts w:ascii="Verdana" w:hAnsi="Verdana" w:cs="Times New Roman"/>
          <w:bCs/>
          <w:color w:val="000000"/>
          <w:shd w:val="clear" w:color="auto" w:fill="FFFFFF"/>
        </w:rPr>
      </w:pPr>
      <w:r w:rsidRPr="00EE4D50">
        <w:rPr>
          <w:rFonts w:ascii="Verdana" w:hAnsi="Verdana" w:cs="Times New Roman"/>
          <w:color w:val="000000"/>
        </w:rPr>
        <w:br/>
        <w:t xml:space="preserve">El análisis de la CEPAL se basaba en </w:t>
      </w:r>
      <w:r w:rsidRPr="00EE4D50">
        <w:rPr>
          <w:rFonts w:ascii="Verdana" w:hAnsi="Verdana" w:cs="Times New Roman"/>
          <w:color w:val="000000"/>
          <w:shd w:val="clear" w:color="auto" w:fill="FFFFFF"/>
        </w:rPr>
        <w:t xml:space="preserve">las restricciones estructurales de las economías nacionales y su retraso tecnológico, los cuales eran los factores determinantes del problema fundamental para la industrialización sustitutiva (más que las distorsiones de los precios internos o la intervención del gobierno). </w:t>
      </w:r>
      <w:r w:rsidRPr="00EE4D50">
        <w:rPr>
          <w:rFonts w:ascii="Verdana" w:hAnsi="Verdana" w:cs="Times New Roman"/>
          <w:bCs/>
          <w:color w:val="000000"/>
          <w:shd w:val="clear" w:color="auto" w:fill="FFFFFF"/>
        </w:rPr>
        <w:t>El elemento clave para la teoría de industrialización de la CEPAL fue el problema del progreso tecnológico y de la transferencia de tecnología del centro a la</w:t>
      </w:r>
      <w:r w:rsidR="00657870" w:rsidRPr="00EE4D50">
        <w:rPr>
          <w:rFonts w:ascii="Verdana" w:hAnsi="Verdana" w:cs="Times New Roman"/>
          <w:bCs/>
          <w:color w:val="000000"/>
          <w:shd w:val="clear" w:color="auto" w:fill="FFFFFF"/>
        </w:rPr>
        <w:t xml:space="preserve"> periferia  (Fitzgerald, 1998</w:t>
      </w:r>
      <w:r w:rsidR="00411F84">
        <w:rPr>
          <w:rFonts w:ascii="Verdana" w:hAnsi="Verdana" w:cs="Times New Roman"/>
          <w:bCs/>
          <w:color w:val="000000"/>
          <w:shd w:val="clear" w:color="auto" w:fill="FFFFFF"/>
        </w:rPr>
        <w:t>:</w:t>
      </w:r>
      <w:r w:rsidR="00925F38">
        <w:rPr>
          <w:rFonts w:ascii="Verdana" w:hAnsi="Verdana" w:cs="Times New Roman"/>
          <w:bCs/>
          <w:color w:val="000000"/>
          <w:shd w:val="clear" w:color="auto" w:fill="FFFFFF"/>
        </w:rPr>
        <w:t xml:space="preserve"> </w:t>
      </w:r>
      <w:r w:rsidR="00411F84">
        <w:rPr>
          <w:rFonts w:ascii="Verdana" w:hAnsi="Verdana" w:cs="Times New Roman"/>
          <w:bCs/>
          <w:color w:val="000000"/>
          <w:shd w:val="clear" w:color="auto" w:fill="FFFFFF"/>
        </w:rPr>
        <w:t>4</w:t>
      </w:r>
      <w:r w:rsidR="00657870" w:rsidRPr="00EE4D50">
        <w:rPr>
          <w:rFonts w:ascii="Verdana" w:hAnsi="Verdana" w:cs="Times New Roman"/>
          <w:bCs/>
          <w:color w:val="000000"/>
          <w:shd w:val="clear" w:color="auto" w:fill="FFFFFF"/>
        </w:rPr>
        <w:t>).</w:t>
      </w:r>
    </w:p>
    <w:p w:rsidR="00657870" w:rsidRPr="00EE4D50" w:rsidRDefault="00657870" w:rsidP="00EC63DA">
      <w:pPr>
        <w:spacing w:after="60"/>
        <w:jc w:val="both"/>
        <w:rPr>
          <w:rFonts w:ascii="Verdana" w:hAnsi="Verdana" w:cs="Times New Roman"/>
          <w:bCs/>
          <w:color w:val="000000"/>
          <w:shd w:val="clear" w:color="auto" w:fill="FFFFFF"/>
        </w:rPr>
      </w:pPr>
    </w:p>
    <w:p w:rsidR="00BB07EF" w:rsidRDefault="00BB07EF" w:rsidP="00EC63DA">
      <w:pPr>
        <w:spacing w:after="60"/>
        <w:jc w:val="both"/>
        <w:rPr>
          <w:rFonts w:ascii="Verdana" w:hAnsi="Verdana" w:cs="Times New Roman"/>
          <w:color w:val="000000"/>
          <w:shd w:val="clear" w:color="auto" w:fill="FFFFFF"/>
        </w:rPr>
      </w:pPr>
      <w:r w:rsidRPr="00EE4D50">
        <w:rPr>
          <w:rFonts w:ascii="Verdana" w:hAnsi="Verdana" w:cs="Times New Roman"/>
          <w:color w:val="000000"/>
          <w:shd w:val="clear" w:color="auto" w:fill="FFFFFF"/>
        </w:rPr>
        <w:t>Según Furtado (1990: 90) los países que habían ya completado la fase básica para una industrialización efectiva fueron los que pudieron sustituir importaciones ya que contaban con sectores industriales para los bienes de consumo no duradero</w:t>
      </w:r>
      <w:r w:rsidRPr="00EE4D50">
        <w:rPr>
          <w:rStyle w:val="Refdenotaalpie"/>
          <w:rFonts w:ascii="Verdana" w:hAnsi="Verdana" w:cs="Times New Roman"/>
          <w:color w:val="000000"/>
          <w:shd w:val="clear" w:color="auto" w:fill="FFFFFF"/>
        </w:rPr>
        <w:footnoteReference w:id="5"/>
      </w:r>
      <w:r w:rsidRPr="00EE4D50">
        <w:rPr>
          <w:rFonts w:ascii="Verdana" w:hAnsi="Verdana" w:cs="Times New Roman"/>
          <w:color w:val="000000"/>
          <w:shd w:val="clear" w:color="auto" w:fill="FFFFFF"/>
        </w:rPr>
        <w:t xml:space="preserve">. </w:t>
      </w:r>
    </w:p>
    <w:p w:rsidR="00411F84" w:rsidRPr="00EE4D50" w:rsidRDefault="00411F84" w:rsidP="00EC63DA">
      <w:pPr>
        <w:spacing w:after="60"/>
        <w:jc w:val="both"/>
        <w:rPr>
          <w:rFonts w:ascii="Verdana" w:hAnsi="Verdana" w:cs="Times New Roman"/>
          <w:bCs/>
          <w:color w:val="000000"/>
          <w:shd w:val="clear" w:color="auto" w:fill="FFFFFF"/>
        </w:rPr>
      </w:pPr>
    </w:p>
    <w:p w:rsidR="00BD1008" w:rsidRPr="00EE4D50" w:rsidRDefault="00BB07EF" w:rsidP="00EC63DA">
      <w:pPr>
        <w:spacing w:before="60" w:after="60"/>
        <w:jc w:val="both"/>
        <w:rPr>
          <w:rFonts w:ascii="Verdana" w:hAnsi="Verdana" w:cs="Times New Roman"/>
          <w:color w:val="000000"/>
          <w:shd w:val="clear" w:color="auto" w:fill="FFFFFF"/>
        </w:rPr>
      </w:pPr>
      <w:r w:rsidRPr="00EE4D50">
        <w:rPr>
          <w:rFonts w:ascii="Verdana" w:hAnsi="Verdana" w:cs="Times New Roman"/>
          <w:color w:val="000000"/>
          <w:shd w:val="clear" w:color="auto" w:fill="FFFFFF"/>
        </w:rPr>
        <w:t>En resumen, la industrialización requeriría de una intervención eficiente y permanente por parte del gobierno, con el objetivo de impulsar a la investigación, la capacitación de la fuerza de trabajo y la penetración de los mercados de exportación, resolviendo los problemas de la energía y el</w:t>
      </w:r>
      <w:r w:rsidR="00A6606A" w:rsidRPr="00EE4D50">
        <w:rPr>
          <w:rFonts w:ascii="Verdana" w:hAnsi="Verdana" w:cs="Times New Roman"/>
          <w:color w:val="000000"/>
          <w:shd w:val="clear" w:color="auto" w:fill="FFFFFF"/>
        </w:rPr>
        <w:t xml:space="preserve"> transporte </w:t>
      </w:r>
      <w:r w:rsidR="00A6606A" w:rsidRPr="00EE4D50">
        <w:rPr>
          <w:rFonts w:ascii="Verdana" w:hAnsi="Verdana" w:cs="Times New Roman"/>
          <w:bCs/>
          <w:color w:val="000000"/>
          <w:shd w:val="clear" w:color="auto" w:fill="FFFFFF"/>
        </w:rPr>
        <w:t>co</w:t>
      </w:r>
      <w:r w:rsidR="00A6606A" w:rsidRPr="00EE4D50">
        <w:rPr>
          <w:rFonts w:ascii="Verdana" w:hAnsi="Verdana" w:cs="Times New Roman"/>
          <w:color w:val="000000"/>
          <w:shd w:val="clear" w:color="auto" w:fill="FFFFFF"/>
        </w:rPr>
        <w:t>n acción pública.</w:t>
      </w:r>
    </w:p>
    <w:p w:rsidR="00BB07EF" w:rsidRPr="00EE4D50" w:rsidRDefault="00C42C63" w:rsidP="00EC63DA">
      <w:pPr>
        <w:pStyle w:val="Ttulo2"/>
        <w:rPr>
          <w:rFonts w:cs="Times New Roman"/>
        </w:rPr>
      </w:pPr>
      <w:bookmarkStart w:id="25" w:name="_Toc485137198"/>
      <w:r w:rsidRPr="00EE4D50">
        <w:rPr>
          <w:rFonts w:cs="Times New Roman"/>
        </w:rPr>
        <w:lastRenderedPageBreak/>
        <w:t>Política Industrial</w:t>
      </w:r>
      <w:bookmarkEnd w:id="25"/>
    </w:p>
    <w:p w:rsidR="00C42C63" w:rsidRPr="00EE4D50" w:rsidRDefault="00C42C63" w:rsidP="00EC63DA">
      <w:pPr>
        <w:spacing w:before="60" w:after="60"/>
        <w:jc w:val="both"/>
        <w:rPr>
          <w:rFonts w:ascii="Verdana" w:hAnsi="Verdana" w:cs="Times New Roman"/>
          <w:lang w:val="es-MX"/>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 política industrial se puede define como el conjunto de intervenciones gubernamentales que por medio de impuestos, (o subsidios) y regulaciones en los mercados de productos domésticos o factores de producción intentan modificar la asignación de recursos que obtendría por la libre interacci</w:t>
      </w:r>
      <w:r w:rsidR="00925F38">
        <w:rPr>
          <w:rFonts w:ascii="Verdana" w:hAnsi="Verdana" w:cs="Times New Roman"/>
        </w:rPr>
        <w:t xml:space="preserve">ón de las fuerzas del mercado" </w:t>
      </w:r>
      <w:r w:rsidRPr="00EE4D50">
        <w:rPr>
          <w:rFonts w:ascii="Verdana" w:hAnsi="Verdana" w:cs="Times New Roman"/>
        </w:rPr>
        <w:t>(</w:t>
      </w:r>
      <w:r w:rsidR="00925F38">
        <w:rPr>
          <w:rFonts w:ascii="Verdana" w:hAnsi="Verdana" w:cs="Times New Roman"/>
        </w:rPr>
        <w:t>Semestre económico, 2011).</w:t>
      </w:r>
    </w:p>
    <w:p w:rsidR="00657870" w:rsidRPr="00EE4D50" w:rsidRDefault="00657870" w:rsidP="00EC63DA">
      <w:pPr>
        <w:spacing w:before="60"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Según </w:t>
      </w:r>
      <w:r w:rsidR="00683851">
        <w:rPr>
          <w:rFonts w:ascii="Verdana" w:hAnsi="Verdana" w:cs="Times New Roman"/>
        </w:rPr>
        <w:t>Semestre económico (2011), l</w:t>
      </w:r>
      <w:r w:rsidRPr="00EE4D50">
        <w:rPr>
          <w:rFonts w:ascii="Verdana" w:hAnsi="Verdana" w:cs="Times New Roman"/>
        </w:rPr>
        <w:t>a política industrial es entonces, el paquete de medidas que determina el Estado, buscando desarrollar industrias o sectores industriales, con el objetivo claro de aportar al crecimiento de la economía, a la generación de fuentes de empleo, a la ampliación del mercado y sobre todo a la acumulación de excedentes que posibiliten el aumento de la inversión productiva en un país.</w:t>
      </w:r>
    </w:p>
    <w:p w:rsidR="00657870" w:rsidRPr="00EE4D50" w:rsidRDefault="00657870"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Es la financiación u otras medidas, como la protección contra las importaciones extranjeras, destinadas a fomentar ciertos sectores (Stiglitz, 2000: 384)</w:t>
      </w:r>
      <w:r w:rsidR="00940110" w:rsidRPr="00EE4D50">
        <w:rPr>
          <w:rFonts w:ascii="Verdana" w:hAnsi="Verdana" w:cs="Times New Roman"/>
        </w:rPr>
        <w:t>.</w:t>
      </w:r>
    </w:p>
    <w:p w:rsidR="00940110" w:rsidRPr="00EE4D50" w:rsidRDefault="00940110"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Segú</w:t>
      </w:r>
      <w:r w:rsidR="00683851">
        <w:rPr>
          <w:rFonts w:ascii="Verdana" w:hAnsi="Verdana" w:cs="Times New Roman"/>
        </w:rPr>
        <w:t>n Meyer (2011: 1), la política industrial c</w:t>
      </w:r>
      <w:r w:rsidRPr="00EE4D50">
        <w:rPr>
          <w:rFonts w:ascii="Verdana" w:hAnsi="Verdana" w:cs="Times New Roman"/>
        </w:rPr>
        <w:t>omprende</w:t>
      </w:r>
      <w:r w:rsidR="00940110" w:rsidRPr="00EE4D50">
        <w:rPr>
          <w:rFonts w:ascii="Verdana" w:hAnsi="Verdana" w:cs="Times New Roman"/>
        </w:rPr>
        <w:t xml:space="preserve"> algunas medidas que apuntan a:</w:t>
      </w:r>
    </w:p>
    <w:p w:rsidR="00940110" w:rsidRPr="00EE4D50" w:rsidRDefault="00940110" w:rsidP="00EC63DA">
      <w:pPr>
        <w:spacing w:after="60" w:line="240" w:lineRule="auto"/>
        <w:ind w:left="708" w:hangingChars="322" w:hanging="708"/>
        <w:jc w:val="both"/>
        <w:rPr>
          <w:rFonts w:ascii="Verdana" w:hAnsi="Verdana" w:cs="Times New Roman"/>
        </w:rPr>
      </w:pPr>
    </w:p>
    <w:p w:rsidR="00BB07EF" w:rsidRPr="00EE4D50" w:rsidRDefault="00BB07EF" w:rsidP="00EC63DA">
      <w:pPr>
        <w:pStyle w:val="Prrafodelista"/>
        <w:numPr>
          <w:ilvl w:val="0"/>
          <w:numId w:val="1"/>
        </w:numPr>
        <w:spacing w:after="60" w:line="240" w:lineRule="auto"/>
        <w:ind w:left="644" w:hangingChars="322" w:hanging="644"/>
        <w:jc w:val="both"/>
        <w:rPr>
          <w:rFonts w:ascii="Verdana" w:hAnsi="Verdana" w:cs="Times New Roman"/>
          <w:sz w:val="20"/>
        </w:rPr>
      </w:pPr>
      <w:r w:rsidRPr="00EE4D50">
        <w:rPr>
          <w:rFonts w:ascii="Verdana" w:hAnsi="Verdana" w:cs="Times New Roman"/>
          <w:sz w:val="20"/>
        </w:rPr>
        <w:t>Modificar de manera coordinada a la estructura industrial por sectores (reducción de la capacidad instalada en las industrias “antiguas”, fomento de “nuevas” industrias).</w:t>
      </w:r>
    </w:p>
    <w:p w:rsidR="00BB07EF" w:rsidRPr="00EE4D50" w:rsidRDefault="00BB07EF" w:rsidP="00EC63DA">
      <w:pPr>
        <w:pStyle w:val="Prrafodelista"/>
        <w:numPr>
          <w:ilvl w:val="0"/>
          <w:numId w:val="1"/>
        </w:numPr>
        <w:spacing w:after="60" w:line="240" w:lineRule="auto"/>
        <w:ind w:left="644" w:hangingChars="322" w:hanging="644"/>
        <w:jc w:val="both"/>
        <w:rPr>
          <w:rFonts w:ascii="Verdana" w:hAnsi="Verdana" w:cs="Times New Roman"/>
          <w:sz w:val="20"/>
        </w:rPr>
      </w:pPr>
      <w:r w:rsidRPr="00EE4D50">
        <w:rPr>
          <w:rFonts w:ascii="Verdana" w:hAnsi="Verdana" w:cs="Times New Roman"/>
          <w:sz w:val="20"/>
        </w:rPr>
        <w:t>Incidir coordinadamente en la estructura industrial a nivel regional y</w:t>
      </w:r>
    </w:p>
    <w:p w:rsidR="00BB07EF" w:rsidRPr="00EE4D50" w:rsidRDefault="00BB07EF" w:rsidP="00EC63DA">
      <w:pPr>
        <w:pStyle w:val="Prrafodelista"/>
        <w:numPr>
          <w:ilvl w:val="0"/>
          <w:numId w:val="1"/>
        </w:numPr>
        <w:spacing w:after="60" w:line="240" w:lineRule="auto"/>
        <w:ind w:left="644" w:hangingChars="322" w:hanging="644"/>
        <w:jc w:val="both"/>
        <w:rPr>
          <w:rFonts w:ascii="Verdana" w:hAnsi="Verdana" w:cs="Times New Roman"/>
        </w:rPr>
      </w:pPr>
      <w:r w:rsidRPr="00EE4D50">
        <w:rPr>
          <w:rFonts w:ascii="Verdana" w:hAnsi="Verdana" w:cs="Times New Roman"/>
          <w:sz w:val="20"/>
        </w:rPr>
        <w:t xml:space="preserve">Fomentar la competitividad de la industria </w:t>
      </w:r>
    </w:p>
    <w:p w:rsidR="00940110" w:rsidRPr="00EE4D50" w:rsidRDefault="00940110"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Según el MIPRO</w:t>
      </w:r>
      <w:r w:rsidR="00683851">
        <w:rPr>
          <w:rFonts w:ascii="Verdana" w:hAnsi="Verdana" w:cs="Times New Roman"/>
        </w:rPr>
        <w:t xml:space="preserve"> (2014: 9),</w:t>
      </w:r>
      <w:r w:rsidRPr="00EE4D50">
        <w:rPr>
          <w:rFonts w:ascii="Verdana" w:hAnsi="Verdana" w:cs="Times New Roman"/>
        </w:rPr>
        <w:t xml:space="preserve"> la política industrial se basa en ocho ejes, de los cuales dos de ellos son importantes para el estudio de trabajo.</w:t>
      </w:r>
    </w:p>
    <w:p w:rsidR="00940110" w:rsidRPr="00EE4D50" w:rsidRDefault="00940110" w:rsidP="00EC63DA">
      <w:pPr>
        <w:spacing w:after="60"/>
        <w:jc w:val="both"/>
        <w:rPr>
          <w:rFonts w:ascii="Verdana" w:hAnsi="Verdana" w:cs="Times New Roman"/>
        </w:rPr>
      </w:pPr>
    </w:p>
    <w:p w:rsidR="00BB07EF" w:rsidRPr="00EE4D50" w:rsidRDefault="00BB07EF" w:rsidP="00EC63DA">
      <w:pPr>
        <w:pStyle w:val="Prrafodelista"/>
        <w:numPr>
          <w:ilvl w:val="0"/>
          <w:numId w:val="1"/>
        </w:numPr>
        <w:spacing w:after="60" w:line="240" w:lineRule="auto"/>
        <w:ind w:left="708" w:hanging="708"/>
        <w:jc w:val="both"/>
        <w:rPr>
          <w:rFonts w:ascii="Verdana" w:hAnsi="Verdana" w:cs="Times New Roman"/>
          <w:sz w:val="20"/>
        </w:rPr>
      </w:pPr>
      <w:r w:rsidRPr="00EE4D50">
        <w:rPr>
          <w:rFonts w:ascii="Verdana" w:hAnsi="Verdana" w:cs="Times New Roman"/>
          <w:sz w:val="20"/>
        </w:rPr>
        <w:t xml:space="preserve">Fomentar la productividad en la industria e incorporar valor agregado Política asegurando la maximización de componente nacional. </w:t>
      </w:r>
    </w:p>
    <w:p w:rsidR="009B02A6" w:rsidRPr="00EE4D50" w:rsidRDefault="00BB07EF" w:rsidP="00EC63DA">
      <w:pPr>
        <w:pStyle w:val="Prrafodelista"/>
        <w:numPr>
          <w:ilvl w:val="0"/>
          <w:numId w:val="1"/>
        </w:numPr>
        <w:spacing w:after="60" w:line="240" w:lineRule="auto"/>
        <w:ind w:left="708" w:hanging="708"/>
        <w:jc w:val="both"/>
        <w:rPr>
          <w:rFonts w:ascii="Verdana" w:hAnsi="Verdana" w:cs="Times New Roman"/>
          <w:sz w:val="20"/>
        </w:rPr>
      </w:pPr>
      <w:r w:rsidRPr="00EE4D50">
        <w:rPr>
          <w:rFonts w:ascii="Verdana" w:hAnsi="Verdana" w:cs="Times New Roman"/>
          <w:sz w:val="20"/>
        </w:rPr>
        <w:t>Promover la sustitución selectiva de importaciones asegurando una escala mínima de producción nacional en bienes industriales y sus servicios conexos.</w:t>
      </w:r>
    </w:p>
    <w:p w:rsidR="009B02A6" w:rsidRPr="00EE4D50" w:rsidRDefault="009B02A6" w:rsidP="00EC63DA">
      <w:pPr>
        <w:pStyle w:val="Prrafodelista"/>
        <w:spacing w:after="60" w:line="240" w:lineRule="auto"/>
        <w:ind w:left="644"/>
        <w:jc w:val="both"/>
        <w:rPr>
          <w:rFonts w:ascii="Verdana" w:hAnsi="Verdana" w:cs="Times New Roman"/>
          <w:sz w:val="20"/>
        </w:rPr>
      </w:pPr>
    </w:p>
    <w:p w:rsidR="009B02A6" w:rsidRPr="00EE4D50" w:rsidRDefault="009B02A6" w:rsidP="00EC63DA">
      <w:pPr>
        <w:pStyle w:val="Prrafodelista"/>
        <w:jc w:val="both"/>
        <w:rPr>
          <w:rFonts w:ascii="Verdana" w:hAnsi="Verdana" w:cs="Times New Roman"/>
          <w:sz w:val="20"/>
        </w:rPr>
      </w:pPr>
    </w:p>
    <w:p w:rsidR="00940110" w:rsidRPr="00EE4D50" w:rsidRDefault="00940110" w:rsidP="00EC63DA">
      <w:pPr>
        <w:pStyle w:val="Prrafodelista"/>
        <w:jc w:val="both"/>
        <w:rPr>
          <w:rFonts w:ascii="Verdana" w:hAnsi="Verdana" w:cs="Times New Roman"/>
          <w:sz w:val="20"/>
        </w:rPr>
      </w:pPr>
    </w:p>
    <w:p w:rsidR="00261705" w:rsidRPr="00EE4D50" w:rsidRDefault="00261705" w:rsidP="00EC63DA">
      <w:pPr>
        <w:pStyle w:val="Prrafodelista"/>
        <w:jc w:val="both"/>
        <w:rPr>
          <w:rFonts w:ascii="Verdana" w:hAnsi="Verdana" w:cs="Times New Roman"/>
          <w:sz w:val="20"/>
        </w:rPr>
      </w:pPr>
    </w:p>
    <w:p w:rsidR="00BD1008" w:rsidRDefault="00BD1008" w:rsidP="00EC63DA">
      <w:pPr>
        <w:pStyle w:val="Prrafodelista"/>
        <w:jc w:val="both"/>
        <w:rPr>
          <w:rFonts w:ascii="Verdana" w:hAnsi="Verdana" w:cs="Times New Roman"/>
          <w:sz w:val="20"/>
        </w:rPr>
      </w:pPr>
    </w:p>
    <w:p w:rsidR="00F122D0" w:rsidRDefault="00F122D0" w:rsidP="00EC63DA">
      <w:pPr>
        <w:pStyle w:val="Prrafodelista"/>
        <w:jc w:val="both"/>
        <w:rPr>
          <w:rFonts w:ascii="Verdana" w:hAnsi="Verdana" w:cs="Times New Roman"/>
          <w:sz w:val="20"/>
        </w:rPr>
      </w:pPr>
    </w:p>
    <w:p w:rsidR="00F122D0" w:rsidRDefault="00F122D0" w:rsidP="00EC63DA">
      <w:pPr>
        <w:pStyle w:val="Prrafodelista"/>
        <w:jc w:val="both"/>
        <w:rPr>
          <w:rFonts w:ascii="Verdana" w:hAnsi="Verdana" w:cs="Times New Roman"/>
          <w:sz w:val="20"/>
        </w:rPr>
      </w:pPr>
    </w:p>
    <w:p w:rsidR="00F122D0" w:rsidRDefault="00F122D0" w:rsidP="00EC63DA">
      <w:pPr>
        <w:pStyle w:val="Prrafodelista"/>
        <w:jc w:val="both"/>
        <w:rPr>
          <w:rFonts w:ascii="Verdana" w:hAnsi="Verdana" w:cs="Times New Roman"/>
          <w:sz w:val="20"/>
        </w:rPr>
      </w:pPr>
    </w:p>
    <w:p w:rsidR="00F122D0" w:rsidRDefault="00F122D0" w:rsidP="00EC63DA">
      <w:pPr>
        <w:pStyle w:val="Prrafodelista"/>
        <w:jc w:val="both"/>
        <w:rPr>
          <w:rFonts w:ascii="Verdana" w:hAnsi="Verdana" w:cs="Times New Roman"/>
          <w:sz w:val="20"/>
        </w:rPr>
      </w:pPr>
    </w:p>
    <w:p w:rsidR="00F122D0" w:rsidRPr="00EE4D50" w:rsidRDefault="00F122D0" w:rsidP="00EC63DA">
      <w:pPr>
        <w:pStyle w:val="Prrafodelista"/>
        <w:jc w:val="both"/>
        <w:rPr>
          <w:rFonts w:ascii="Verdana" w:hAnsi="Verdana" w:cs="Times New Roman"/>
          <w:sz w:val="20"/>
        </w:rPr>
      </w:pPr>
    </w:p>
    <w:p w:rsidR="00261705" w:rsidRPr="00683851" w:rsidRDefault="00261705" w:rsidP="00EC63DA">
      <w:pPr>
        <w:jc w:val="both"/>
        <w:rPr>
          <w:rFonts w:ascii="Verdana" w:hAnsi="Verdana" w:cs="Times New Roman"/>
          <w:sz w:val="20"/>
        </w:rPr>
      </w:pPr>
    </w:p>
    <w:p w:rsidR="009B02A6" w:rsidRPr="00EE4D50" w:rsidRDefault="00C42C63" w:rsidP="00EC63DA">
      <w:pPr>
        <w:pStyle w:val="Ttulo1"/>
        <w:spacing w:before="0" w:after="60"/>
        <w:jc w:val="center"/>
        <w:rPr>
          <w:rFonts w:ascii="Verdana" w:eastAsia="Calibri" w:hAnsi="Verdana" w:cs="Times New Roman"/>
          <w:i/>
          <w:color w:val="auto"/>
          <w:sz w:val="32"/>
        </w:rPr>
      </w:pPr>
      <w:bookmarkStart w:id="26" w:name="_Toc485137199"/>
      <w:r w:rsidRPr="00EE4D50">
        <w:rPr>
          <w:rFonts w:ascii="Verdana" w:eastAsia="Calibri" w:hAnsi="Verdana" w:cs="Times New Roman"/>
          <w:i/>
          <w:color w:val="auto"/>
          <w:sz w:val="32"/>
        </w:rPr>
        <w:lastRenderedPageBreak/>
        <w:t>Capítulo 1</w:t>
      </w:r>
      <w:bookmarkEnd w:id="26"/>
    </w:p>
    <w:p w:rsidR="00940110" w:rsidRPr="00EE4D50" w:rsidRDefault="00940110" w:rsidP="00EC63DA">
      <w:pPr>
        <w:spacing w:after="60"/>
        <w:rPr>
          <w:rFonts w:ascii="Verdana" w:hAnsi="Verdana" w:cs="Times New Roman"/>
          <w:lang w:val="es-US"/>
        </w:rPr>
      </w:pPr>
    </w:p>
    <w:p w:rsidR="00BB07EF" w:rsidRDefault="00BB07EF" w:rsidP="00EC63DA">
      <w:pPr>
        <w:spacing w:after="60"/>
        <w:jc w:val="both"/>
        <w:rPr>
          <w:rFonts w:ascii="Verdana" w:hAnsi="Verdana" w:cs="Times New Roman"/>
        </w:rPr>
      </w:pPr>
      <w:r w:rsidRPr="00EE4D50">
        <w:rPr>
          <w:rFonts w:ascii="Verdana" w:hAnsi="Verdana" w:cs="Times New Roman"/>
        </w:rPr>
        <w:t>El presente capítulo se centra en la historia de la industria automotriz ecuatoriana, la cual ha creado bases sólidas para consolidarse como uno de los sectores más importantes en el país. En Ecuador, desde sus inicios ha demostrado ser una industria que ha aportado con gran crecimiento económico, con contribuciones a altos niveles salariales y generación de empleos a gran escala. Esta industria, junto con la de la farmacéutica, es uno de los sectores industriales de media y alta tecnología con gran potencial; que con el paso del tiempo se ha fortalecido cada vez más.</w:t>
      </w:r>
    </w:p>
    <w:p w:rsidR="00B10406" w:rsidRDefault="00B10406" w:rsidP="00EC63DA">
      <w:pPr>
        <w:spacing w:after="60"/>
        <w:jc w:val="both"/>
        <w:rPr>
          <w:rFonts w:ascii="Verdana" w:hAnsi="Verdana" w:cs="Times New Roman"/>
        </w:rPr>
      </w:pPr>
    </w:p>
    <w:p w:rsidR="00B10406" w:rsidRPr="00EE4D50" w:rsidRDefault="00B10406" w:rsidP="00EC63DA">
      <w:pPr>
        <w:spacing w:after="60"/>
        <w:jc w:val="both"/>
        <w:rPr>
          <w:rFonts w:ascii="Verdana" w:hAnsi="Verdana" w:cs="Times New Roman"/>
        </w:rPr>
      </w:pPr>
      <w:r>
        <w:rPr>
          <w:rFonts w:ascii="Verdana" w:hAnsi="Verdana" w:cs="Times New Roman"/>
        </w:rPr>
        <w:t>Este capítulo analiza desde el inicio del sector automotriz en la década de los setenta hasta el año 2002.</w:t>
      </w:r>
    </w:p>
    <w:p w:rsidR="00940110" w:rsidRPr="00EE4D50" w:rsidRDefault="00940110" w:rsidP="00EC63DA">
      <w:pPr>
        <w:spacing w:after="60"/>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 producción de autos empezó en la década de los 50´s, por parte del sector metalmecánico y del sector textil, las cuales empezaron fabricando carrocerías, y autopartes varias. En 1973 se empezó el ensamblaje de vehículos, con el modelo Andino, incentivado por el Plan del Vehículo Popular. El mercado automotriz se desarrolla en gran medida en el año 1992, donde se abrieron las importaciones con buenos resultados, siguiendo con este apogeo hasta antes de la crisis de 1999. Luego, con la dolarización, la estabilización y el repunte del sector automotriz provocó que el ensamblaje nacional de vehículos saliera a flote para consolidarse en la economía.</w:t>
      </w:r>
    </w:p>
    <w:p w:rsidR="00940110" w:rsidRPr="00EE4D50" w:rsidRDefault="00940110" w:rsidP="00EC63DA">
      <w:pPr>
        <w:spacing w:after="60"/>
        <w:rPr>
          <w:rFonts w:ascii="Verdana" w:hAnsi="Verdana" w:cs="Times New Roman"/>
        </w:rPr>
      </w:pPr>
    </w:p>
    <w:p w:rsidR="00BB07EF" w:rsidRPr="00EE4D50" w:rsidRDefault="00BB07EF" w:rsidP="00EC63DA">
      <w:pPr>
        <w:pStyle w:val="Ttulo2"/>
        <w:rPr>
          <w:rFonts w:cs="Times New Roman"/>
        </w:rPr>
      </w:pPr>
      <w:bookmarkStart w:id="27" w:name="_Toc459992039"/>
      <w:bookmarkStart w:id="28" w:name="_Toc485137200"/>
      <w:r w:rsidRPr="00EE4D50">
        <w:rPr>
          <w:rFonts w:cs="Times New Roman"/>
        </w:rPr>
        <w:t>Historia de la industria automotriz del Ecuador</w:t>
      </w:r>
      <w:bookmarkEnd w:id="27"/>
      <w:bookmarkEnd w:id="28"/>
    </w:p>
    <w:p w:rsidR="00940110" w:rsidRPr="00EE4D50" w:rsidRDefault="00940110" w:rsidP="00EC63DA">
      <w:pPr>
        <w:spacing w:after="60"/>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A partir de los años 50´s, las perspectivas económicas de la región latinoamericana empezaron a encaminarse hacia expectativas de fomento industrial. Cada país buscaba el crecimiento de sus economías a través de la industrialización para añadir valor agregado a su producción, con el objetivo de aminorar el deterioro de los términos de intercambio con sus socios comerciales y diversificar su matriz productiva. Esta perspectiva económica se consolidó como una escuela de la economía: el estructuralismo cepalino, el cual buscaba que los países latinos produzcan bienes que podían sustituir a sus importaciones.</w:t>
      </w:r>
    </w:p>
    <w:p w:rsidR="00940110" w:rsidRPr="00EE4D50" w:rsidRDefault="00940110"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crecimiento del sector industrial de los países de la región se concentró en bienes de baja e intermedia complejidad tecnológica. Uno de los sectores promovidos fue el automotriz, proceso que en algunos países tuvo éxito en primera instancia en las economías más grandes: México, Brasil y Argentina. Más tarde, ya en los años 60’s este sector se inició en Ecuador, en especial a partir de 1973 para consolidarse y aportar significativamente al PIB manufacturero.</w:t>
      </w:r>
    </w:p>
    <w:p w:rsidR="00940110" w:rsidRPr="00EE4D50" w:rsidRDefault="00940110" w:rsidP="00EC63DA">
      <w:pPr>
        <w:spacing w:after="60"/>
        <w:jc w:val="both"/>
        <w:rPr>
          <w:rFonts w:ascii="Verdana" w:hAnsi="Verdana" w:cs="Times New Roman"/>
        </w:rPr>
      </w:pPr>
    </w:p>
    <w:p w:rsidR="006E33B9" w:rsidRPr="00EE4D50" w:rsidRDefault="00BB07EF" w:rsidP="00EC63DA">
      <w:pPr>
        <w:spacing w:after="60"/>
        <w:jc w:val="both"/>
        <w:rPr>
          <w:rFonts w:ascii="Verdana" w:hAnsi="Verdana" w:cs="Times New Roman"/>
        </w:rPr>
      </w:pPr>
      <w:r w:rsidRPr="00EE4D50">
        <w:rPr>
          <w:rFonts w:ascii="Verdana" w:hAnsi="Verdana" w:cs="Times New Roman"/>
        </w:rPr>
        <w:lastRenderedPageBreak/>
        <w:t>El inicio del sector automotriz ecuatoriano fue en los años 50 con la fabricación de carrocerías, asientos y algunas partes y piezas. Con la Ley de Fomento Industrial</w:t>
      </w:r>
      <w:r w:rsidRPr="00EE4D50">
        <w:rPr>
          <w:rStyle w:val="Refdenotaalpie"/>
          <w:rFonts w:ascii="Verdana" w:hAnsi="Verdana" w:cs="Times New Roman"/>
        </w:rPr>
        <w:footnoteReference w:id="6"/>
      </w:r>
      <w:r w:rsidRPr="00EE4D50">
        <w:rPr>
          <w:rFonts w:ascii="Verdana" w:hAnsi="Verdana" w:cs="Times New Roman"/>
        </w:rPr>
        <w:t>de la década de los 60, se incentivó a la producción de otros elementos de alta reposición y de uso común para satisfacer a las diversas marcas y modelos de vehículos existentes (Calero, 2004: 36).</w:t>
      </w:r>
    </w:p>
    <w:p w:rsidR="006E33B9" w:rsidRPr="00EE4D50" w:rsidRDefault="006E33B9"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De acuerdo con la Cámara de la Industria Automotriz Ecuatoriana CINAE (2013), el sector industrial automotriz dio sus primeros pasos en la década de los 50´s; escenario en el que los sectores metalmecánicos y textil empezaron con producción de carrocerías,  piezas metálicas, asientos de buses, entre otros. Una década más tarde, aparecieron leyes de fomento y se fabricaron bienes de alta reposición de acuerdo con la diversidad de modelos y marcas de vehículos que se encontraban disponibles en el mercado en los años 60´s.</w:t>
      </w:r>
    </w:p>
    <w:p w:rsidR="006E33B9" w:rsidRPr="00EE4D50" w:rsidRDefault="006E33B9"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En 1973 comenzó el ensamblaje de vehículos en el país con 144 unidades producidas de un solo modelo, el cual fue el emblemático auto “Andino” ensamblado por la empresa AYMESA hasta 1980. Durante la década de los años 70, la producción nacional de vehículos superó las 5.000 unid</w:t>
      </w:r>
      <w:r w:rsidR="009B02A6" w:rsidRPr="00EE4D50">
        <w:rPr>
          <w:rFonts w:ascii="Verdana" w:hAnsi="Verdana" w:cs="Times New Roman"/>
        </w:rPr>
        <w:t>ades (CINAE, 2013).</w:t>
      </w:r>
    </w:p>
    <w:p w:rsidR="006E33B9" w:rsidRPr="00EE4D50" w:rsidRDefault="006E33B9" w:rsidP="00EC63DA">
      <w:pPr>
        <w:spacing w:after="60" w:line="240" w:lineRule="auto"/>
        <w:jc w:val="both"/>
        <w:rPr>
          <w:rFonts w:ascii="Verdana" w:hAnsi="Verdana" w:cs="Times New Roman"/>
        </w:rPr>
      </w:pPr>
    </w:p>
    <w:p w:rsidR="00BB07EF" w:rsidRPr="00C44099" w:rsidRDefault="00536A2E" w:rsidP="00EC63DA">
      <w:pPr>
        <w:pStyle w:val="Epgrafe"/>
        <w:spacing w:after="0"/>
        <w:jc w:val="center"/>
        <w:rPr>
          <w:rFonts w:ascii="Verdana" w:hAnsi="Verdana" w:cs="Times New Roman"/>
          <w:color w:val="auto"/>
          <w:sz w:val="20"/>
          <w:szCs w:val="20"/>
        </w:rPr>
      </w:pPr>
      <w:bookmarkStart w:id="29" w:name="_Toc473640028"/>
      <w:r w:rsidRPr="00EE4D50">
        <w:rPr>
          <w:rFonts w:ascii="Verdana" w:hAnsi="Verdana" w:cs="Times New Roman"/>
          <w:color w:val="auto"/>
          <w:sz w:val="20"/>
          <w:szCs w:val="20"/>
        </w:rPr>
        <w:t xml:space="preserve">Figura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Figura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3</w:t>
      </w:r>
      <w:r w:rsidRPr="00EE4D50">
        <w:rPr>
          <w:rFonts w:ascii="Verdana" w:hAnsi="Verdana" w:cs="Times New Roman"/>
          <w:color w:val="auto"/>
          <w:sz w:val="20"/>
          <w:szCs w:val="20"/>
        </w:rPr>
        <w:fldChar w:fldCharType="end"/>
      </w:r>
      <w:r w:rsidR="00BB07EF" w:rsidRPr="00C44099">
        <w:rPr>
          <w:rFonts w:ascii="Verdana" w:hAnsi="Verdana" w:cs="Times New Roman"/>
          <w:color w:val="auto"/>
          <w:sz w:val="20"/>
          <w:szCs w:val="20"/>
        </w:rPr>
        <w:t xml:space="preserve">: </w:t>
      </w:r>
      <w:r w:rsidR="00BB07EF" w:rsidRPr="00C44099">
        <w:rPr>
          <w:rFonts w:ascii="Verdana" w:hAnsi="Verdana" w:cs="Times New Roman"/>
          <w:b w:val="0"/>
          <w:i/>
          <w:color w:val="auto"/>
          <w:sz w:val="20"/>
          <w:szCs w:val="20"/>
        </w:rPr>
        <w:t>Primer vehículo ens</w:t>
      </w:r>
      <w:r w:rsidR="0054358A" w:rsidRPr="00C44099">
        <w:rPr>
          <w:rFonts w:ascii="Verdana" w:hAnsi="Verdana" w:cs="Times New Roman"/>
          <w:b w:val="0"/>
          <w:i/>
          <w:color w:val="auto"/>
          <w:sz w:val="20"/>
          <w:szCs w:val="20"/>
        </w:rPr>
        <w:t>amblado en Ecuador: Andino 1973</w:t>
      </w:r>
      <w:bookmarkEnd w:id="29"/>
    </w:p>
    <w:p w:rsidR="00BB07EF" w:rsidRPr="00EE4D50" w:rsidRDefault="00BB07EF" w:rsidP="00EC63DA">
      <w:pPr>
        <w:spacing w:after="0" w:line="240" w:lineRule="auto"/>
        <w:jc w:val="center"/>
        <w:rPr>
          <w:rFonts w:ascii="Verdana" w:hAnsi="Verdana" w:cs="Times New Roman"/>
          <w:b/>
          <w:bCs/>
        </w:rPr>
      </w:pPr>
      <w:r w:rsidRPr="00EE4D50">
        <w:rPr>
          <w:rFonts w:ascii="Verdana" w:hAnsi="Verdana" w:cs="Times New Roman"/>
          <w:noProof/>
          <w:color w:val="FFFFFF"/>
          <w:lang w:eastAsia="es-EC"/>
        </w:rPr>
        <w:drawing>
          <wp:inline distT="0" distB="0" distL="0" distR="0" wp14:anchorId="44EE1B94" wp14:editId="7DA4DAA6">
            <wp:extent cx="4582902" cy="2339439"/>
            <wp:effectExtent l="19050" t="19050" r="27305" b="22860"/>
            <wp:docPr id="2" name="Imagen 3" descr="carr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carro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01155" cy="2348757"/>
                    </a:xfrm>
                    <a:prstGeom prst="rect">
                      <a:avLst/>
                    </a:prstGeom>
                    <a:noFill/>
                    <a:ln w="9525" cmpd="sng">
                      <a:solidFill>
                        <a:srgbClr val="000000"/>
                      </a:solidFill>
                      <a:miter lim="800000"/>
                      <a:headEnd/>
                      <a:tailEnd/>
                    </a:ln>
                    <a:effectLst/>
                  </pic:spPr>
                </pic:pic>
              </a:graphicData>
            </a:graphic>
          </wp:inline>
        </w:drawing>
      </w:r>
    </w:p>
    <w:p w:rsidR="00BB07EF" w:rsidRDefault="0054358A" w:rsidP="00EC63DA">
      <w:pPr>
        <w:spacing w:after="0" w:line="240" w:lineRule="auto"/>
        <w:jc w:val="both"/>
        <w:rPr>
          <w:rFonts w:ascii="Verdana" w:hAnsi="Verdana" w:cs="Times New Roman"/>
          <w:sz w:val="20"/>
        </w:rPr>
      </w:pPr>
      <w:r w:rsidRPr="00EE4D50">
        <w:rPr>
          <w:rFonts w:ascii="Verdana" w:hAnsi="Verdana" w:cs="Times New Roman"/>
        </w:rPr>
        <w:t xml:space="preserve">            </w:t>
      </w:r>
      <w:r w:rsidR="00BB07EF" w:rsidRPr="00EE4D50">
        <w:rPr>
          <w:rFonts w:ascii="Verdana" w:hAnsi="Verdana" w:cs="Times New Roman"/>
          <w:sz w:val="20"/>
        </w:rPr>
        <w:t>Fuente: CINAE</w:t>
      </w:r>
    </w:p>
    <w:p w:rsidR="00C76E8B" w:rsidRPr="00EE4D50" w:rsidRDefault="00C76E8B" w:rsidP="00EC63DA">
      <w:pPr>
        <w:spacing w:after="0" w:line="240" w:lineRule="auto"/>
        <w:jc w:val="both"/>
        <w:rPr>
          <w:rFonts w:ascii="Verdana" w:hAnsi="Verdana" w:cs="Times New Roman"/>
        </w:rPr>
      </w:pPr>
    </w:p>
    <w:p w:rsidR="00C76E8B" w:rsidRPr="0088710B" w:rsidRDefault="00354EBB" w:rsidP="00354EBB">
      <w:pPr>
        <w:spacing w:after="60"/>
        <w:jc w:val="both"/>
        <w:rPr>
          <w:rFonts w:ascii="Verdana" w:hAnsi="Verdana" w:cs="Times New Roman"/>
        </w:rPr>
      </w:pPr>
      <w:r w:rsidRPr="0088710B">
        <w:rPr>
          <w:rFonts w:ascii="Verdana" w:hAnsi="Verdana" w:cs="Times New Roman"/>
        </w:rPr>
        <w:t>En 1977, la Comisión del Grupo Andino</w:t>
      </w:r>
      <w:r w:rsidR="00C76E8B" w:rsidRPr="00C76E8B">
        <w:rPr>
          <w:rFonts w:cs="Times New Roman"/>
          <w:vertAlign w:val="superscript"/>
        </w:rPr>
        <w:t>7</w:t>
      </w:r>
      <w:r w:rsidRPr="0088710B">
        <w:rPr>
          <w:rFonts w:ascii="Verdana" w:hAnsi="Verdana" w:cs="Times New Roman"/>
        </w:rPr>
        <w:t xml:space="preserve">, aprobó el Programa de la Industria Automotriz en la decisión No. 120, a partir de la cual se deseaba fomentar a la industria automotriz con niveles de eficiencia en la actividad productiva, que conlleve adquisición, adaptación y difusión de tecnología para aumentar el nivel de empleo productivo y contribuir a la balanza de pagos. Para desarrollar el sector automotor se determinaron como elementos esenciales de la </w:t>
      </w:r>
      <w:r w:rsidRPr="0088710B">
        <w:rPr>
          <w:rFonts w:ascii="Verdana" w:hAnsi="Verdana" w:cs="Times New Roman"/>
        </w:rPr>
        <w:lastRenderedPageBreak/>
        <w:t>Programación Automotriz una reducción de marcas y modelos que se fabricaban en la subregión, y en la especialización de componentes, partes y piezas. Los vehículos se clasificaron en distintas categorías, para establecer una cantidad de modelos que podrían ser producidos en la subregión, de la siguiente manera:</w:t>
      </w:r>
    </w:p>
    <w:p w:rsidR="00354EBB" w:rsidRPr="0088710B" w:rsidRDefault="00354EBB" w:rsidP="00354EBB">
      <w:pPr>
        <w:spacing w:after="60"/>
        <w:jc w:val="both"/>
        <w:rPr>
          <w:rFonts w:ascii="Verdana" w:hAnsi="Verdana" w:cs="Times New Roman"/>
        </w:rPr>
      </w:pPr>
      <w:r w:rsidRPr="0088710B">
        <w:rPr>
          <w:rFonts w:ascii="Verdana" w:hAnsi="Verdana" w:cs="Times New Roman"/>
        </w:rPr>
        <w:t>A1: Automóviles de pasajeros y vehículos derivados hasta 1.050 c.c. de cilindrada</w:t>
      </w:r>
    </w:p>
    <w:p w:rsidR="00354EBB" w:rsidRPr="0088710B" w:rsidRDefault="00354EBB" w:rsidP="00354EBB">
      <w:pPr>
        <w:spacing w:after="60"/>
        <w:jc w:val="both"/>
        <w:rPr>
          <w:rFonts w:ascii="Verdana" w:hAnsi="Verdana" w:cs="Times New Roman"/>
        </w:rPr>
      </w:pPr>
      <w:r w:rsidRPr="0088710B">
        <w:rPr>
          <w:rFonts w:ascii="Verdana" w:hAnsi="Verdana" w:cs="Times New Roman"/>
        </w:rPr>
        <w:t>A2: Automóviles de pasajeros y vehículos derivados de más de 1.050 c.c y hasta 1.500 c.c.</w:t>
      </w:r>
    </w:p>
    <w:p w:rsidR="00354EBB" w:rsidRPr="0088710B" w:rsidRDefault="00354EBB" w:rsidP="00354EBB">
      <w:pPr>
        <w:spacing w:after="60"/>
        <w:jc w:val="both"/>
        <w:rPr>
          <w:rFonts w:ascii="Verdana" w:hAnsi="Verdana" w:cs="Times New Roman"/>
        </w:rPr>
      </w:pPr>
      <w:r w:rsidRPr="0088710B">
        <w:rPr>
          <w:rFonts w:ascii="Verdana" w:hAnsi="Verdana" w:cs="Times New Roman"/>
        </w:rPr>
        <w:t>A3: Automóviles de pasajeros y vehículos derivados de más de 2.00 c.c. de cilindrada</w:t>
      </w:r>
    </w:p>
    <w:p w:rsidR="00354EBB" w:rsidRDefault="00354EBB" w:rsidP="00354EBB">
      <w:pPr>
        <w:spacing w:after="60"/>
        <w:jc w:val="both"/>
        <w:rPr>
          <w:rFonts w:ascii="Verdana" w:hAnsi="Verdana" w:cs="Times New Roman"/>
        </w:rPr>
      </w:pPr>
      <w:r w:rsidRPr="0088710B">
        <w:rPr>
          <w:rFonts w:ascii="Verdana" w:hAnsi="Verdana" w:cs="Times New Roman"/>
        </w:rPr>
        <w:t>C: Vehículos con tracción en las cuatro ruedas con peso bruto inferior a los 2.500 kg cuando usan motor de gasolina o inferior a 2.700 kg cuando usan motor a diésel.</w:t>
      </w:r>
    </w:p>
    <w:p w:rsidR="00120F37" w:rsidRPr="0088710B" w:rsidRDefault="00120F37" w:rsidP="00354EBB">
      <w:pPr>
        <w:spacing w:after="60"/>
        <w:jc w:val="both"/>
        <w:rPr>
          <w:rFonts w:ascii="Verdana" w:hAnsi="Verdana" w:cs="Times New Roman"/>
        </w:rPr>
      </w:pPr>
    </w:p>
    <w:p w:rsidR="00354EBB" w:rsidRDefault="00354EBB" w:rsidP="00354EBB">
      <w:pPr>
        <w:spacing w:after="60"/>
        <w:jc w:val="both"/>
        <w:rPr>
          <w:rFonts w:ascii="Verdana" w:hAnsi="Verdana" w:cs="Times New Roman"/>
        </w:rPr>
      </w:pPr>
      <w:r w:rsidRPr="0088710B">
        <w:rPr>
          <w:rFonts w:ascii="Verdana" w:hAnsi="Verdana" w:cs="Times New Roman"/>
        </w:rPr>
        <w:t>Respecto a las normas de origen y las condiciones de fabricación nacional se estableció la obligación de incorporar en los productos finales algunos componentes fabricados en el país; y se consideraron como originarios a los vehículos subregionales y componentes que cumplían con los requisitos específicos de origen y con las condiciones nacionales de fabricación exigidas.</w:t>
      </w:r>
    </w:p>
    <w:p w:rsidR="00120F37" w:rsidRPr="0088710B" w:rsidRDefault="00120F37" w:rsidP="00354EBB">
      <w:pPr>
        <w:spacing w:after="60"/>
        <w:jc w:val="both"/>
        <w:rPr>
          <w:rFonts w:ascii="Verdana" w:hAnsi="Verdana" w:cs="Times New Roman"/>
        </w:rPr>
      </w:pPr>
    </w:p>
    <w:p w:rsidR="00354EBB" w:rsidRDefault="00354EBB" w:rsidP="00354EBB">
      <w:pPr>
        <w:spacing w:after="60"/>
        <w:jc w:val="both"/>
        <w:rPr>
          <w:rFonts w:ascii="Verdana" w:hAnsi="Verdana" w:cs="Times New Roman"/>
        </w:rPr>
      </w:pPr>
      <w:r w:rsidRPr="0088710B">
        <w:rPr>
          <w:rFonts w:ascii="Verdana" w:hAnsi="Verdana" w:cs="Times New Roman"/>
        </w:rPr>
        <w:t>Se establecieron convenios como: i) de ensamblaje, el cual permitía a los países ensamblar sus respectivos vehículos en el territorio de cualquier país de la subregión; ii) los de coproducción para que la fabricación de vehículos en dos o más países miembros haga posible una mayor concentración en la fabricación de ciertos componentes; y iii) los de complementación en la producción de partes y piezas, mediante los cuales dos o más países acordaban especializarse en la producción de ciertas partes y piezas.</w:t>
      </w:r>
    </w:p>
    <w:p w:rsidR="00120F37" w:rsidRPr="0088710B" w:rsidRDefault="00120F37" w:rsidP="00354EBB">
      <w:pPr>
        <w:spacing w:after="60"/>
        <w:jc w:val="both"/>
        <w:rPr>
          <w:rFonts w:ascii="Verdana" w:hAnsi="Verdana" w:cs="Times New Roman"/>
        </w:rPr>
      </w:pPr>
    </w:p>
    <w:p w:rsidR="00354EBB" w:rsidRDefault="00354EBB" w:rsidP="00354EBB">
      <w:pPr>
        <w:spacing w:after="60"/>
        <w:jc w:val="both"/>
        <w:rPr>
          <w:rFonts w:ascii="Verdana" w:hAnsi="Verdana" w:cs="Times New Roman"/>
        </w:rPr>
      </w:pPr>
      <w:r w:rsidRPr="0088710B">
        <w:rPr>
          <w:rFonts w:ascii="Verdana" w:hAnsi="Verdana" w:cs="Times New Roman"/>
        </w:rPr>
        <w:t>El programa  quiso facilitar la localización de las producciones automotrices en los países beneficiarios y garantizar el aprovechamiento del mercado subregional. Se establecieron diferentes particularidades para los vehículos subregionales y los componentes. Para los vehículos se determinó un período de transición en el que los países debían definir sus modelos básicos y producirlos. En el caso de los componentes, las normas de liberación se referían a los componentes importados para el mantenimiento, servicios y ensamblaje de vehículos.</w:t>
      </w:r>
    </w:p>
    <w:p w:rsidR="00120F37" w:rsidRPr="0088710B" w:rsidRDefault="00120F37" w:rsidP="00354EBB">
      <w:pPr>
        <w:spacing w:after="60"/>
        <w:jc w:val="both"/>
        <w:rPr>
          <w:rFonts w:ascii="Verdana" w:hAnsi="Verdana" w:cs="Times New Roman"/>
        </w:rPr>
      </w:pPr>
    </w:p>
    <w:p w:rsidR="00120F37" w:rsidRPr="0088710B" w:rsidRDefault="00354EBB" w:rsidP="00354EBB">
      <w:pPr>
        <w:spacing w:after="60"/>
        <w:jc w:val="both"/>
        <w:rPr>
          <w:rFonts w:ascii="Verdana" w:hAnsi="Verdana" w:cs="Times New Roman"/>
        </w:rPr>
      </w:pPr>
      <w:r w:rsidRPr="0088710B">
        <w:rPr>
          <w:rFonts w:ascii="Verdana" w:hAnsi="Verdana" w:cs="Times New Roman"/>
        </w:rPr>
        <w:t>Finalmente, con el objetivo de otorgar una protección arancelaria a los procesos productivos de las industrias subregionales se estableció un arancel externo común para los productos del programa. El arancel externo común fijado para los vehículos de categorías A1, A2 y A3 fue de 115%; para los vehículos de categoría C el arancel fue de 50%; y para los componentes automotrices el arancel variaba entre el 35% y 50%.</w:t>
      </w:r>
    </w:p>
    <w:p w:rsidR="00120F37" w:rsidRDefault="00354EBB" w:rsidP="00354EBB">
      <w:pPr>
        <w:spacing w:after="60"/>
        <w:jc w:val="both"/>
        <w:rPr>
          <w:rFonts w:ascii="Verdana" w:hAnsi="Verdana" w:cs="Times New Roman"/>
        </w:rPr>
      </w:pPr>
      <w:r w:rsidRPr="0088710B">
        <w:rPr>
          <w:rFonts w:ascii="Verdana" w:hAnsi="Verdana" w:cs="Times New Roman"/>
        </w:rPr>
        <w:lastRenderedPageBreak/>
        <w:t xml:space="preserve">Por su parte, Ecuador implementó el “Plan de Vehículo Popular”el cual fue un programa enfocado a la producción de vehículos livianos marca Suzuki Forsa I y Fiat Uno. La producción se incrementó en un 54%, pasando de ensamblarse  7.864  vehículos en  1987  a  12.127  vehículos en 1988. En el  país si bien estos indicios representaban éxito para el sector automotor, la economía presentaba serios problemas con niveles inflacionarios de 85% en 1988 (Orozco, 2009: 6). </w:t>
      </w:r>
    </w:p>
    <w:p w:rsidR="00120F37" w:rsidRDefault="00120F37" w:rsidP="00354EBB">
      <w:pPr>
        <w:spacing w:after="60"/>
        <w:jc w:val="both"/>
        <w:rPr>
          <w:rFonts w:ascii="Verdana" w:hAnsi="Verdana" w:cs="Times New Roman"/>
        </w:rPr>
      </w:pPr>
    </w:p>
    <w:p w:rsidR="00354EBB" w:rsidRPr="0088710B" w:rsidRDefault="00354EBB" w:rsidP="00354EBB">
      <w:pPr>
        <w:spacing w:after="60"/>
        <w:jc w:val="both"/>
        <w:rPr>
          <w:rFonts w:ascii="Verdana" w:hAnsi="Verdana" w:cs="Times New Roman"/>
        </w:rPr>
      </w:pPr>
      <w:r w:rsidRPr="0088710B">
        <w:rPr>
          <w:rFonts w:ascii="Verdana" w:hAnsi="Verdana" w:cs="Times New Roman"/>
        </w:rPr>
        <w:t>Sin embargo, Hidrobo (2004: 2), cuenta que el proyecto del vehículo popular se clausuró en 1991; en consecuencia, se levantaron las restricciones a las importaciones para el ensamblaje, y desde entonces se exportó automóviles ensamblados de Ecuador, especialmente hacia Colombia.</w:t>
      </w:r>
    </w:p>
    <w:p w:rsidR="00354EBB" w:rsidRPr="000A5520" w:rsidRDefault="00354EBB" w:rsidP="00354EBB">
      <w:pPr>
        <w:spacing w:after="60"/>
        <w:jc w:val="both"/>
        <w:rPr>
          <w:rFonts w:ascii="Verdana" w:hAnsi="Verdana" w:cs="Times New Roman"/>
        </w:rPr>
      </w:pPr>
    </w:p>
    <w:p w:rsidR="00354EBB" w:rsidRPr="000A5520" w:rsidRDefault="00354EBB" w:rsidP="00354EBB">
      <w:pPr>
        <w:spacing w:after="60"/>
        <w:jc w:val="both"/>
        <w:rPr>
          <w:rFonts w:ascii="Verdana" w:hAnsi="Verdana" w:cs="Times New Roman"/>
        </w:rPr>
      </w:pPr>
      <w:r w:rsidRPr="000A5520">
        <w:rPr>
          <w:rFonts w:ascii="Verdana" w:hAnsi="Verdana" w:cs="Times New Roman"/>
        </w:rPr>
        <w:t xml:space="preserve">Vásquez (2015: 7) cuenta que para inicios de la década de los noventa la Zona de Libre Comercio entre Ecuador, Colombia y Venezuela abrió las importaciones de vehículos con las marcas Chevrolet, Kia y Mazda. Así, con el impulso a la industria automotriz </w:t>
      </w:r>
      <w:r w:rsidRPr="0088710B">
        <w:rPr>
          <w:rFonts w:ascii="Verdana" w:hAnsi="Verdana" w:cs="Times New Roman"/>
        </w:rPr>
        <w:t>en, al</w:t>
      </w:r>
      <w:r w:rsidRPr="000A5520">
        <w:rPr>
          <w:rFonts w:ascii="Verdana" w:hAnsi="Verdana" w:cs="Times New Roman"/>
        </w:rPr>
        <w:t xml:space="preserve"> país arribaron empresas multinacionales para generar cambios en la economía mediante la incorporación de nuevas tecnologías, empresas autopartistas y ensambladoras de vehículos. Por otra parte, la influencia de multinacionales brindó la posibilidad de generar en el país empresas productoras de componentes, partes y piezas locales. </w:t>
      </w:r>
    </w:p>
    <w:p w:rsidR="00354EBB" w:rsidRPr="0088710B" w:rsidRDefault="00354EBB" w:rsidP="00354EBB">
      <w:pPr>
        <w:spacing w:after="60"/>
        <w:jc w:val="both"/>
        <w:rPr>
          <w:rFonts w:ascii="Verdana" w:hAnsi="Verdana" w:cs="Times New Roman"/>
        </w:rPr>
      </w:pPr>
    </w:p>
    <w:p w:rsidR="00354EBB" w:rsidRDefault="00354EBB" w:rsidP="00354EBB">
      <w:pPr>
        <w:spacing w:after="60"/>
        <w:jc w:val="both"/>
        <w:rPr>
          <w:rFonts w:ascii="Verdana" w:hAnsi="Verdana" w:cs="Times New Roman"/>
        </w:rPr>
      </w:pPr>
      <w:r w:rsidRPr="0088710B">
        <w:rPr>
          <w:rFonts w:ascii="Verdana" w:hAnsi="Verdana" w:cs="Times New Roman"/>
        </w:rPr>
        <w:t>En 1992 Ecuador se perfeccionó la zona de libre comercio entre Ecuador, Colombia y Venezuela, y se abrió las importaciones de vehículos. Se unieron al país una amplia variedad de automotores, los cuales crearon gran competencia en el mercado nacional, pero también ayudó a la exportación del país a los destinos como son Colombia y Venezuela (CINAE, 2013)</w:t>
      </w:r>
    </w:p>
    <w:p w:rsidR="00C76E8B" w:rsidRPr="0088710B" w:rsidRDefault="00C76E8B" w:rsidP="00354EBB">
      <w:pPr>
        <w:spacing w:after="60"/>
        <w:jc w:val="both"/>
        <w:rPr>
          <w:rFonts w:ascii="Verdana" w:hAnsi="Verdana" w:cs="Times New Roman"/>
        </w:rPr>
      </w:pPr>
    </w:p>
    <w:p w:rsidR="00354EBB" w:rsidRDefault="00354EBB" w:rsidP="00354EBB">
      <w:pPr>
        <w:spacing w:after="60"/>
        <w:jc w:val="both"/>
        <w:rPr>
          <w:rFonts w:ascii="Verdana" w:hAnsi="Verdana" w:cs="Times New Roman"/>
        </w:rPr>
      </w:pPr>
      <w:r w:rsidRPr="0088710B">
        <w:rPr>
          <w:rFonts w:ascii="Verdana" w:hAnsi="Verdana" w:cs="Times New Roman"/>
        </w:rPr>
        <w:t>Luego, en 1993 se firmó el primer Convenio de Complementación en el Sector Automotor que estableció una política común para el ensamblaje de vehículos y la adopción de un arancel externo común aplicado a los automotores importados.</w:t>
      </w:r>
    </w:p>
    <w:p w:rsidR="00120F37" w:rsidRPr="0088710B" w:rsidRDefault="00120F37" w:rsidP="00354EBB">
      <w:pPr>
        <w:spacing w:after="60"/>
        <w:jc w:val="both"/>
        <w:rPr>
          <w:rFonts w:ascii="Verdana" w:hAnsi="Verdana" w:cs="Times New Roman"/>
        </w:rPr>
      </w:pPr>
    </w:p>
    <w:p w:rsidR="00354EBB" w:rsidRPr="0088710B" w:rsidRDefault="00354EBB" w:rsidP="00354EBB">
      <w:pPr>
        <w:spacing w:after="60"/>
        <w:jc w:val="both"/>
        <w:rPr>
          <w:rFonts w:ascii="Verdana" w:hAnsi="Verdana" w:cs="Times New Roman"/>
        </w:rPr>
      </w:pPr>
      <w:r w:rsidRPr="0088710B">
        <w:rPr>
          <w:rFonts w:ascii="Verdana" w:hAnsi="Verdana" w:cs="Times New Roman"/>
        </w:rPr>
        <w:t>“En 1993 el Ecuador, Colombia y Venezuela suscribieron el Convenio de Complementación en el Sector Automotor. El acuerdo fue ampliado en mayo de 1994, ya que se consideró que los efectos económicos y sociales de la medida se tradujeron en el crecimiento del comercio y el desarrollo de la industria automotriz subregional. El convenio automotor incluyó temas relativos a los aranceles aplicables a las importaciones desde países ajenos a la región, un régimen de importación para vehículos desarmados (Completely Knocked Down o CKD), una política común de integración comercial con terceros y reglas para el ingreso de vehículos usados.” (Cabrera, 2010: 3).</w:t>
      </w:r>
      <w:r w:rsidRPr="0088710B">
        <w:rPr>
          <w:rFonts w:ascii="Verdana" w:hAnsi="Verdana" w:cs="Times New Roman"/>
        </w:rPr>
        <w:cr/>
      </w:r>
    </w:p>
    <w:p w:rsidR="00354EBB" w:rsidRPr="0088710B" w:rsidRDefault="00354EBB" w:rsidP="00354EBB">
      <w:pPr>
        <w:spacing w:after="60"/>
        <w:jc w:val="both"/>
        <w:rPr>
          <w:rFonts w:ascii="Verdana" w:hAnsi="Verdana" w:cs="Times New Roman"/>
        </w:rPr>
      </w:pPr>
    </w:p>
    <w:p w:rsidR="00354EBB" w:rsidRPr="00BE23F2" w:rsidRDefault="00354EBB" w:rsidP="00BE23F2">
      <w:pPr>
        <w:pStyle w:val="Ttulo2"/>
        <w:rPr>
          <w:rFonts w:cs="Times New Roman"/>
        </w:rPr>
      </w:pPr>
      <w:bookmarkStart w:id="30" w:name="_Toc485137201"/>
      <w:r w:rsidRPr="00BE23F2">
        <w:rPr>
          <w:rFonts w:cs="Times New Roman"/>
        </w:rPr>
        <w:lastRenderedPageBreak/>
        <w:t>Normativa Andina vigente del sector automotriz</w:t>
      </w:r>
      <w:bookmarkEnd w:id="30"/>
    </w:p>
    <w:p w:rsidR="00C76E8B" w:rsidRPr="0088710B" w:rsidRDefault="00C76E8B" w:rsidP="00354EBB">
      <w:pPr>
        <w:spacing w:after="60"/>
        <w:jc w:val="both"/>
        <w:rPr>
          <w:rFonts w:ascii="Verdana" w:hAnsi="Verdana" w:cs="Times New Roman"/>
        </w:rPr>
      </w:pPr>
    </w:p>
    <w:p w:rsidR="00354EBB" w:rsidRPr="0088710B" w:rsidRDefault="00354EBB" w:rsidP="00354EBB">
      <w:pPr>
        <w:spacing w:after="60"/>
        <w:jc w:val="both"/>
        <w:rPr>
          <w:rFonts w:ascii="Verdana" w:hAnsi="Verdana" w:cs="Times New Roman"/>
        </w:rPr>
      </w:pPr>
      <w:r w:rsidRPr="0088710B">
        <w:rPr>
          <w:rFonts w:ascii="Verdana" w:hAnsi="Verdana" w:cs="Times New Roman"/>
        </w:rPr>
        <w:t>Par adoptar una política en común, Ecuador, Colombia Y venezuela decidiron suscribir el convenio de Complementación Industrial del Sector Automotriz como una propuesta subregional. Este convenio entró en vigencioa en el año 2000 con un plazo de 10 años y la posibilidad de prórroga automática con una duración igual.</w:t>
      </w:r>
    </w:p>
    <w:p w:rsidR="00354EBB" w:rsidRDefault="00354EBB" w:rsidP="00354EBB">
      <w:pPr>
        <w:spacing w:after="60"/>
        <w:jc w:val="both"/>
        <w:rPr>
          <w:rFonts w:ascii="Verdana" w:hAnsi="Verdana" w:cs="Times New Roman"/>
        </w:rPr>
      </w:pPr>
      <w:r w:rsidRPr="0088710B">
        <w:rPr>
          <w:rFonts w:ascii="Verdana" w:hAnsi="Verdana" w:cs="Times New Roman"/>
        </w:rPr>
        <w:t>El objetivo de este convenio es incrementar las transacciones intracomunitarias del sector automotriz para un incremento de producción en los tres países en un plazo menor al plazo de vigencia de conveni, osea en menos de 10 años con el fin de promoverincentivar y fortalecer la industria automotriz para que esta sea capaz de abastecer a la región, con calidad de producto y solo importar vehiculos y partes que sean nuevos para cumplir estándares internacionales y posicionar a la CAN como un negociador regional</w:t>
      </w:r>
      <w:r w:rsidR="00344EC8">
        <w:rPr>
          <w:rFonts w:ascii="Verdana" w:hAnsi="Verdana" w:cs="Times New Roman"/>
        </w:rPr>
        <w:t xml:space="preserve"> (Comunidad Andina, 2016)</w:t>
      </w:r>
    </w:p>
    <w:p w:rsidR="00120F37" w:rsidRPr="0088710B" w:rsidRDefault="00120F37" w:rsidP="00354EBB">
      <w:pPr>
        <w:spacing w:after="60"/>
        <w:jc w:val="both"/>
        <w:rPr>
          <w:rFonts w:ascii="Verdana" w:hAnsi="Verdana" w:cs="Times New Roman"/>
        </w:rPr>
      </w:pPr>
    </w:p>
    <w:p w:rsidR="00354EBB" w:rsidRDefault="00354EBB" w:rsidP="00354EBB">
      <w:pPr>
        <w:spacing w:after="60"/>
        <w:jc w:val="both"/>
        <w:rPr>
          <w:rFonts w:ascii="Verdana" w:hAnsi="Verdana" w:cs="Times New Roman"/>
        </w:rPr>
      </w:pPr>
      <w:r w:rsidRPr="0088710B">
        <w:rPr>
          <w:rFonts w:ascii="Verdana" w:hAnsi="Verdana" w:cs="Times New Roman"/>
        </w:rPr>
        <w:t>C</w:t>
      </w:r>
      <w:r w:rsidR="00CC453B" w:rsidRPr="0088710B">
        <w:rPr>
          <w:rFonts w:ascii="Verdana" w:hAnsi="Verdana" w:cs="Times New Roman"/>
        </w:rPr>
        <w:t>onvenio</w:t>
      </w:r>
      <w:r w:rsidRPr="0088710B">
        <w:rPr>
          <w:rFonts w:ascii="Verdana" w:hAnsi="Verdana" w:cs="Times New Roman"/>
        </w:rPr>
        <w:t xml:space="preserve"> D</w:t>
      </w:r>
      <w:r w:rsidR="00CC453B" w:rsidRPr="0088710B">
        <w:rPr>
          <w:rFonts w:ascii="Verdana" w:hAnsi="Verdana" w:cs="Times New Roman"/>
        </w:rPr>
        <w:t>e</w:t>
      </w:r>
      <w:r w:rsidRPr="0088710B">
        <w:rPr>
          <w:rFonts w:ascii="Verdana" w:hAnsi="Verdana" w:cs="Times New Roman"/>
        </w:rPr>
        <w:t xml:space="preserve"> C</w:t>
      </w:r>
      <w:r w:rsidR="00CC453B" w:rsidRPr="0088710B">
        <w:rPr>
          <w:rFonts w:ascii="Verdana" w:hAnsi="Verdana" w:cs="Times New Roman"/>
        </w:rPr>
        <w:t>omplementacion</w:t>
      </w:r>
      <w:r w:rsidRPr="0088710B">
        <w:rPr>
          <w:rFonts w:ascii="Verdana" w:hAnsi="Verdana" w:cs="Times New Roman"/>
        </w:rPr>
        <w:t xml:space="preserve"> E</w:t>
      </w:r>
      <w:r w:rsidR="00CC453B" w:rsidRPr="0088710B">
        <w:rPr>
          <w:rFonts w:ascii="Verdana" w:hAnsi="Verdana" w:cs="Times New Roman"/>
        </w:rPr>
        <w:t>n</w:t>
      </w:r>
      <w:r w:rsidRPr="0088710B">
        <w:rPr>
          <w:rFonts w:ascii="Verdana" w:hAnsi="Verdana" w:cs="Times New Roman"/>
        </w:rPr>
        <w:t xml:space="preserve"> E</w:t>
      </w:r>
      <w:r w:rsidR="00CC453B" w:rsidRPr="0088710B">
        <w:rPr>
          <w:rFonts w:ascii="Verdana" w:hAnsi="Verdana" w:cs="Times New Roman"/>
        </w:rPr>
        <w:t>l</w:t>
      </w:r>
      <w:r w:rsidRPr="0088710B">
        <w:rPr>
          <w:rFonts w:ascii="Verdana" w:hAnsi="Verdana" w:cs="Times New Roman"/>
        </w:rPr>
        <w:t xml:space="preserve"> S</w:t>
      </w:r>
      <w:r w:rsidR="00CC453B" w:rsidRPr="0088710B">
        <w:rPr>
          <w:rFonts w:ascii="Verdana" w:hAnsi="Verdana" w:cs="Times New Roman"/>
        </w:rPr>
        <w:t>ector</w:t>
      </w:r>
      <w:r w:rsidRPr="0088710B">
        <w:rPr>
          <w:rFonts w:ascii="Verdana" w:hAnsi="Verdana" w:cs="Times New Roman"/>
        </w:rPr>
        <w:t xml:space="preserve"> A</w:t>
      </w:r>
      <w:r w:rsidR="00CC453B" w:rsidRPr="0088710B">
        <w:rPr>
          <w:rFonts w:ascii="Verdana" w:hAnsi="Verdana" w:cs="Times New Roman"/>
        </w:rPr>
        <w:t>utomotor</w:t>
      </w:r>
      <w:r w:rsidRPr="0088710B">
        <w:rPr>
          <w:rFonts w:ascii="Verdana" w:hAnsi="Verdana" w:cs="Times New Roman"/>
        </w:rPr>
        <w:cr/>
      </w:r>
    </w:p>
    <w:p w:rsidR="00CC453B" w:rsidRDefault="00CC453B" w:rsidP="00354EBB">
      <w:pPr>
        <w:spacing w:after="60"/>
        <w:jc w:val="both"/>
        <w:rPr>
          <w:rFonts w:ascii="Verdana" w:hAnsi="Verdana" w:cs="Times New Roman"/>
        </w:rPr>
      </w:pPr>
      <w:r>
        <w:rPr>
          <w:rFonts w:ascii="Verdana" w:hAnsi="Verdana" w:cs="Times New Roman"/>
        </w:rPr>
        <w:t>Según el convenio entre los gobiernos de Colombia, Ecuador y Venezuela (Acolfa, 1999</w:t>
      </w:r>
      <w:r w:rsidRPr="00CC453B">
        <w:rPr>
          <w:rFonts w:ascii="Verdana" w:hAnsi="Verdana" w:cs="Times New Roman"/>
        </w:rPr>
        <w:t>)</w:t>
      </w:r>
    </w:p>
    <w:p w:rsidR="00CC453B" w:rsidRPr="0088710B" w:rsidRDefault="00CC453B" w:rsidP="00354EBB">
      <w:pPr>
        <w:spacing w:after="60"/>
        <w:jc w:val="both"/>
        <w:rPr>
          <w:rFonts w:ascii="Verdana" w:hAnsi="Verdana" w:cs="Times New Roman"/>
        </w:rPr>
      </w:pPr>
    </w:p>
    <w:p w:rsidR="00354EBB" w:rsidRDefault="00354EBB" w:rsidP="00354EBB">
      <w:pPr>
        <w:spacing w:after="60"/>
        <w:jc w:val="both"/>
        <w:rPr>
          <w:rFonts w:ascii="Verdana" w:hAnsi="Verdana" w:cs="Times New Roman"/>
        </w:rPr>
      </w:pPr>
      <w:r w:rsidRPr="0088710B">
        <w:rPr>
          <w:rFonts w:ascii="Verdana" w:hAnsi="Verdana" w:cs="Times New Roman"/>
        </w:rPr>
        <w:t>Artículo 1.- Celebrar el siguiente Convenio de Complementación Industrial en el Sector Automotor que tiene por objeto la adopción de una política comunitaria con el fin de facilitar una mayor articulación entre los productores subregionales, aprovechar los mercados ampliados de la región, así como propiciar condiciones equitativas de competencia en el mercado subregional y un aumento de la competitividad y la eficiencia.</w:t>
      </w:r>
    </w:p>
    <w:p w:rsidR="00CC453B" w:rsidRPr="0088710B" w:rsidRDefault="00CC453B" w:rsidP="00354EBB">
      <w:pPr>
        <w:spacing w:after="60"/>
        <w:jc w:val="both"/>
        <w:rPr>
          <w:rFonts w:ascii="Verdana" w:hAnsi="Verdana" w:cs="Times New Roman"/>
        </w:rPr>
      </w:pPr>
    </w:p>
    <w:p w:rsidR="00354EBB" w:rsidRDefault="00354EBB" w:rsidP="00354EBB">
      <w:pPr>
        <w:spacing w:after="60"/>
        <w:jc w:val="both"/>
        <w:rPr>
          <w:rFonts w:ascii="Verdana" w:hAnsi="Verdana" w:cs="Times New Roman"/>
        </w:rPr>
      </w:pPr>
      <w:r w:rsidRPr="0088710B">
        <w:rPr>
          <w:rFonts w:ascii="Verdana" w:hAnsi="Verdana" w:cs="Times New Roman"/>
        </w:rPr>
        <w:t>Artículo 2.- Los beneficios previstos en el presente Convenio para las industrias del sector automotor tienen por objeto:</w:t>
      </w:r>
    </w:p>
    <w:p w:rsidR="00CC453B" w:rsidRPr="0088710B" w:rsidRDefault="00CC453B" w:rsidP="00354EBB">
      <w:pPr>
        <w:spacing w:after="60"/>
        <w:jc w:val="both"/>
        <w:rPr>
          <w:rFonts w:ascii="Verdana" w:hAnsi="Verdana" w:cs="Times New Roman"/>
        </w:rPr>
      </w:pPr>
    </w:p>
    <w:p w:rsidR="00354EBB" w:rsidRPr="0088710B" w:rsidRDefault="00354EBB" w:rsidP="00354EBB">
      <w:pPr>
        <w:spacing w:after="60"/>
        <w:jc w:val="both"/>
        <w:rPr>
          <w:rFonts w:ascii="Verdana" w:hAnsi="Verdana" w:cs="Times New Roman"/>
        </w:rPr>
      </w:pPr>
      <w:r w:rsidRPr="0088710B">
        <w:rPr>
          <w:rFonts w:ascii="Verdana" w:hAnsi="Verdana" w:cs="Times New Roman"/>
        </w:rPr>
        <w:t>a) Lograr la transferencia tecnológica que garantice el incremento de su productividad y competitividad.</w:t>
      </w:r>
    </w:p>
    <w:p w:rsidR="00354EBB" w:rsidRPr="0088710B" w:rsidRDefault="00354EBB" w:rsidP="00354EBB">
      <w:pPr>
        <w:spacing w:after="60"/>
        <w:jc w:val="both"/>
        <w:rPr>
          <w:rFonts w:ascii="Verdana" w:hAnsi="Verdana" w:cs="Times New Roman"/>
        </w:rPr>
      </w:pPr>
      <w:r w:rsidRPr="0088710B">
        <w:rPr>
          <w:rFonts w:ascii="Verdana" w:hAnsi="Verdana" w:cs="Times New Roman"/>
        </w:rPr>
        <w:t>b) Generar inversiones productivas adicionales.</w:t>
      </w:r>
    </w:p>
    <w:p w:rsidR="00354EBB" w:rsidRPr="0088710B" w:rsidRDefault="00354EBB" w:rsidP="00354EBB">
      <w:pPr>
        <w:spacing w:after="60"/>
        <w:jc w:val="both"/>
        <w:rPr>
          <w:rFonts w:ascii="Verdana" w:hAnsi="Verdana" w:cs="Times New Roman"/>
        </w:rPr>
      </w:pPr>
      <w:r w:rsidRPr="0088710B">
        <w:rPr>
          <w:rFonts w:ascii="Verdana" w:hAnsi="Verdana" w:cs="Times New Roman"/>
        </w:rPr>
        <w:t>c) Adelantar programas de desarrollo de proveedores de la Subregión, y</w:t>
      </w:r>
    </w:p>
    <w:p w:rsidR="00354EBB" w:rsidRPr="0088710B" w:rsidRDefault="00354EBB" w:rsidP="00354EBB">
      <w:pPr>
        <w:spacing w:after="60"/>
        <w:jc w:val="both"/>
        <w:rPr>
          <w:rFonts w:ascii="Verdana" w:hAnsi="Verdana" w:cs="Times New Roman"/>
        </w:rPr>
      </w:pPr>
      <w:r w:rsidRPr="0088710B">
        <w:rPr>
          <w:rFonts w:ascii="Verdana" w:hAnsi="Verdana" w:cs="Times New Roman"/>
        </w:rPr>
        <w:t>d) Ofrecer a los consumidores andinos productos</w:t>
      </w:r>
      <w:r w:rsidR="00CC453B">
        <w:rPr>
          <w:rFonts w:ascii="Verdana" w:hAnsi="Verdana" w:cs="Times New Roman"/>
        </w:rPr>
        <w:t xml:space="preserve"> con mejores calidad y precio. E</w:t>
      </w:r>
      <w:r w:rsidRPr="0088710B">
        <w:rPr>
          <w:rFonts w:ascii="Verdana" w:hAnsi="Verdana" w:cs="Times New Roman"/>
        </w:rPr>
        <w:t>n el convenio se establecen los vehículos clasificados en las siguientes categorías</w:t>
      </w:r>
    </w:p>
    <w:p w:rsidR="00CC453B" w:rsidRPr="0088710B" w:rsidRDefault="00354EBB" w:rsidP="00354EBB">
      <w:pPr>
        <w:spacing w:after="60"/>
        <w:jc w:val="both"/>
        <w:rPr>
          <w:rFonts w:ascii="Verdana" w:hAnsi="Verdana" w:cs="Times New Roman"/>
        </w:rPr>
      </w:pPr>
      <w:r w:rsidRPr="0088710B">
        <w:rPr>
          <w:rFonts w:ascii="Verdana" w:hAnsi="Verdana" w:cs="Times New Roman"/>
        </w:rPr>
        <w:t>Categoría 1</w:t>
      </w:r>
      <w:r w:rsidRPr="0088710B">
        <w:rPr>
          <w:rFonts w:cs="Times New Roman"/>
        </w:rPr>
        <w:footnoteReference w:id="7"/>
      </w:r>
      <w:r w:rsidRPr="0088710B">
        <w:rPr>
          <w:rFonts w:ascii="Verdana" w:hAnsi="Verdana" w:cs="Times New Roman"/>
        </w:rPr>
        <w:t xml:space="preserve">: Comprende los vehículos para el transporte de pasajeros hasta de 16 personas incluido el conductor; y los vehículos de transporte de mercancías </w:t>
      </w:r>
      <w:r w:rsidRPr="0088710B">
        <w:rPr>
          <w:rFonts w:ascii="Verdana" w:hAnsi="Verdana" w:cs="Times New Roman"/>
        </w:rPr>
        <w:lastRenderedPageBreak/>
        <w:t>de un peso total con carga máxima inferior o igual a 4,537 toneladas (o 10 000 libras ame</w:t>
      </w:r>
      <w:r w:rsidR="00CC453B">
        <w:rPr>
          <w:rFonts w:ascii="Verdana" w:hAnsi="Verdana" w:cs="Times New Roman"/>
        </w:rPr>
        <w:t>ricanas), así como sus chasis com</w:t>
      </w:r>
      <w:r w:rsidRPr="0088710B">
        <w:rPr>
          <w:rFonts w:ascii="Verdana" w:hAnsi="Verdana" w:cs="Times New Roman"/>
        </w:rPr>
        <w:t>binados.</w:t>
      </w:r>
    </w:p>
    <w:p w:rsidR="00CC453B" w:rsidRPr="0088710B" w:rsidRDefault="00354EBB" w:rsidP="00354EBB">
      <w:pPr>
        <w:spacing w:after="60"/>
        <w:jc w:val="both"/>
        <w:rPr>
          <w:rFonts w:ascii="Verdana" w:hAnsi="Verdana" w:cs="Times New Roman"/>
        </w:rPr>
      </w:pPr>
      <w:r w:rsidRPr="0088710B">
        <w:rPr>
          <w:rFonts w:ascii="Verdana" w:hAnsi="Verdana" w:cs="Times New Roman"/>
        </w:rPr>
        <w:t xml:space="preserve">Categoría 2a: Comprende los vehículos con carrocería para el transporte de pasajeros de más de 16 personas incluido el conductor. </w:t>
      </w:r>
    </w:p>
    <w:p w:rsidR="00354EBB" w:rsidRDefault="00354EBB" w:rsidP="00354EBB">
      <w:pPr>
        <w:spacing w:after="60"/>
        <w:jc w:val="both"/>
        <w:rPr>
          <w:rFonts w:ascii="Verdana" w:hAnsi="Verdana" w:cs="Times New Roman"/>
        </w:rPr>
      </w:pPr>
      <w:r w:rsidRPr="0088710B">
        <w:rPr>
          <w:rFonts w:ascii="Verdana" w:hAnsi="Verdana" w:cs="Times New Roman"/>
        </w:rPr>
        <w:t>Categoría 2b: Comprende los demás vehículos no incluidos en las categorías 1 y 2a.</w:t>
      </w:r>
    </w:p>
    <w:p w:rsidR="00CC453B" w:rsidRPr="0088710B" w:rsidRDefault="00CC453B" w:rsidP="00354EBB">
      <w:pPr>
        <w:spacing w:after="60"/>
        <w:jc w:val="both"/>
        <w:rPr>
          <w:rFonts w:ascii="Verdana" w:hAnsi="Verdana" w:cs="Times New Roman"/>
        </w:rPr>
      </w:pPr>
    </w:p>
    <w:p w:rsidR="00354EBB" w:rsidRDefault="00354EBB" w:rsidP="00354EBB">
      <w:pPr>
        <w:spacing w:after="60"/>
        <w:jc w:val="both"/>
        <w:rPr>
          <w:rFonts w:ascii="Verdana" w:hAnsi="Verdana" w:cs="Times New Roman"/>
        </w:rPr>
      </w:pPr>
      <w:r w:rsidRPr="0088710B">
        <w:rPr>
          <w:rFonts w:ascii="Verdana" w:hAnsi="Verdana" w:cs="Times New Roman"/>
        </w:rPr>
        <w:t>El artículo 5 dice: Para los vehículos de la Categoría 1, los Países Participantes establecerán un Arancel Externo Común del 35% y para los bienes automotores de las Categorías 2a y 2b un Arancel Externo Común del 15% en el caso de Colombia y de Venezuela, y del 10% en el caso del Ecuador.</w:t>
      </w:r>
    </w:p>
    <w:p w:rsidR="00CC453B" w:rsidRPr="0088710B" w:rsidRDefault="00CC453B" w:rsidP="00354EBB">
      <w:pPr>
        <w:spacing w:after="60"/>
        <w:jc w:val="both"/>
        <w:rPr>
          <w:rFonts w:ascii="Verdana" w:hAnsi="Verdana" w:cs="Times New Roman"/>
        </w:rPr>
      </w:pPr>
    </w:p>
    <w:p w:rsidR="00354EBB" w:rsidRPr="0088710B" w:rsidRDefault="00354EBB" w:rsidP="00354EBB">
      <w:pPr>
        <w:spacing w:after="60"/>
        <w:jc w:val="both"/>
        <w:rPr>
          <w:rFonts w:ascii="Verdana" w:hAnsi="Verdana" w:cs="Times New Roman"/>
        </w:rPr>
      </w:pPr>
      <w:r w:rsidRPr="0088710B">
        <w:rPr>
          <w:rFonts w:ascii="Verdana" w:hAnsi="Verdana" w:cs="Times New Roman"/>
        </w:rPr>
        <w:t>Requisito Específico de Origen para los bienes automotores incluidos en las subpartidas NANDINA</w:t>
      </w:r>
      <w:r w:rsidR="007D71D3">
        <w:rPr>
          <w:rFonts w:ascii="Verdana" w:hAnsi="Verdana" w:cs="Times New Roman"/>
        </w:rPr>
        <w:t xml:space="preserve"> (Acolfa org. 2009) </w:t>
      </w:r>
    </w:p>
    <w:p w:rsidR="00354EBB" w:rsidRDefault="00354EBB" w:rsidP="00354EBB">
      <w:pPr>
        <w:spacing w:after="60"/>
        <w:jc w:val="both"/>
        <w:rPr>
          <w:rFonts w:ascii="Verdana" w:hAnsi="Verdana" w:cs="Times New Roman"/>
        </w:rPr>
      </w:pPr>
      <w:r w:rsidRPr="0088710B">
        <w:rPr>
          <w:rFonts w:ascii="Verdana" w:hAnsi="Verdana" w:cs="Times New Roman"/>
        </w:rPr>
        <w:t>Los porcentajes mínimos de integración subregional exigidos según categoría son:</w:t>
      </w:r>
      <w:r w:rsidRPr="0088710B">
        <w:rPr>
          <w:rFonts w:ascii="Verdana" w:hAnsi="Verdana" w:cs="Times New Roman"/>
        </w:rPr>
        <w:cr/>
      </w:r>
      <w:r w:rsidRPr="0088710B">
        <w:rPr>
          <w:rFonts w:ascii="Verdana" w:hAnsi="Verdana" w:cs="Times New Roman"/>
          <w:noProof/>
          <w:lang w:eastAsia="es-EC"/>
        </w:rPr>
        <w:drawing>
          <wp:inline distT="0" distB="0" distL="0" distR="0" wp14:anchorId="0BD2FE13" wp14:editId="3869D899">
            <wp:extent cx="4380614" cy="1516368"/>
            <wp:effectExtent l="0" t="0" r="1270" b="825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l="31238" t="49319" r="28755" b="26158"/>
                    <a:stretch/>
                  </pic:blipFill>
                  <pic:spPr bwMode="auto">
                    <a:xfrm>
                      <a:off x="0" y="0"/>
                      <a:ext cx="4384240" cy="1517623"/>
                    </a:xfrm>
                    <a:prstGeom prst="rect">
                      <a:avLst/>
                    </a:prstGeom>
                    <a:ln>
                      <a:noFill/>
                    </a:ln>
                    <a:extLst>
                      <a:ext uri="{53640926-AAD7-44D8-BBD7-CCE9431645EC}">
                        <a14:shadowObscured xmlns:a14="http://schemas.microsoft.com/office/drawing/2010/main"/>
                      </a:ext>
                    </a:extLst>
                  </pic:spPr>
                </pic:pic>
              </a:graphicData>
            </a:graphic>
          </wp:inline>
        </w:drawing>
      </w:r>
    </w:p>
    <w:p w:rsidR="00AD45BA" w:rsidRPr="0088710B" w:rsidRDefault="00AD45BA" w:rsidP="00354EBB">
      <w:pPr>
        <w:spacing w:after="60"/>
        <w:jc w:val="both"/>
        <w:rPr>
          <w:rFonts w:ascii="Verdana" w:hAnsi="Verdana" w:cs="Times New Roman"/>
        </w:rPr>
      </w:pPr>
    </w:p>
    <w:p w:rsidR="00354EBB" w:rsidRPr="0088710B" w:rsidRDefault="00354EBB" w:rsidP="00354EBB">
      <w:pPr>
        <w:spacing w:after="60"/>
        <w:jc w:val="both"/>
        <w:rPr>
          <w:rFonts w:ascii="Verdana" w:hAnsi="Verdana" w:cs="Times New Roman"/>
        </w:rPr>
      </w:pPr>
      <w:r w:rsidRPr="0088710B">
        <w:rPr>
          <w:rFonts w:ascii="Verdana" w:hAnsi="Verdana" w:cs="Times New Roman"/>
        </w:rPr>
        <w:t>Los porcentajes exigidos según la resolución 323 exigen a la categoría de vehículos livianos lo siguiente:</w:t>
      </w:r>
    </w:p>
    <w:tbl>
      <w:tblPr>
        <w:tblW w:w="4410" w:type="dxa"/>
        <w:tblInd w:w="55" w:type="dxa"/>
        <w:tblCellMar>
          <w:left w:w="70" w:type="dxa"/>
          <w:right w:w="70" w:type="dxa"/>
        </w:tblCellMar>
        <w:tblLook w:val="04A0" w:firstRow="1" w:lastRow="0" w:firstColumn="1" w:lastColumn="0" w:noHBand="0" w:noVBand="1"/>
      </w:tblPr>
      <w:tblGrid>
        <w:gridCol w:w="1172"/>
        <w:gridCol w:w="1791"/>
        <w:gridCol w:w="1447"/>
      </w:tblGrid>
      <w:tr w:rsidR="00354EBB" w:rsidRPr="00B160A0" w:rsidTr="00B160A0">
        <w:trPr>
          <w:trHeight w:val="300"/>
        </w:trPr>
        <w:tc>
          <w:tcPr>
            <w:tcW w:w="4410"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4EBB" w:rsidRPr="00B160A0" w:rsidRDefault="00354EBB" w:rsidP="00AD45BA">
            <w:pPr>
              <w:spacing w:after="60"/>
              <w:jc w:val="center"/>
              <w:rPr>
                <w:rFonts w:ascii="Verdana" w:hAnsi="Verdana" w:cs="Times New Roman"/>
                <w:sz w:val="20"/>
                <w:szCs w:val="20"/>
              </w:rPr>
            </w:pPr>
            <w:r w:rsidRPr="00B160A0">
              <w:rPr>
                <w:rFonts w:ascii="Verdana" w:hAnsi="Verdana" w:cs="Times New Roman"/>
                <w:sz w:val="20"/>
                <w:szCs w:val="20"/>
              </w:rPr>
              <w:t>Categoria 1</w:t>
            </w:r>
          </w:p>
        </w:tc>
      </w:tr>
      <w:tr w:rsidR="00354EBB" w:rsidRPr="00B160A0" w:rsidTr="00B160A0">
        <w:trPr>
          <w:trHeight w:val="596"/>
        </w:trPr>
        <w:tc>
          <w:tcPr>
            <w:tcW w:w="1172" w:type="dxa"/>
            <w:tcBorders>
              <w:top w:val="nil"/>
              <w:left w:val="single" w:sz="4" w:space="0" w:color="auto"/>
              <w:bottom w:val="single" w:sz="4" w:space="0" w:color="auto"/>
              <w:right w:val="single" w:sz="4" w:space="0" w:color="auto"/>
            </w:tcBorders>
            <w:shd w:val="clear" w:color="auto" w:fill="auto"/>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Año calendario</w:t>
            </w:r>
          </w:p>
        </w:tc>
        <w:tc>
          <w:tcPr>
            <w:tcW w:w="1791" w:type="dxa"/>
            <w:tcBorders>
              <w:top w:val="nil"/>
              <w:left w:val="nil"/>
              <w:bottom w:val="single" w:sz="4" w:space="0" w:color="auto"/>
              <w:right w:val="single" w:sz="4" w:space="0" w:color="auto"/>
            </w:tcBorders>
            <w:shd w:val="clear" w:color="auto" w:fill="auto"/>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Colombia, Perú y Venezuela</w:t>
            </w:r>
          </w:p>
        </w:tc>
        <w:tc>
          <w:tcPr>
            <w:tcW w:w="1447" w:type="dxa"/>
            <w:tcBorders>
              <w:top w:val="nil"/>
              <w:left w:val="nil"/>
              <w:bottom w:val="single" w:sz="4" w:space="0" w:color="auto"/>
              <w:right w:val="single" w:sz="4" w:space="0" w:color="auto"/>
            </w:tcBorders>
            <w:shd w:val="clear" w:color="auto" w:fill="auto"/>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Bolivia y Ecuador</w:t>
            </w:r>
          </w:p>
        </w:tc>
      </w:tr>
      <w:tr w:rsidR="00354EBB" w:rsidRPr="00B160A0" w:rsidTr="00B160A0">
        <w:trPr>
          <w:trHeight w:val="300"/>
        </w:trPr>
        <w:tc>
          <w:tcPr>
            <w:tcW w:w="1172" w:type="dxa"/>
            <w:tcBorders>
              <w:top w:val="nil"/>
              <w:left w:val="single" w:sz="4" w:space="0" w:color="auto"/>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2000</w:t>
            </w:r>
          </w:p>
        </w:tc>
        <w:tc>
          <w:tcPr>
            <w:tcW w:w="1791" w:type="dxa"/>
            <w:tcBorders>
              <w:top w:val="nil"/>
              <w:left w:val="nil"/>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24,8</w:t>
            </w:r>
          </w:p>
        </w:tc>
        <w:tc>
          <w:tcPr>
            <w:tcW w:w="1447" w:type="dxa"/>
            <w:tcBorders>
              <w:top w:val="nil"/>
              <w:left w:val="nil"/>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14,3</w:t>
            </w:r>
          </w:p>
        </w:tc>
      </w:tr>
      <w:tr w:rsidR="00354EBB" w:rsidRPr="00B160A0" w:rsidTr="00B160A0">
        <w:trPr>
          <w:trHeight w:val="300"/>
        </w:trPr>
        <w:tc>
          <w:tcPr>
            <w:tcW w:w="1172" w:type="dxa"/>
            <w:tcBorders>
              <w:top w:val="nil"/>
              <w:left w:val="single" w:sz="4" w:space="0" w:color="auto"/>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2001</w:t>
            </w:r>
          </w:p>
        </w:tc>
        <w:tc>
          <w:tcPr>
            <w:tcW w:w="1791" w:type="dxa"/>
            <w:tcBorders>
              <w:top w:val="nil"/>
              <w:left w:val="nil"/>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25,8</w:t>
            </w:r>
          </w:p>
        </w:tc>
        <w:tc>
          <w:tcPr>
            <w:tcW w:w="1447" w:type="dxa"/>
            <w:tcBorders>
              <w:top w:val="nil"/>
              <w:left w:val="nil"/>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15,7</w:t>
            </w:r>
          </w:p>
        </w:tc>
      </w:tr>
      <w:tr w:rsidR="00354EBB" w:rsidRPr="00B160A0" w:rsidTr="00B160A0">
        <w:trPr>
          <w:trHeight w:val="300"/>
        </w:trPr>
        <w:tc>
          <w:tcPr>
            <w:tcW w:w="1172" w:type="dxa"/>
            <w:tcBorders>
              <w:top w:val="nil"/>
              <w:left w:val="single" w:sz="4" w:space="0" w:color="auto"/>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2002</w:t>
            </w:r>
          </w:p>
        </w:tc>
        <w:tc>
          <w:tcPr>
            <w:tcW w:w="1791" w:type="dxa"/>
            <w:tcBorders>
              <w:top w:val="nil"/>
              <w:left w:val="nil"/>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26,8</w:t>
            </w:r>
          </w:p>
        </w:tc>
        <w:tc>
          <w:tcPr>
            <w:tcW w:w="1447" w:type="dxa"/>
            <w:tcBorders>
              <w:top w:val="nil"/>
              <w:left w:val="nil"/>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17,1</w:t>
            </w:r>
          </w:p>
        </w:tc>
      </w:tr>
      <w:tr w:rsidR="00354EBB" w:rsidRPr="00B160A0" w:rsidTr="00B160A0">
        <w:trPr>
          <w:trHeight w:val="300"/>
        </w:trPr>
        <w:tc>
          <w:tcPr>
            <w:tcW w:w="1172" w:type="dxa"/>
            <w:tcBorders>
              <w:top w:val="nil"/>
              <w:left w:val="single" w:sz="4" w:space="0" w:color="auto"/>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2003</w:t>
            </w:r>
          </w:p>
        </w:tc>
        <w:tc>
          <w:tcPr>
            <w:tcW w:w="1791" w:type="dxa"/>
            <w:tcBorders>
              <w:top w:val="nil"/>
              <w:left w:val="nil"/>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27,8</w:t>
            </w:r>
          </w:p>
        </w:tc>
        <w:tc>
          <w:tcPr>
            <w:tcW w:w="1447" w:type="dxa"/>
            <w:tcBorders>
              <w:top w:val="nil"/>
              <w:left w:val="nil"/>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18,6</w:t>
            </w:r>
          </w:p>
        </w:tc>
      </w:tr>
      <w:tr w:rsidR="00354EBB" w:rsidRPr="00B160A0" w:rsidTr="00B160A0">
        <w:trPr>
          <w:trHeight w:val="300"/>
        </w:trPr>
        <w:tc>
          <w:tcPr>
            <w:tcW w:w="1172" w:type="dxa"/>
            <w:tcBorders>
              <w:top w:val="nil"/>
              <w:left w:val="single" w:sz="4" w:space="0" w:color="auto"/>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2004</w:t>
            </w:r>
          </w:p>
        </w:tc>
        <w:tc>
          <w:tcPr>
            <w:tcW w:w="1791" w:type="dxa"/>
            <w:tcBorders>
              <w:top w:val="nil"/>
              <w:left w:val="nil"/>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28,8</w:t>
            </w:r>
          </w:p>
        </w:tc>
        <w:tc>
          <w:tcPr>
            <w:tcW w:w="1447" w:type="dxa"/>
            <w:tcBorders>
              <w:top w:val="nil"/>
              <w:left w:val="nil"/>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20</w:t>
            </w:r>
          </w:p>
        </w:tc>
      </w:tr>
      <w:tr w:rsidR="00354EBB" w:rsidRPr="00B160A0" w:rsidTr="00B160A0">
        <w:trPr>
          <w:trHeight w:val="300"/>
        </w:trPr>
        <w:tc>
          <w:tcPr>
            <w:tcW w:w="1172" w:type="dxa"/>
            <w:tcBorders>
              <w:top w:val="nil"/>
              <w:left w:val="single" w:sz="4" w:space="0" w:color="auto"/>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2005</w:t>
            </w:r>
          </w:p>
        </w:tc>
        <w:tc>
          <w:tcPr>
            <w:tcW w:w="1791" w:type="dxa"/>
            <w:tcBorders>
              <w:top w:val="nil"/>
              <w:left w:val="nil"/>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30,4</w:t>
            </w:r>
          </w:p>
        </w:tc>
        <w:tc>
          <w:tcPr>
            <w:tcW w:w="1447" w:type="dxa"/>
            <w:tcBorders>
              <w:top w:val="nil"/>
              <w:left w:val="nil"/>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21,4</w:t>
            </w:r>
          </w:p>
        </w:tc>
      </w:tr>
      <w:tr w:rsidR="00354EBB" w:rsidRPr="00B160A0" w:rsidTr="00B160A0">
        <w:trPr>
          <w:trHeight w:val="300"/>
        </w:trPr>
        <w:tc>
          <w:tcPr>
            <w:tcW w:w="1172" w:type="dxa"/>
            <w:tcBorders>
              <w:top w:val="nil"/>
              <w:left w:val="single" w:sz="4" w:space="0" w:color="auto"/>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2006</w:t>
            </w:r>
          </w:p>
        </w:tc>
        <w:tc>
          <w:tcPr>
            <w:tcW w:w="1791" w:type="dxa"/>
            <w:tcBorders>
              <w:top w:val="nil"/>
              <w:left w:val="nil"/>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31,5</w:t>
            </w:r>
          </w:p>
        </w:tc>
        <w:tc>
          <w:tcPr>
            <w:tcW w:w="1447" w:type="dxa"/>
            <w:tcBorders>
              <w:top w:val="nil"/>
              <w:left w:val="nil"/>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22,1</w:t>
            </w:r>
          </w:p>
        </w:tc>
      </w:tr>
      <w:tr w:rsidR="00354EBB" w:rsidRPr="00B160A0" w:rsidTr="00B160A0">
        <w:trPr>
          <w:trHeight w:val="300"/>
        </w:trPr>
        <w:tc>
          <w:tcPr>
            <w:tcW w:w="1172" w:type="dxa"/>
            <w:tcBorders>
              <w:top w:val="nil"/>
              <w:left w:val="single" w:sz="4" w:space="0" w:color="auto"/>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2007</w:t>
            </w:r>
          </w:p>
        </w:tc>
        <w:tc>
          <w:tcPr>
            <w:tcW w:w="1791" w:type="dxa"/>
            <w:tcBorders>
              <w:top w:val="nil"/>
              <w:left w:val="nil"/>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32,6</w:t>
            </w:r>
          </w:p>
        </w:tc>
        <w:tc>
          <w:tcPr>
            <w:tcW w:w="1447" w:type="dxa"/>
            <w:tcBorders>
              <w:top w:val="nil"/>
              <w:left w:val="nil"/>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22,9</w:t>
            </w:r>
          </w:p>
        </w:tc>
      </w:tr>
      <w:tr w:rsidR="00354EBB" w:rsidRPr="00B160A0" w:rsidTr="00B160A0">
        <w:trPr>
          <w:trHeight w:val="300"/>
        </w:trPr>
        <w:tc>
          <w:tcPr>
            <w:tcW w:w="1172" w:type="dxa"/>
            <w:tcBorders>
              <w:top w:val="nil"/>
              <w:left w:val="single" w:sz="4" w:space="0" w:color="auto"/>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2008</w:t>
            </w:r>
          </w:p>
        </w:tc>
        <w:tc>
          <w:tcPr>
            <w:tcW w:w="1791" w:type="dxa"/>
            <w:tcBorders>
              <w:top w:val="nil"/>
              <w:left w:val="nil"/>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33,7</w:t>
            </w:r>
          </w:p>
        </w:tc>
        <w:tc>
          <w:tcPr>
            <w:tcW w:w="1447" w:type="dxa"/>
            <w:tcBorders>
              <w:top w:val="nil"/>
              <w:left w:val="nil"/>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23,6</w:t>
            </w:r>
          </w:p>
        </w:tc>
      </w:tr>
      <w:tr w:rsidR="00354EBB" w:rsidRPr="00B160A0" w:rsidTr="00B160A0">
        <w:trPr>
          <w:trHeight w:val="300"/>
        </w:trPr>
        <w:tc>
          <w:tcPr>
            <w:tcW w:w="1172" w:type="dxa"/>
            <w:tcBorders>
              <w:top w:val="nil"/>
              <w:left w:val="single" w:sz="4" w:space="0" w:color="auto"/>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2009</w:t>
            </w:r>
          </w:p>
        </w:tc>
        <w:tc>
          <w:tcPr>
            <w:tcW w:w="1791" w:type="dxa"/>
            <w:tcBorders>
              <w:top w:val="nil"/>
              <w:left w:val="nil"/>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34,66</w:t>
            </w:r>
          </w:p>
        </w:tc>
        <w:tc>
          <w:tcPr>
            <w:tcW w:w="1447" w:type="dxa"/>
            <w:tcBorders>
              <w:top w:val="nil"/>
              <w:left w:val="nil"/>
              <w:bottom w:val="single" w:sz="4" w:space="0" w:color="auto"/>
              <w:right w:val="single" w:sz="4" w:space="0" w:color="auto"/>
            </w:tcBorders>
            <w:shd w:val="clear" w:color="auto" w:fill="auto"/>
            <w:noWrap/>
            <w:vAlign w:val="center"/>
            <w:hideMark/>
          </w:tcPr>
          <w:p w:rsidR="00354EBB" w:rsidRPr="00B160A0" w:rsidRDefault="00354EBB" w:rsidP="00354EBB">
            <w:pPr>
              <w:spacing w:after="60"/>
              <w:jc w:val="both"/>
              <w:rPr>
                <w:rFonts w:ascii="Verdana" w:hAnsi="Verdana" w:cs="Times New Roman"/>
                <w:sz w:val="20"/>
                <w:szCs w:val="20"/>
              </w:rPr>
            </w:pPr>
            <w:r w:rsidRPr="00B160A0">
              <w:rPr>
                <w:rFonts w:ascii="Verdana" w:hAnsi="Verdana" w:cs="Times New Roman"/>
                <w:sz w:val="20"/>
                <w:szCs w:val="20"/>
              </w:rPr>
              <w:t>24,3</w:t>
            </w:r>
          </w:p>
        </w:tc>
      </w:tr>
    </w:tbl>
    <w:p w:rsidR="00354EBB" w:rsidRPr="0088710B" w:rsidRDefault="00354EBB" w:rsidP="00354EBB">
      <w:pPr>
        <w:spacing w:after="60"/>
        <w:jc w:val="both"/>
        <w:rPr>
          <w:rFonts w:ascii="Verdana" w:hAnsi="Verdana" w:cs="Times New Roman"/>
        </w:rPr>
      </w:pPr>
    </w:p>
    <w:p w:rsidR="00354EBB" w:rsidRPr="0088710B" w:rsidRDefault="00354EBB" w:rsidP="00354EBB">
      <w:pPr>
        <w:spacing w:after="60"/>
        <w:jc w:val="both"/>
        <w:rPr>
          <w:rFonts w:ascii="Verdana" w:hAnsi="Verdana" w:cs="Times New Roman"/>
        </w:rPr>
      </w:pPr>
      <w:r w:rsidRPr="0088710B">
        <w:rPr>
          <w:rFonts w:ascii="Verdana" w:hAnsi="Verdana" w:cs="Times New Roman"/>
        </w:rPr>
        <w:lastRenderedPageBreak/>
        <w:t xml:space="preserve">Para el año 2011, los componentes nacionales de un vehiculo eran 11.3% y crecio un 14.2% en el año 2012 y con un crecimiento paulatino de hasta 20.88% para el 2016. Estos datos cubren la establecido por la CAN, Comunidad Andina de Naciones, con relación a la subregional (IS) según datos de la Aeade que ayuda a las autopartes provenientes de Colombia; Venezuela, Bolivia y Perú, estas deben ser 23% </w:t>
      </w:r>
      <w:r w:rsidR="007D71D3">
        <w:rPr>
          <w:rFonts w:ascii="Verdana" w:hAnsi="Verdana" w:cs="Times New Roman"/>
        </w:rPr>
        <w:t>(Camara de Comercio de Guayaquil, 2010)</w:t>
      </w:r>
    </w:p>
    <w:p w:rsidR="006E33B9" w:rsidRPr="00EE4D50" w:rsidRDefault="006E33B9"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El parque automotor ecuatoriano era de 432.652 vehículos para el año 1992, en 1994 fue 547.008 unidades y a diciembre del 2002 fue 883.660 unidades, lo que significó un aumento de 104,2% durante el decenio 1992-2002. Del total de automotores del año 2002, el 52% sobrepasaban a los diez años, lo que quiere decir que la mitad de los vehículos </w:t>
      </w:r>
      <w:r w:rsidR="001A72FE">
        <w:rPr>
          <w:rFonts w:ascii="Verdana" w:hAnsi="Verdana" w:cs="Times New Roman"/>
        </w:rPr>
        <w:t>que</w:t>
      </w:r>
      <w:r w:rsidRPr="00EE4D50">
        <w:rPr>
          <w:rFonts w:ascii="Verdana" w:hAnsi="Verdana" w:cs="Times New Roman"/>
        </w:rPr>
        <w:t xml:space="preserve"> circulaban en las calles y carreteras del país eran relativamente viejos. Esta tendencia varió de acuerdo al aumento de la capacidad adquisitiva de los agentes para el nuevo milenio con expectativas de renovar su automotor. Para el 2002, de acuerdo al tipo de vehículos del parque automotor, los automóviles y stationwagon representaban 38,9% del total, seguidos por las camionetas con un 28,6%, luego las todo </w:t>
      </w:r>
      <w:r w:rsidR="00337B4C" w:rsidRPr="00EE4D50">
        <w:rPr>
          <w:rFonts w:ascii="Verdana" w:hAnsi="Verdana" w:cs="Times New Roman"/>
        </w:rPr>
        <w:t>terreno</w:t>
      </w:r>
      <w:r w:rsidRPr="00EE4D50">
        <w:rPr>
          <w:rFonts w:ascii="Verdana" w:hAnsi="Verdana" w:cs="Times New Roman"/>
        </w:rPr>
        <w:t xml:space="preserve"> con 12,9%, camines y buses 9,9%, furgonetas 2,2%, motos 4,7%, furgonetas 2,2% y otros 2,8% (Hidrobo, 2004:</w:t>
      </w:r>
      <w:r w:rsidR="00FE2D4A">
        <w:rPr>
          <w:rFonts w:ascii="Verdana" w:hAnsi="Verdana" w:cs="Times New Roman"/>
        </w:rPr>
        <w:t xml:space="preserve"> </w:t>
      </w:r>
      <w:r w:rsidRPr="00EE4D50">
        <w:rPr>
          <w:rFonts w:ascii="Verdana" w:hAnsi="Verdana" w:cs="Times New Roman"/>
        </w:rPr>
        <w:t>94).</w:t>
      </w:r>
    </w:p>
    <w:p w:rsidR="001A1E18" w:rsidRPr="00EE4D50" w:rsidRDefault="001A1E18" w:rsidP="00EC63DA">
      <w:pPr>
        <w:jc w:val="both"/>
        <w:rPr>
          <w:rFonts w:ascii="Verdana" w:hAnsi="Verdana" w:cs="Times New Roman"/>
        </w:rPr>
      </w:pPr>
    </w:p>
    <w:p w:rsidR="00BB07EF" w:rsidRDefault="00BB07EF" w:rsidP="00EC63DA">
      <w:pPr>
        <w:pStyle w:val="Ttulo2"/>
        <w:rPr>
          <w:rFonts w:cs="Times New Roman"/>
        </w:rPr>
      </w:pPr>
      <w:bookmarkStart w:id="31" w:name="_Toc459992040"/>
      <w:bookmarkStart w:id="32" w:name="_Toc485137202"/>
      <w:r w:rsidRPr="00EE4D50">
        <w:rPr>
          <w:rFonts w:cs="Times New Roman"/>
        </w:rPr>
        <w:t>Ensambladoras de vehículos en Ecuador</w:t>
      </w:r>
      <w:bookmarkEnd w:id="31"/>
      <w:bookmarkEnd w:id="32"/>
    </w:p>
    <w:p w:rsidR="00120F37" w:rsidRPr="00120F37" w:rsidRDefault="00120F37" w:rsidP="00120F37">
      <w:pPr>
        <w:rPr>
          <w:lang w:val="es-MX"/>
        </w:rPr>
      </w:pPr>
    </w:p>
    <w:p w:rsidR="00120F37" w:rsidRDefault="00120F37" w:rsidP="00120F37">
      <w:pPr>
        <w:jc w:val="both"/>
        <w:rPr>
          <w:rFonts w:ascii="Verdana" w:hAnsi="Verdana" w:cs="Times New Roman"/>
        </w:rPr>
      </w:pPr>
      <w:r w:rsidRPr="00EE4D50">
        <w:rPr>
          <w:rFonts w:ascii="Verdana" w:hAnsi="Verdana" w:cs="Times New Roman"/>
        </w:rPr>
        <w:t>En lo que corresponde a las principales ensambladoras en Ecuador, la primera planta que inició sus operaciones fue Autos y Maquinas del Ecuador S.A. (AYMESA), en el año 1973, le siguió la compañía OMNIBUS BB TRANSPORTES S.A. en 1975, la cual hasta ahora tiene el mayor número de unidades producidas. En el año 1976 se estableció Manufacturas,  Armadurías y Repuestos de Ecuador (MARESA).</w:t>
      </w:r>
    </w:p>
    <w:p w:rsidR="009B02A6" w:rsidRPr="00EE4D50" w:rsidRDefault="009B02A6"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Las ensambladoras en el país han tenido gran importancia para el desarrollo del sector automotriz, las cuales han pasado por momentos tanto de crisis como de auge. De acuerdo con Hidrobo (2004:</w:t>
      </w:r>
      <w:r w:rsidR="00FE2D4A">
        <w:rPr>
          <w:rFonts w:ascii="Verdana" w:hAnsi="Verdana" w:cs="Times New Roman"/>
        </w:rPr>
        <w:t xml:space="preserve"> </w:t>
      </w:r>
      <w:r w:rsidRPr="00EE4D50">
        <w:rPr>
          <w:rFonts w:ascii="Verdana" w:hAnsi="Verdana" w:cs="Times New Roman"/>
        </w:rPr>
        <w:t>85), para el año 1994 este sector creció un 22,5%, lo cual fue considerado como un buen año, mientras que en años de crisis como en 1998 y 1999 cayó a tasas alarmantes de 6,7% y -63,35% respectivamente. Mientras que en el año 2000, unido al proceso de estabilización de la economía, el sector ensamblador empezó un proceso de recuperación, en el cual creció un 34%, siguiendo con esa consistencia los posteriores años con un 43% en el 2001 y 8% en el 2002, lo que mostró solidez en ese tiempo.</w:t>
      </w:r>
    </w:p>
    <w:p w:rsidR="006E33B9" w:rsidRPr="00EE4D50" w:rsidRDefault="006E33B9"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La época de dolarización trajo consigo una estabilidad en la moneda y reducción en tasas de interés, lo que generó una reactivación para el sector automotriz, incluso con una sobreoferta causada por la crisis de 1999, a un </w:t>
      </w:r>
      <w:r w:rsidRPr="00EE4D50">
        <w:rPr>
          <w:rFonts w:ascii="Verdana" w:hAnsi="Verdana" w:cs="Times New Roman"/>
        </w:rPr>
        <w:lastRenderedPageBreak/>
        <w:t>desabastecimiento de unidades al final del año 2000. Esto responde a la recuperación de la economía y a la eliminación de la carga de la devaluación de la moneda.</w:t>
      </w:r>
    </w:p>
    <w:p w:rsidR="006E33B9" w:rsidRPr="00EE4D50" w:rsidRDefault="006E33B9"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 dolarización ayudó a generar seguridad financiera, pero aun así, la inestabilidad cambiaria impidió que los consumidores se arriesgaran a obtener vehículos por el temor a endeudarse en dólares, ya que no se conocía hasta que valor podría subir la cotización de la moneda extranjera. Sin embargo, en el año 2002 hubo una reactivación del sistema de crédito con tasas que no sobrepasaban el 18% y con plazos convenientes de 36 meses, lo cual atrajo a los consumidores que querían obtener algún vehículo. Este sector se enfocó en la gente de clase media y alta, quienes cambiaban sus vehículos en un 33%, mientras que un 51%  quería obtener un vehículo nuevo. El total de vehículos ensamblados en el país en este mismo año para consumo local bordeó las 21.860 unidades (Hidrobo, 2004:</w:t>
      </w:r>
      <w:r w:rsidR="00FE2D4A">
        <w:rPr>
          <w:rFonts w:ascii="Verdana" w:hAnsi="Verdana" w:cs="Times New Roman"/>
        </w:rPr>
        <w:t xml:space="preserve"> </w:t>
      </w:r>
      <w:r w:rsidRPr="00EE4D50">
        <w:rPr>
          <w:rFonts w:ascii="Verdana" w:hAnsi="Verdana" w:cs="Times New Roman"/>
        </w:rPr>
        <w:t>87).</w:t>
      </w:r>
    </w:p>
    <w:p w:rsidR="006E33B9" w:rsidRPr="00EE4D50" w:rsidRDefault="006E33B9"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A continuación se da a conocer las diferentes ensambladoras del Ecuador, cuya historia se remonta a los años setenta y con sus primera</w:t>
      </w:r>
      <w:r w:rsidR="001A51BB" w:rsidRPr="00EE4D50">
        <w:rPr>
          <w:rFonts w:ascii="Verdana" w:hAnsi="Verdana" w:cs="Times New Roman"/>
        </w:rPr>
        <w:t>s exportaciones en el año 1992.</w:t>
      </w:r>
    </w:p>
    <w:p w:rsidR="00261705" w:rsidRPr="00EE4D50" w:rsidRDefault="00261705" w:rsidP="00EC63DA">
      <w:pPr>
        <w:spacing w:after="60"/>
        <w:jc w:val="both"/>
        <w:rPr>
          <w:rFonts w:ascii="Verdana" w:hAnsi="Verdana" w:cs="Times New Roman"/>
        </w:rPr>
      </w:pPr>
    </w:p>
    <w:p w:rsidR="00261705" w:rsidRPr="00EE4D50" w:rsidRDefault="00261705" w:rsidP="00EC63DA">
      <w:pPr>
        <w:spacing w:after="60"/>
        <w:jc w:val="both"/>
        <w:rPr>
          <w:rFonts w:ascii="Verdana" w:hAnsi="Verdana" w:cs="Times New Roman"/>
        </w:rPr>
      </w:pPr>
    </w:p>
    <w:p w:rsidR="00536A2E" w:rsidRPr="00EE4D50" w:rsidRDefault="00BB07EF" w:rsidP="00EC63DA">
      <w:pPr>
        <w:pStyle w:val="Ttulo3"/>
        <w:rPr>
          <w:rFonts w:ascii="Verdana" w:hAnsi="Verdana" w:cs="Times New Roman"/>
          <w:i/>
          <w:color w:val="auto"/>
          <w:sz w:val="28"/>
        </w:rPr>
      </w:pPr>
      <w:bookmarkStart w:id="33" w:name="_Toc459992041"/>
      <w:bookmarkStart w:id="34" w:name="_Toc485137203"/>
      <w:r w:rsidRPr="00EE4D50">
        <w:rPr>
          <w:rFonts w:ascii="Verdana" w:hAnsi="Verdana" w:cs="Times New Roman"/>
          <w:i/>
          <w:color w:val="auto"/>
          <w:sz w:val="28"/>
        </w:rPr>
        <w:t>A</w:t>
      </w:r>
      <w:bookmarkEnd w:id="33"/>
      <w:r w:rsidR="00963D63" w:rsidRPr="00EE4D50">
        <w:rPr>
          <w:rFonts w:ascii="Verdana" w:hAnsi="Verdana" w:cs="Times New Roman"/>
          <w:i/>
          <w:color w:val="auto"/>
          <w:sz w:val="28"/>
        </w:rPr>
        <w:t>ymesa</w:t>
      </w:r>
      <w:bookmarkEnd w:id="34"/>
    </w:p>
    <w:p w:rsidR="001A51BB" w:rsidRPr="00EE4D50" w:rsidRDefault="001A51BB" w:rsidP="00EC63DA">
      <w:pPr>
        <w:rPr>
          <w:rFonts w:ascii="Verdana" w:hAnsi="Verdana" w:cs="Times New Roman"/>
        </w:rPr>
      </w:pPr>
    </w:p>
    <w:p w:rsidR="00BB07EF" w:rsidRPr="00EE4D50" w:rsidRDefault="00536A2E" w:rsidP="00EC63DA">
      <w:pPr>
        <w:pStyle w:val="Epgrafe"/>
        <w:spacing w:after="0"/>
        <w:rPr>
          <w:rFonts w:ascii="Verdana" w:hAnsi="Verdana" w:cs="Times New Roman"/>
          <w:b w:val="0"/>
          <w:bCs w:val="0"/>
          <w:i/>
          <w:color w:val="auto"/>
          <w:sz w:val="20"/>
          <w:szCs w:val="20"/>
        </w:rPr>
      </w:pPr>
      <w:bookmarkStart w:id="35" w:name="_Toc473640029"/>
      <w:r w:rsidRPr="00EE4D50">
        <w:rPr>
          <w:rFonts w:ascii="Verdana" w:hAnsi="Verdana" w:cs="Times New Roman"/>
          <w:color w:val="auto"/>
          <w:sz w:val="20"/>
          <w:szCs w:val="20"/>
        </w:rPr>
        <w:t xml:space="preserve">Figura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Figura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4</w:t>
      </w:r>
      <w:r w:rsidRPr="00EE4D50">
        <w:rPr>
          <w:rFonts w:ascii="Verdana" w:hAnsi="Verdana" w:cs="Times New Roman"/>
          <w:color w:val="auto"/>
          <w:sz w:val="20"/>
          <w:szCs w:val="20"/>
        </w:rPr>
        <w:fldChar w:fldCharType="end"/>
      </w:r>
      <w:r w:rsidR="00BB07EF" w:rsidRPr="00EE4D50">
        <w:rPr>
          <w:rFonts w:ascii="Verdana" w:hAnsi="Verdana" w:cs="Times New Roman"/>
          <w:b w:val="0"/>
          <w:bCs w:val="0"/>
          <w:i/>
          <w:color w:val="auto"/>
          <w:sz w:val="20"/>
          <w:szCs w:val="20"/>
        </w:rPr>
        <w:t>: Logotipo de Aymesa</w:t>
      </w:r>
      <w:bookmarkEnd w:id="35"/>
    </w:p>
    <w:p w:rsidR="0054358A" w:rsidRPr="00EE4D50" w:rsidRDefault="00BB07EF" w:rsidP="00EC63DA">
      <w:pPr>
        <w:spacing w:after="0" w:line="240" w:lineRule="auto"/>
        <w:rPr>
          <w:rFonts w:ascii="Verdana" w:hAnsi="Verdana" w:cs="Times New Roman"/>
        </w:rPr>
      </w:pPr>
      <w:r w:rsidRPr="00EE4D50">
        <w:rPr>
          <w:rFonts w:ascii="Verdana" w:hAnsi="Verdana" w:cs="Times New Roman"/>
          <w:noProof/>
          <w:lang w:eastAsia="es-EC"/>
        </w:rPr>
        <w:drawing>
          <wp:inline distT="0" distB="0" distL="0" distR="0" wp14:anchorId="386502FF" wp14:editId="1630D1AC">
            <wp:extent cx="2314575" cy="1038225"/>
            <wp:effectExtent l="19050" t="19050" r="28575" b="28575"/>
            <wp:docPr id="3" name="Imagen 7" descr="http://static.wixstatic.com/media/67b462_752438c914ac486d94848bf098be95eb.jpg_srz_245_179_85_22_0.50_1.20_0.00_jpg_sr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http://static.wixstatic.com/media/67b462_752438c914ac486d94848bf098be95eb.jpg_srz_245_179_85_22_0.50_1.20_0.00_jpg_srz"/>
                    <pic:cNvPicPr>
                      <a:picLocks noChangeAspect="1" noChangeArrowheads="1"/>
                    </pic:cNvPicPr>
                  </pic:nvPicPr>
                  <pic:blipFill>
                    <a:blip r:embed="rId13">
                      <a:extLst>
                        <a:ext uri="{28A0092B-C50C-407E-A947-70E740481C1C}">
                          <a14:useLocalDpi xmlns:a14="http://schemas.microsoft.com/office/drawing/2010/main" val="0"/>
                        </a:ext>
                      </a:extLst>
                    </a:blip>
                    <a:srcRect t="21825" b="15605"/>
                    <a:stretch>
                      <a:fillRect/>
                    </a:stretch>
                  </pic:blipFill>
                  <pic:spPr bwMode="auto">
                    <a:xfrm>
                      <a:off x="0" y="0"/>
                      <a:ext cx="2314575" cy="1038225"/>
                    </a:xfrm>
                    <a:prstGeom prst="rect">
                      <a:avLst/>
                    </a:prstGeom>
                    <a:noFill/>
                    <a:ln w="9525" cmpd="sng">
                      <a:solidFill>
                        <a:srgbClr val="000000"/>
                      </a:solidFill>
                      <a:miter lim="800000"/>
                      <a:headEnd/>
                      <a:tailEnd/>
                    </a:ln>
                    <a:effectLst/>
                  </pic:spPr>
                </pic:pic>
              </a:graphicData>
            </a:graphic>
          </wp:inline>
        </w:drawing>
      </w:r>
    </w:p>
    <w:p w:rsidR="00BB07EF" w:rsidRPr="00EE4D50" w:rsidRDefault="0054358A" w:rsidP="00EC63DA">
      <w:pPr>
        <w:spacing w:after="0" w:line="240" w:lineRule="auto"/>
        <w:rPr>
          <w:rFonts w:ascii="Verdana" w:hAnsi="Verdana" w:cs="Times New Roman"/>
        </w:rPr>
      </w:pPr>
      <w:r w:rsidRPr="00EE4D50">
        <w:rPr>
          <w:rFonts w:ascii="Verdana" w:hAnsi="Verdana" w:cs="Times New Roman"/>
          <w:bCs/>
        </w:rPr>
        <w:t xml:space="preserve"> </w:t>
      </w:r>
      <w:r w:rsidRPr="00EE4D50">
        <w:rPr>
          <w:rFonts w:ascii="Verdana" w:hAnsi="Verdana" w:cs="Times New Roman"/>
          <w:bCs/>
          <w:sz w:val="20"/>
        </w:rPr>
        <w:t>Fuente</w:t>
      </w:r>
      <w:r w:rsidR="00BB07EF" w:rsidRPr="00EE4D50">
        <w:rPr>
          <w:rFonts w:ascii="Verdana" w:hAnsi="Verdana" w:cs="Times New Roman"/>
          <w:bCs/>
          <w:sz w:val="20"/>
        </w:rPr>
        <w:t>:</w:t>
      </w:r>
      <w:r w:rsidRPr="00EE4D50">
        <w:rPr>
          <w:rFonts w:ascii="Verdana" w:hAnsi="Verdana" w:cs="Times New Roman"/>
          <w:bCs/>
          <w:sz w:val="20"/>
        </w:rPr>
        <w:t xml:space="preserve"> </w:t>
      </w:r>
      <w:r w:rsidR="00BB07EF" w:rsidRPr="00EE4D50">
        <w:rPr>
          <w:rFonts w:ascii="Verdana" w:hAnsi="Verdana" w:cs="Times New Roman"/>
          <w:sz w:val="20"/>
        </w:rPr>
        <w:t>http://www.aymesa.ec/index.php/es/contacto</w:t>
      </w:r>
    </w:p>
    <w:p w:rsidR="0054358A" w:rsidRPr="00EE4D50" w:rsidRDefault="0054358A" w:rsidP="00EC63DA">
      <w:pPr>
        <w:jc w:val="both"/>
        <w:rPr>
          <w:rFonts w:ascii="Verdana" w:hAnsi="Verdana" w:cs="Times New Roman"/>
        </w:rPr>
      </w:pPr>
    </w:p>
    <w:p w:rsidR="005F5350" w:rsidRPr="00EE4D50" w:rsidRDefault="00BB07EF" w:rsidP="00EC63DA">
      <w:pPr>
        <w:jc w:val="both"/>
        <w:rPr>
          <w:rFonts w:ascii="Verdana" w:hAnsi="Verdana" w:cs="Times New Roman"/>
        </w:rPr>
      </w:pPr>
      <w:r w:rsidRPr="00EE4D50">
        <w:rPr>
          <w:rFonts w:ascii="Verdana" w:hAnsi="Verdana" w:cs="Times New Roman"/>
          <w:b/>
          <w:bCs/>
        </w:rPr>
        <w:t>DIRECCIÓN</w:t>
      </w:r>
      <w:r w:rsidRPr="00EE4D50">
        <w:rPr>
          <w:rFonts w:ascii="Verdana" w:hAnsi="Verdana" w:cs="Times New Roman"/>
        </w:rPr>
        <w:t>: Av. Maldonado 8</w:t>
      </w:r>
      <w:r w:rsidR="005F5350" w:rsidRPr="00EE4D50">
        <w:rPr>
          <w:rFonts w:ascii="Verdana" w:hAnsi="Verdana" w:cs="Times New Roman"/>
        </w:rPr>
        <w:t>519 y Amaru Ñan. Quito – Ecuador</w:t>
      </w:r>
    </w:p>
    <w:p w:rsidR="00536A2E" w:rsidRPr="00EE4D50" w:rsidRDefault="00536A2E" w:rsidP="00EC63DA">
      <w:pPr>
        <w:jc w:val="both"/>
        <w:rPr>
          <w:rFonts w:ascii="Verdana" w:hAnsi="Verdana" w:cs="Times New Roman"/>
        </w:rPr>
      </w:pPr>
    </w:p>
    <w:p w:rsidR="005F5350" w:rsidRPr="00EE4D50" w:rsidRDefault="00536A2E" w:rsidP="00EC63DA">
      <w:pPr>
        <w:pStyle w:val="Epgrafe"/>
        <w:spacing w:after="0"/>
        <w:jc w:val="center"/>
        <w:rPr>
          <w:rFonts w:ascii="Verdana" w:hAnsi="Verdana" w:cs="Times New Roman"/>
        </w:rPr>
      </w:pPr>
      <w:bookmarkStart w:id="36" w:name="_Toc473640030"/>
      <w:r w:rsidRPr="00EE4D50">
        <w:rPr>
          <w:rFonts w:ascii="Verdana" w:hAnsi="Verdana" w:cs="Times New Roman"/>
          <w:color w:val="auto"/>
          <w:sz w:val="20"/>
          <w:szCs w:val="20"/>
        </w:rPr>
        <w:lastRenderedPageBreak/>
        <w:t xml:space="preserve">Figura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Figura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5</w:t>
      </w:r>
      <w:r w:rsidRPr="00EE4D50">
        <w:rPr>
          <w:rFonts w:ascii="Verdana" w:hAnsi="Verdana" w:cs="Times New Roman"/>
          <w:color w:val="auto"/>
          <w:sz w:val="20"/>
          <w:szCs w:val="20"/>
        </w:rPr>
        <w:fldChar w:fldCharType="end"/>
      </w:r>
      <w:r w:rsidR="00BB07EF" w:rsidRPr="00EE4D50">
        <w:rPr>
          <w:rFonts w:ascii="Verdana" w:hAnsi="Verdana" w:cs="Times New Roman"/>
          <w:b w:val="0"/>
          <w:color w:val="auto"/>
          <w:sz w:val="20"/>
          <w:szCs w:val="20"/>
        </w:rPr>
        <w:t>: Ubicación geográfica de la ensambladora Aymesa</w:t>
      </w:r>
      <w:r w:rsidR="00BB07EF" w:rsidRPr="00EE4D50">
        <w:rPr>
          <w:rFonts w:ascii="Verdana" w:hAnsi="Verdana" w:cs="Times New Roman"/>
          <w:noProof/>
          <w:lang w:eastAsia="es-EC"/>
        </w:rPr>
        <w:drawing>
          <wp:inline distT="0" distB="0" distL="0" distR="0" wp14:anchorId="69E86F93" wp14:editId="150D4E2B">
            <wp:extent cx="4743450" cy="2352675"/>
            <wp:effectExtent l="19050" t="19050" r="19050" b="28575"/>
            <wp:docPr id="5"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43450" cy="2352675"/>
                    </a:xfrm>
                    <a:prstGeom prst="rect">
                      <a:avLst/>
                    </a:prstGeom>
                    <a:noFill/>
                    <a:ln w="9525" cmpd="sng">
                      <a:solidFill>
                        <a:srgbClr val="000000"/>
                      </a:solidFill>
                      <a:miter lim="800000"/>
                      <a:headEnd/>
                      <a:tailEnd/>
                    </a:ln>
                    <a:effectLst/>
                  </pic:spPr>
                </pic:pic>
              </a:graphicData>
            </a:graphic>
          </wp:inline>
        </w:drawing>
      </w:r>
      <w:bookmarkEnd w:id="36"/>
    </w:p>
    <w:p w:rsidR="00BB07EF" w:rsidRPr="00EE4D50" w:rsidRDefault="005F5350" w:rsidP="00EC63DA">
      <w:pPr>
        <w:spacing w:after="0" w:line="240" w:lineRule="auto"/>
        <w:rPr>
          <w:rFonts w:ascii="Verdana" w:hAnsi="Verdana" w:cs="Times New Roman"/>
        </w:rPr>
      </w:pPr>
      <w:r w:rsidRPr="00EE4D50">
        <w:rPr>
          <w:rFonts w:ascii="Verdana" w:hAnsi="Verdana" w:cs="Times New Roman"/>
        </w:rPr>
        <w:t xml:space="preserve">           </w:t>
      </w:r>
      <w:r w:rsidR="0054358A" w:rsidRPr="00EE4D50">
        <w:rPr>
          <w:rFonts w:ascii="Verdana" w:hAnsi="Verdana" w:cs="Times New Roman"/>
          <w:bCs/>
          <w:sz w:val="20"/>
        </w:rPr>
        <w:t>Fuente</w:t>
      </w:r>
      <w:r w:rsidR="00BB07EF" w:rsidRPr="00EE4D50">
        <w:rPr>
          <w:rFonts w:ascii="Verdana" w:hAnsi="Verdana" w:cs="Times New Roman"/>
          <w:b/>
          <w:bCs/>
          <w:sz w:val="20"/>
        </w:rPr>
        <w:t>:</w:t>
      </w:r>
      <w:r w:rsidR="0054358A" w:rsidRPr="00EE4D50">
        <w:rPr>
          <w:rFonts w:ascii="Verdana" w:hAnsi="Verdana" w:cs="Times New Roman"/>
          <w:b/>
          <w:bCs/>
          <w:sz w:val="20"/>
        </w:rPr>
        <w:t xml:space="preserve"> </w:t>
      </w:r>
      <w:r w:rsidR="00BB07EF" w:rsidRPr="00EE4D50">
        <w:rPr>
          <w:rFonts w:ascii="Verdana" w:hAnsi="Verdana" w:cs="Times New Roman"/>
          <w:sz w:val="20"/>
        </w:rPr>
        <w:t>http://www.aymesa.ec/index.php/es/contacto</w:t>
      </w:r>
    </w:p>
    <w:p w:rsidR="00BB07EF" w:rsidRPr="00EE4D50" w:rsidRDefault="00BB07EF" w:rsidP="00EC63DA">
      <w:pPr>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Aymesa fue la primera ensambladora del país, fundada en 1970 como un comerciante de las marcas Vauxhall y Bedford. En 1973 Aymesa lanzó al mercado el primer vehículo de fabricación local: el ANDINO, un vehículo sencillo con una plataforma Bedford y un motor de 1,4 litros Vauxhall (Aymesa, 2013).</w:t>
      </w:r>
    </w:p>
    <w:p w:rsidR="001A51BB" w:rsidRPr="00EE4D50" w:rsidRDefault="001A51BB"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En 1981 se crea las primeras estaciones de soldadura, con la cual potencia su producción de carrocerías metálicas, iniciando con el Chevette de General Motors, en los siguientes 12 años se especializa en la producción de modelos de las marcas Suzuki, GM y Datsun.</w:t>
      </w:r>
    </w:p>
    <w:p w:rsidR="001A51BB" w:rsidRPr="00EE4D50" w:rsidRDefault="001A51BB" w:rsidP="00EC63DA">
      <w:pPr>
        <w:spacing w:after="60"/>
        <w:jc w:val="both"/>
        <w:rPr>
          <w:rFonts w:ascii="Verdana" w:hAnsi="Verdana" w:cs="Times New Roman"/>
        </w:rPr>
      </w:pPr>
    </w:p>
    <w:p w:rsidR="009B02A6" w:rsidRPr="00EE4D50" w:rsidRDefault="00BB07EF" w:rsidP="00EC63DA">
      <w:pPr>
        <w:jc w:val="both"/>
        <w:rPr>
          <w:rFonts w:ascii="Verdana" w:hAnsi="Verdana" w:cs="Times New Roman"/>
        </w:rPr>
      </w:pPr>
      <w:r w:rsidRPr="00EE4D50">
        <w:rPr>
          <w:rFonts w:ascii="Verdana" w:hAnsi="Verdana" w:cs="Times New Roman"/>
        </w:rPr>
        <w:t>Aymesa en el año 1996, hace una gran inversión para mejorar su producción con sistemas tecnológicos mejorados, los cuales optimizan la aplicación de la pintura por Electro-deposición ELPO, un sistema de inmersión en el que la pintura se adhiera a la carrocería por afinidad electrostática, asegurando la característica anticorrosiva del acabado de pintura del vehículo.  Para el año 1999, se inicia uno de los convenios más importantes para esta ensambladora, con el fabricante KIA MOTORS COMPANY de Corea, con su modelo de vehículo Sportage, la cual la ha llevado a un considerable crecimiento, con innovación de modelos y procesos de producción mejorados. En 2011 Aymesa añadió el ensamblaje para la producción de camione</w:t>
      </w:r>
      <w:r w:rsidR="001A51BB" w:rsidRPr="00EE4D50">
        <w:rPr>
          <w:rFonts w:ascii="Verdana" w:hAnsi="Verdana" w:cs="Times New Roman"/>
        </w:rPr>
        <w:t>s marca HYUNDAI (Aymesa, 2013).</w:t>
      </w:r>
    </w:p>
    <w:p w:rsidR="00BB07EF" w:rsidRDefault="00BB07EF" w:rsidP="00EC63DA">
      <w:pPr>
        <w:pStyle w:val="Sinespaciado"/>
        <w:spacing w:line="276" w:lineRule="auto"/>
        <w:jc w:val="both"/>
        <w:rPr>
          <w:rFonts w:ascii="Verdana" w:hAnsi="Verdana" w:cs="Times New Roman"/>
        </w:rPr>
      </w:pPr>
    </w:p>
    <w:p w:rsidR="00B160A0" w:rsidRDefault="00B160A0" w:rsidP="00EC63DA">
      <w:pPr>
        <w:pStyle w:val="Sinespaciado"/>
        <w:spacing w:line="276" w:lineRule="auto"/>
        <w:jc w:val="both"/>
        <w:rPr>
          <w:rFonts w:ascii="Verdana" w:hAnsi="Verdana" w:cs="Times New Roman"/>
        </w:rPr>
      </w:pPr>
    </w:p>
    <w:p w:rsidR="00B160A0" w:rsidRDefault="00B160A0" w:rsidP="00EC63DA">
      <w:pPr>
        <w:pStyle w:val="Sinespaciado"/>
        <w:spacing w:line="276" w:lineRule="auto"/>
        <w:jc w:val="both"/>
        <w:rPr>
          <w:rFonts w:ascii="Verdana" w:hAnsi="Verdana" w:cs="Times New Roman"/>
        </w:rPr>
      </w:pPr>
    </w:p>
    <w:p w:rsidR="00B160A0" w:rsidRDefault="00B160A0" w:rsidP="00EC63DA">
      <w:pPr>
        <w:pStyle w:val="Sinespaciado"/>
        <w:spacing w:line="276" w:lineRule="auto"/>
        <w:jc w:val="both"/>
        <w:rPr>
          <w:rFonts w:ascii="Verdana" w:hAnsi="Verdana" w:cs="Times New Roman"/>
        </w:rPr>
      </w:pPr>
    </w:p>
    <w:p w:rsidR="00B160A0" w:rsidRDefault="00B160A0" w:rsidP="00EC63DA">
      <w:pPr>
        <w:pStyle w:val="Sinespaciado"/>
        <w:spacing w:line="276" w:lineRule="auto"/>
        <w:jc w:val="both"/>
        <w:rPr>
          <w:rFonts w:ascii="Verdana" w:hAnsi="Verdana" w:cs="Times New Roman"/>
        </w:rPr>
      </w:pPr>
    </w:p>
    <w:p w:rsidR="00B160A0" w:rsidRDefault="00B160A0" w:rsidP="00EC63DA">
      <w:pPr>
        <w:pStyle w:val="Sinespaciado"/>
        <w:spacing w:line="276" w:lineRule="auto"/>
        <w:jc w:val="both"/>
        <w:rPr>
          <w:rFonts w:ascii="Verdana" w:hAnsi="Verdana" w:cs="Times New Roman"/>
        </w:rPr>
      </w:pPr>
    </w:p>
    <w:p w:rsidR="00B160A0" w:rsidRDefault="00B160A0" w:rsidP="00EC63DA">
      <w:pPr>
        <w:pStyle w:val="Sinespaciado"/>
        <w:spacing w:line="276" w:lineRule="auto"/>
        <w:jc w:val="both"/>
        <w:rPr>
          <w:rFonts w:ascii="Verdana" w:hAnsi="Verdana" w:cs="Times New Roman"/>
        </w:rPr>
      </w:pPr>
    </w:p>
    <w:p w:rsidR="00B160A0" w:rsidRPr="00EE4D50" w:rsidRDefault="00B160A0" w:rsidP="00EC63DA">
      <w:pPr>
        <w:pStyle w:val="Sinespaciado"/>
        <w:spacing w:line="276" w:lineRule="auto"/>
        <w:jc w:val="both"/>
        <w:rPr>
          <w:rFonts w:ascii="Verdana" w:hAnsi="Verdana" w:cs="Times New Roman"/>
        </w:rPr>
      </w:pPr>
    </w:p>
    <w:p w:rsidR="00BB07EF" w:rsidRPr="00EE4D50" w:rsidRDefault="00536A2E" w:rsidP="00EC63DA">
      <w:pPr>
        <w:pStyle w:val="Epgrafe"/>
        <w:spacing w:after="0"/>
        <w:jc w:val="center"/>
        <w:rPr>
          <w:rFonts w:ascii="Verdana" w:hAnsi="Verdana" w:cs="Times New Roman"/>
          <w:b w:val="0"/>
          <w:color w:val="auto"/>
          <w:sz w:val="20"/>
          <w:szCs w:val="20"/>
        </w:rPr>
      </w:pPr>
      <w:bookmarkStart w:id="37" w:name="_Toc473640116"/>
      <w:r w:rsidRPr="00EE4D50">
        <w:rPr>
          <w:rFonts w:ascii="Verdana" w:hAnsi="Verdana" w:cs="Times New Roman"/>
          <w:color w:val="auto"/>
          <w:sz w:val="20"/>
          <w:szCs w:val="20"/>
        </w:rPr>
        <w:lastRenderedPageBreak/>
        <w:t xml:space="preserve">Tabla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Tabla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1</w:t>
      </w:r>
      <w:r w:rsidRPr="00EE4D50">
        <w:rPr>
          <w:rFonts w:ascii="Verdana" w:hAnsi="Verdana" w:cs="Times New Roman"/>
          <w:color w:val="auto"/>
          <w:sz w:val="20"/>
          <w:szCs w:val="20"/>
        </w:rPr>
        <w:fldChar w:fldCharType="end"/>
      </w:r>
      <w:r w:rsidR="00BB07EF" w:rsidRPr="00EE4D50">
        <w:rPr>
          <w:rFonts w:ascii="Verdana" w:hAnsi="Verdana" w:cs="Times New Roman"/>
          <w:b w:val="0"/>
          <w:color w:val="auto"/>
          <w:sz w:val="20"/>
          <w:szCs w:val="20"/>
        </w:rPr>
        <w:t xml:space="preserve">: Producción de </w:t>
      </w:r>
      <w:r w:rsidR="007B7AFB" w:rsidRPr="00EE4D50">
        <w:rPr>
          <w:rFonts w:ascii="Verdana" w:hAnsi="Verdana" w:cs="Times New Roman"/>
          <w:b w:val="0"/>
          <w:color w:val="auto"/>
          <w:sz w:val="20"/>
          <w:szCs w:val="20"/>
        </w:rPr>
        <w:t>vehículos</w:t>
      </w:r>
      <w:r w:rsidR="00BB07EF" w:rsidRPr="00EE4D50">
        <w:rPr>
          <w:rFonts w:ascii="Verdana" w:hAnsi="Verdana" w:cs="Times New Roman"/>
          <w:b w:val="0"/>
          <w:color w:val="auto"/>
          <w:sz w:val="20"/>
          <w:szCs w:val="20"/>
        </w:rPr>
        <w:t xml:space="preserve"> Aymesa</w:t>
      </w:r>
      <w:bookmarkEnd w:id="37"/>
    </w:p>
    <w:tbl>
      <w:tblPr>
        <w:tblW w:w="6604" w:type="dxa"/>
        <w:jc w:val="center"/>
        <w:tblInd w:w="-1320" w:type="dxa"/>
        <w:tblCellMar>
          <w:left w:w="70" w:type="dxa"/>
          <w:right w:w="70" w:type="dxa"/>
        </w:tblCellMar>
        <w:tblLook w:val="00A0" w:firstRow="1" w:lastRow="0" w:firstColumn="1" w:lastColumn="0" w:noHBand="0" w:noVBand="0"/>
      </w:tblPr>
      <w:tblGrid>
        <w:gridCol w:w="2443"/>
        <w:gridCol w:w="1994"/>
        <w:gridCol w:w="2167"/>
      </w:tblGrid>
      <w:tr w:rsidR="00BB07EF" w:rsidRPr="0019331A" w:rsidTr="00127364">
        <w:trPr>
          <w:trHeight w:val="484"/>
          <w:jc w:val="center"/>
        </w:trPr>
        <w:tc>
          <w:tcPr>
            <w:tcW w:w="2443" w:type="dxa"/>
            <w:tcBorders>
              <w:top w:val="single" w:sz="4" w:space="0" w:color="auto"/>
              <w:left w:val="single" w:sz="4" w:space="0" w:color="auto"/>
              <w:bottom w:val="single" w:sz="4" w:space="0" w:color="auto"/>
              <w:right w:val="single" w:sz="4" w:space="0" w:color="auto"/>
            </w:tcBorders>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AÑO</w:t>
            </w:r>
          </w:p>
        </w:tc>
        <w:tc>
          <w:tcPr>
            <w:tcW w:w="1994" w:type="dxa"/>
            <w:tcBorders>
              <w:top w:val="single" w:sz="4" w:space="0" w:color="auto"/>
              <w:left w:val="single" w:sz="4" w:space="0" w:color="auto"/>
              <w:bottom w:val="single" w:sz="4" w:space="0" w:color="auto"/>
              <w:right w:val="single" w:sz="4" w:space="0" w:color="auto"/>
            </w:tcBorders>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PRODUCCION (UNIDADES)</w:t>
            </w:r>
          </w:p>
        </w:tc>
        <w:tc>
          <w:tcPr>
            <w:tcW w:w="2167" w:type="dxa"/>
            <w:tcBorders>
              <w:top w:val="single" w:sz="4" w:space="0" w:color="auto"/>
              <w:left w:val="single" w:sz="4" w:space="0" w:color="auto"/>
              <w:bottom w:val="single" w:sz="4" w:space="0" w:color="auto"/>
              <w:right w:val="single" w:sz="4" w:space="0" w:color="auto"/>
            </w:tcBorders>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TASA DE CRECIMIENTO</w:t>
            </w:r>
          </w:p>
        </w:tc>
      </w:tr>
      <w:tr w:rsidR="00BB07EF" w:rsidRPr="0019331A" w:rsidTr="00127364">
        <w:trPr>
          <w:trHeight w:val="277"/>
          <w:jc w:val="center"/>
        </w:trPr>
        <w:tc>
          <w:tcPr>
            <w:tcW w:w="2443" w:type="dxa"/>
            <w:tcBorders>
              <w:top w:val="single" w:sz="4" w:space="0" w:color="auto"/>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1980</w:t>
            </w:r>
          </w:p>
        </w:tc>
        <w:tc>
          <w:tcPr>
            <w:tcW w:w="1994" w:type="dxa"/>
            <w:tcBorders>
              <w:top w:val="single" w:sz="4" w:space="0" w:color="auto"/>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1.900</w:t>
            </w:r>
          </w:p>
        </w:tc>
        <w:tc>
          <w:tcPr>
            <w:tcW w:w="2167" w:type="dxa"/>
            <w:tcBorders>
              <w:top w:val="single" w:sz="4" w:space="0" w:color="auto"/>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p>
        </w:tc>
      </w:tr>
      <w:tr w:rsidR="00BB07EF" w:rsidRPr="0019331A" w:rsidTr="00127364">
        <w:trPr>
          <w:trHeight w:val="277"/>
          <w:jc w:val="center"/>
        </w:trPr>
        <w:tc>
          <w:tcPr>
            <w:tcW w:w="2443"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1981</w:t>
            </w:r>
          </w:p>
        </w:tc>
        <w:tc>
          <w:tcPr>
            <w:tcW w:w="199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1.611</w:t>
            </w:r>
          </w:p>
        </w:tc>
        <w:tc>
          <w:tcPr>
            <w:tcW w:w="2167"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-15%</w:t>
            </w:r>
          </w:p>
        </w:tc>
      </w:tr>
      <w:tr w:rsidR="00BB07EF" w:rsidRPr="0019331A" w:rsidTr="00127364">
        <w:trPr>
          <w:trHeight w:val="277"/>
          <w:jc w:val="center"/>
        </w:trPr>
        <w:tc>
          <w:tcPr>
            <w:tcW w:w="2443"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1982</w:t>
            </w:r>
          </w:p>
        </w:tc>
        <w:tc>
          <w:tcPr>
            <w:tcW w:w="199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1.917</w:t>
            </w:r>
          </w:p>
        </w:tc>
        <w:tc>
          <w:tcPr>
            <w:tcW w:w="2167"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19%</w:t>
            </w:r>
          </w:p>
        </w:tc>
      </w:tr>
      <w:tr w:rsidR="00BB07EF" w:rsidRPr="0019331A" w:rsidTr="00127364">
        <w:trPr>
          <w:trHeight w:val="277"/>
          <w:jc w:val="center"/>
        </w:trPr>
        <w:tc>
          <w:tcPr>
            <w:tcW w:w="2443"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1983</w:t>
            </w:r>
          </w:p>
        </w:tc>
        <w:tc>
          <w:tcPr>
            <w:tcW w:w="199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1.539</w:t>
            </w:r>
          </w:p>
        </w:tc>
        <w:tc>
          <w:tcPr>
            <w:tcW w:w="2167"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-20%</w:t>
            </w:r>
          </w:p>
        </w:tc>
      </w:tr>
      <w:tr w:rsidR="00BB07EF" w:rsidRPr="0019331A" w:rsidTr="00127364">
        <w:trPr>
          <w:trHeight w:val="277"/>
          <w:jc w:val="center"/>
        </w:trPr>
        <w:tc>
          <w:tcPr>
            <w:tcW w:w="2443"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1984</w:t>
            </w:r>
          </w:p>
        </w:tc>
        <w:tc>
          <w:tcPr>
            <w:tcW w:w="199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2177</w:t>
            </w:r>
          </w:p>
        </w:tc>
        <w:tc>
          <w:tcPr>
            <w:tcW w:w="2167"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41%</w:t>
            </w:r>
          </w:p>
        </w:tc>
      </w:tr>
      <w:tr w:rsidR="00BB07EF" w:rsidRPr="0019331A" w:rsidTr="00127364">
        <w:trPr>
          <w:trHeight w:val="277"/>
          <w:jc w:val="center"/>
        </w:trPr>
        <w:tc>
          <w:tcPr>
            <w:tcW w:w="2443"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1985</w:t>
            </w:r>
          </w:p>
        </w:tc>
        <w:tc>
          <w:tcPr>
            <w:tcW w:w="199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2499</w:t>
            </w:r>
          </w:p>
        </w:tc>
        <w:tc>
          <w:tcPr>
            <w:tcW w:w="2167"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15%</w:t>
            </w:r>
          </w:p>
        </w:tc>
      </w:tr>
      <w:tr w:rsidR="00BB07EF" w:rsidRPr="0019331A" w:rsidTr="00127364">
        <w:trPr>
          <w:trHeight w:val="277"/>
          <w:jc w:val="center"/>
        </w:trPr>
        <w:tc>
          <w:tcPr>
            <w:tcW w:w="2443"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1986</w:t>
            </w:r>
          </w:p>
        </w:tc>
        <w:tc>
          <w:tcPr>
            <w:tcW w:w="199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3226</w:t>
            </w:r>
          </w:p>
        </w:tc>
        <w:tc>
          <w:tcPr>
            <w:tcW w:w="2167"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29%</w:t>
            </w:r>
          </w:p>
        </w:tc>
      </w:tr>
      <w:tr w:rsidR="00BB07EF" w:rsidRPr="0019331A" w:rsidTr="00127364">
        <w:trPr>
          <w:trHeight w:val="277"/>
          <w:jc w:val="center"/>
        </w:trPr>
        <w:tc>
          <w:tcPr>
            <w:tcW w:w="2443"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1987</w:t>
            </w:r>
          </w:p>
        </w:tc>
        <w:tc>
          <w:tcPr>
            <w:tcW w:w="199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3.003</w:t>
            </w:r>
          </w:p>
        </w:tc>
        <w:tc>
          <w:tcPr>
            <w:tcW w:w="2167"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-7%</w:t>
            </w:r>
          </w:p>
        </w:tc>
      </w:tr>
      <w:tr w:rsidR="00BB07EF" w:rsidRPr="0019331A" w:rsidTr="00127364">
        <w:trPr>
          <w:trHeight w:val="277"/>
          <w:jc w:val="center"/>
        </w:trPr>
        <w:tc>
          <w:tcPr>
            <w:tcW w:w="2443"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1988</w:t>
            </w:r>
          </w:p>
        </w:tc>
        <w:tc>
          <w:tcPr>
            <w:tcW w:w="199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4118</w:t>
            </w:r>
          </w:p>
        </w:tc>
        <w:tc>
          <w:tcPr>
            <w:tcW w:w="2167"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37%</w:t>
            </w:r>
          </w:p>
        </w:tc>
      </w:tr>
      <w:tr w:rsidR="00BB07EF" w:rsidRPr="0019331A" w:rsidTr="00127364">
        <w:trPr>
          <w:trHeight w:val="277"/>
          <w:jc w:val="center"/>
        </w:trPr>
        <w:tc>
          <w:tcPr>
            <w:tcW w:w="2443"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1989</w:t>
            </w:r>
          </w:p>
        </w:tc>
        <w:tc>
          <w:tcPr>
            <w:tcW w:w="199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4792</w:t>
            </w:r>
          </w:p>
        </w:tc>
        <w:tc>
          <w:tcPr>
            <w:tcW w:w="2167"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16%</w:t>
            </w:r>
          </w:p>
        </w:tc>
      </w:tr>
      <w:tr w:rsidR="00BB07EF" w:rsidRPr="0019331A" w:rsidTr="00127364">
        <w:trPr>
          <w:trHeight w:val="277"/>
          <w:jc w:val="center"/>
        </w:trPr>
        <w:tc>
          <w:tcPr>
            <w:tcW w:w="2443"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1990</w:t>
            </w:r>
          </w:p>
        </w:tc>
        <w:tc>
          <w:tcPr>
            <w:tcW w:w="199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5772</w:t>
            </w:r>
          </w:p>
        </w:tc>
        <w:tc>
          <w:tcPr>
            <w:tcW w:w="2167"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20%</w:t>
            </w:r>
          </w:p>
        </w:tc>
      </w:tr>
      <w:tr w:rsidR="00BB07EF" w:rsidRPr="0019331A" w:rsidTr="00127364">
        <w:trPr>
          <w:trHeight w:val="277"/>
          <w:jc w:val="center"/>
        </w:trPr>
        <w:tc>
          <w:tcPr>
            <w:tcW w:w="2443"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1991</w:t>
            </w:r>
          </w:p>
        </w:tc>
        <w:tc>
          <w:tcPr>
            <w:tcW w:w="199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6823</w:t>
            </w:r>
          </w:p>
        </w:tc>
        <w:tc>
          <w:tcPr>
            <w:tcW w:w="2167"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18%</w:t>
            </w:r>
          </w:p>
        </w:tc>
      </w:tr>
      <w:tr w:rsidR="00BB07EF" w:rsidRPr="0019331A" w:rsidTr="00127364">
        <w:trPr>
          <w:trHeight w:val="277"/>
          <w:jc w:val="center"/>
        </w:trPr>
        <w:tc>
          <w:tcPr>
            <w:tcW w:w="2443"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1992</w:t>
            </w:r>
          </w:p>
        </w:tc>
        <w:tc>
          <w:tcPr>
            <w:tcW w:w="199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7377</w:t>
            </w:r>
          </w:p>
        </w:tc>
        <w:tc>
          <w:tcPr>
            <w:tcW w:w="2167"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8%</w:t>
            </w:r>
          </w:p>
        </w:tc>
      </w:tr>
      <w:tr w:rsidR="00BB07EF" w:rsidRPr="0019331A" w:rsidTr="00127364">
        <w:trPr>
          <w:trHeight w:val="277"/>
          <w:jc w:val="center"/>
        </w:trPr>
        <w:tc>
          <w:tcPr>
            <w:tcW w:w="2443"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1993</w:t>
            </w:r>
          </w:p>
        </w:tc>
        <w:tc>
          <w:tcPr>
            <w:tcW w:w="199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7465</w:t>
            </w:r>
          </w:p>
        </w:tc>
        <w:tc>
          <w:tcPr>
            <w:tcW w:w="2167"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w:t>
            </w:r>
          </w:p>
        </w:tc>
      </w:tr>
      <w:tr w:rsidR="00BB07EF" w:rsidRPr="0019331A" w:rsidTr="00127364">
        <w:trPr>
          <w:trHeight w:val="277"/>
          <w:jc w:val="center"/>
        </w:trPr>
        <w:tc>
          <w:tcPr>
            <w:tcW w:w="2443"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1994</w:t>
            </w:r>
          </w:p>
        </w:tc>
        <w:tc>
          <w:tcPr>
            <w:tcW w:w="199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9322</w:t>
            </w:r>
          </w:p>
        </w:tc>
        <w:tc>
          <w:tcPr>
            <w:tcW w:w="2167"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25%</w:t>
            </w:r>
          </w:p>
        </w:tc>
      </w:tr>
      <w:tr w:rsidR="00BB07EF" w:rsidRPr="0019331A" w:rsidTr="00127364">
        <w:trPr>
          <w:trHeight w:val="277"/>
          <w:jc w:val="center"/>
        </w:trPr>
        <w:tc>
          <w:tcPr>
            <w:tcW w:w="2443"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1997</w:t>
            </w:r>
          </w:p>
        </w:tc>
        <w:tc>
          <w:tcPr>
            <w:tcW w:w="199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7369</w:t>
            </w:r>
          </w:p>
        </w:tc>
        <w:tc>
          <w:tcPr>
            <w:tcW w:w="2167"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-21%</w:t>
            </w:r>
          </w:p>
        </w:tc>
      </w:tr>
      <w:tr w:rsidR="00BB07EF" w:rsidRPr="0019331A" w:rsidTr="00127364">
        <w:trPr>
          <w:trHeight w:val="277"/>
          <w:jc w:val="center"/>
        </w:trPr>
        <w:tc>
          <w:tcPr>
            <w:tcW w:w="2443"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1998</w:t>
            </w:r>
          </w:p>
        </w:tc>
        <w:tc>
          <w:tcPr>
            <w:tcW w:w="199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4814</w:t>
            </w:r>
          </w:p>
        </w:tc>
        <w:tc>
          <w:tcPr>
            <w:tcW w:w="2167"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-35%</w:t>
            </w:r>
          </w:p>
        </w:tc>
      </w:tr>
      <w:tr w:rsidR="00BB07EF" w:rsidRPr="0019331A" w:rsidTr="00127364">
        <w:trPr>
          <w:trHeight w:val="277"/>
          <w:jc w:val="center"/>
        </w:trPr>
        <w:tc>
          <w:tcPr>
            <w:tcW w:w="2443"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1999</w:t>
            </w:r>
          </w:p>
        </w:tc>
        <w:tc>
          <w:tcPr>
            <w:tcW w:w="199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2186</w:t>
            </w:r>
          </w:p>
        </w:tc>
        <w:tc>
          <w:tcPr>
            <w:tcW w:w="2167"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-55%</w:t>
            </w:r>
          </w:p>
        </w:tc>
      </w:tr>
      <w:tr w:rsidR="00BB07EF" w:rsidRPr="0019331A" w:rsidTr="00127364">
        <w:trPr>
          <w:trHeight w:val="277"/>
          <w:jc w:val="center"/>
        </w:trPr>
        <w:tc>
          <w:tcPr>
            <w:tcW w:w="2443"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2000</w:t>
            </w:r>
          </w:p>
        </w:tc>
        <w:tc>
          <w:tcPr>
            <w:tcW w:w="199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147</w:t>
            </w:r>
          </w:p>
        </w:tc>
        <w:tc>
          <w:tcPr>
            <w:tcW w:w="2167"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-0,93</w:t>
            </w:r>
          </w:p>
        </w:tc>
      </w:tr>
      <w:tr w:rsidR="00BB07EF" w:rsidRPr="0019331A" w:rsidTr="00127364">
        <w:trPr>
          <w:trHeight w:val="277"/>
          <w:jc w:val="center"/>
        </w:trPr>
        <w:tc>
          <w:tcPr>
            <w:tcW w:w="2443"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2001</w:t>
            </w:r>
          </w:p>
        </w:tc>
        <w:tc>
          <w:tcPr>
            <w:tcW w:w="199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2636</w:t>
            </w:r>
          </w:p>
        </w:tc>
        <w:tc>
          <w:tcPr>
            <w:tcW w:w="2167"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16,93</w:t>
            </w:r>
          </w:p>
        </w:tc>
      </w:tr>
      <w:tr w:rsidR="00BB07EF" w:rsidRPr="0019331A" w:rsidTr="00127364">
        <w:trPr>
          <w:trHeight w:val="277"/>
          <w:jc w:val="center"/>
        </w:trPr>
        <w:tc>
          <w:tcPr>
            <w:tcW w:w="2443"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2002</w:t>
            </w:r>
          </w:p>
        </w:tc>
        <w:tc>
          <w:tcPr>
            <w:tcW w:w="199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1980</w:t>
            </w:r>
          </w:p>
        </w:tc>
        <w:tc>
          <w:tcPr>
            <w:tcW w:w="2167"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8"/>
                <w:szCs w:val="20"/>
                <w:lang w:eastAsia="es-EC"/>
              </w:rPr>
            </w:pPr>
            <w:r w:rsidRPr="0019331A">
              <w:rPr>
                <w:rFonts w:ascii="Verdana" w:hAnsi="Verdana" w:cs="Times New Roman"/>
                <w:color w:val="000000"/>
                <w:sz w:val="18"/>
                <w:szCs w:val="20"/>
                <w:lang w:eastAsia="es-EC"/>
              </w:rPr>
              <w:t>-0,25</w:t>
            </w:r>
          </w:p>
        </w:tc>
      </w:tr>
    </w:tbl>
    <w:p w:rsidR="00BB07EF" w:rsidRPr="00EE4D50" w:rsidRDefault="0054358A" w:rsidP="00EC63DA">
      <w:pPr>
        <w:spacing w:after="0" w:line="240" w:lineRule="auto"/>
        <w:rPr>
          <w:rFonts w:ascii="Verdana" w:hAnsi="Verdana" w:cs="Times New Roman"/>
          <w:sz w:val="20"/>
        </w:rPr>
      </w:pPr>
      <w:r w:rsidRPr="00EE4D50">
        <w:rPr>
          <w:rFonts w:ascii="Verdana" w:hAnsi="Verdana" w:cs="Times New Roman"/>
          <w:bCs/>
        </w:rPr>
        <w:t xml:space="preserve">   </w:t>
      </w:r>
      <w:r w:rsidR="00127364">
        <w:rPr>
          <w:rFonts w:ascii="Verdana" w:hAnsi="Verdana" w:cs="Times New Roman"/>
          <w:bCs/>
        </w:rPr>
        <w:t xml:space="preserve">             </w:t>
      </w:r>
      <w:r w:rsidR="00337B4C" w:rsidRPr="00EE4D50">
        <w:rPr>
          <w:rFonts w:ascii="Verdana" w:hAnsi="Verdana" w:cs="Times New Roman"/>
          <w:bCs/>
          <w:sz w:val="20"/>
        </w:rPr>
        <w:t>Fuentes:</w:t>
      </w:r>
      <w:r w:rsidR="00337B4C" w:rsidRPr="00EE4D50">
        <w:rPr>
          <w:rFonts w:ascii="Verdana" w:hAnsi="Verdana" w:cs="Times New Roman"/>
          <w:sz w:val="20"/>
        </w:rPr>
        <w:t xml:space="preserve"> *1988-1994:</w:t>
      </w:r>
      <w:r w:rsidR="00337B4C">
        <w:rPr>
          <w:rFonts w:ascii="Verdana" w:hAnsi="Verdana" w:cs="Times New Roman"/>
          <w:sz w:val="20"/>
        </w:rPr>
        <w:t xml:space="preserve"> </w:t>
      </w:r>
      <w:r w:rsidR="00337B4C" w:rsidRPr="00EE4D50">
        <w:rPr>
          <w:rFonts w:ascii="Verdana" w:hAnsi="Verdana" w:cs="Times New Roman"/>
          <w:sz w:val="20"/>
        </w:rPr>
        <w:t>Kleparnik (1996) **1995- 2002:</w:t>
      </w:r>
      <w:r w:rsidR="00337B4C">
        <w:rPr>
          <w:rFonts w:ascii="Verdana" w:hAnsi="Verdana" w:cs="Times New Roman"/>
          <w:sz w:val="20"/>
        </w:rPr>
        <w:t xml:space="preserve"> </w:t>
      </w:r>
      <w:r w:rsidR="00337B4C" w:rsidRPr="00EE4D50">
        <w:rPr>
          <w:rFonts w:ascii="Verdana" w:hAnsi="Verdana" w:cs="Times New Roman"/>
          <w:sz w:val="20"/>
        </w:rPr>
        <w:t>Hidrobo (2004)</w:t>
      </w:r>
    </w:p>
    <w:p w:rsidR="00BB07EF" w:rsidRPr="00EE4D50" w:rsidRDefault="0054358A" w:rsidP="00EC63DA">
      <w:pPr>
        <w:spacing w:after="0" w:line="240" w:lineRule="auto"/>
        <w:jc w:val="both"/>
        <w:rPr>
          <w:rFonts w:ascii="Verdana" w:hAnsi="Verdana" w:cs="Times New Roman"/>
          <w:sz w:val="20"/>
        </w:rPr>
      </w:pPr>
      <w:r w:rsidRPr="00EE4D50">
        <w:rPr>
          <w:rFonts w:ascii="Verdana" w:hAnsi="Verdana" w:cs="Times New Roman"/>
          <w:bCs/>
          <w:sz w:val="20"/>
        </w:rPr>
        <w:t xml:space="preserve">     </w:t>
      </w:r>
      <w:r w:rsidR="00127364">
        <w:rPr>
          <w:rFonts w:ascii="Verdana" w:hAnsi="Verdana" w:cs="Times New Roman"/>
          <w:bCs/>
          <w:sz w:val="20"/>
        </w:rPr>
        <w:t xml:space="preserve">           </w:t>
      </w:r>
      <w:r w:rsidR="00BB07EF" w:rsidRPr="00EE4D50">
        <w:rPr>
          <w:rFonts w:ascii="Verdana" w:hAnsi="Verdana" w:cs="Times New Roman"/>
          <w:bCs/>
          <w:sz w:val="20"/>
        </w:rPr>
        <w:t>Elaboración:</w:t>
      </w:r>
      <w:r w:rsidR="00BB07EF" w:rsidRPr="00EE4D50">
        <w:rPr>
          <w:rFonts w:ascii="Verdana" w:hAnsi="Verdana" w:cs="Times New Roman"/>
          <w:sz w:val="20"/>
        </w:rPr>
        <w:t xml:space="preserve"> Autor</w:t>
      </w:r>
      <w:r w:rsidR="00FE2D4A">
        <w:rPr>
          <w:rFonts w:ascii="Verdana" w:hAnsi="Verdana" w:cs="Times New Roman"/>
          <w:sz w:val="20"/>
        </w:rPr>
        <w:t>a</w:t>
      </w:r>
    </w:p>
    <w:p w:rsidR="00BB07EF" w:rsidRPr="00EE4D50" w:rsidRDefault="00BB07EF" w:rsidP="00EC63DA">
      <w:pPr>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Aymesa a partir de 1980 con sus estaciones de soldaduras produjo 1.900 unidades, y aumentó en los años siguientes, para 1988 su producción se duplicó por la gran acogida de la demanda. La tasa de variación de crecimiento fue en 1988 con respecto a 1980 fue 116,7%. Como se puede observar en la tabla anterior Aymesa no ha tenido en esos años crecimientos constantes, sino sub</w:t>
      </w:r>
      <w:r w:rsidR="001A51BB" w:rsidRPr="00EE4D50">
        <w:rPr>
          <w:rFonts w:ascii="Verdana" w:hAnsi="Verdana" w:cs="Times New Roman"/>
        </w:rPr>
        <w:t>idas y bajadas de su producción.</w:t>
      </w:r>
    </w:p>
    <w:p w:rsidR="001A51BB" w:rsidRPr="00EE4D50" w:rsidRDefault="001A51BB" w:rsidP="00EC63DA">
      <w:pPr>
        <w:spacing w:after="60"/>
        <w:jc w:val="both"/>
        <w:rPr>
          <w:rFonts w:ascii="Verdana" w:hAnsi="Verdana" w:cs="Times New Roman"/>
        </w:rPr>
      </w:pPr>
    </w:p>
    <w:p w:rsidR="00BB07EF" w:rsidRPr="00EE4D50" w:rsidRDefault="00BB07EF" w:rsidP="00EC63DA">
      <w:pPr>
        <w:jc w:val="both"/>
        <w:rPr>
          <w:rFonts w:ascii="Verdana" w:hAnsi="Verdana" w:cs="Times New Roman"/>
        </w:rPr>
      </w:pPr>
      <w:r w:rsidRPr="00EE4D50">
        <w:rPr>
          <w:rFonts w:ascii="Verdana" w:hAnsi="Verdana" w:cs="Times New Roman"/>
        </w:rPr>
        <w:t>En 1994 Aymesa obtuvo las mejores ventas desde su creación con 9.322 unidades, donde empezó a innovar con tecnología de punta. Desde 1997 las ventas sufrieron una disminución considerable, hasta que en el 2000 llegó a cantidades preocupantes de 147 unidades producidas, esto junto a la desconfianza en las entidades bancarias en aquel momento. En fin, se puede observar la capacidad que tiene la empresa para adaptarse a los cambios que han ocurrido con el pasar del tiempo.</w:t>
      </w:r>
    </w:p>
    <w:p w:rsidR="005F5350" w:rsidRDefault="005F5350" w:rsidP="00EC63DA">
      <w:pPr>
        <w:rPr>
          <w:rFonts w:ascii="Verdana" w:hAnsi="Verdana" w:cs="Times New Roman"/>
        </w:rPr>
      </w:pPr>
      <w:bookmarkStart w:id="38" w:name="_Toc459992042"/>
    </w:p>
    <w:p w:rsidR="00B160A0" w:rsidRPr="00EE4D50" w:rsidRDefault="00B160A0" w:rsidP="00EC63DA">
      <w:pPr>
        <w:rPr>
          <w:rFonts w:ascii="Verdana" w:hAnsi="Verdana" w:cs="Times New Roman"/>
        </w:rPr>
      </w:pPr>
    </w:p>
    <w:p w:rsidR="00BB07EF" w:rsidRPr="00EE4D50" w:rsidRDefault="00BB07EF" w:rsidP="00EC63DA">
      <w:pPr>
        <w:pStyle w:val="Ttulo3"/>
        <w:rPr>
          <w:rFonts w:ascii="Verdana" w:hAnsi="Verdana" w:cs="Times New Roman"/>
          <w:i/>
          <w:color w:val="auto"/>
          <w:sz w:val="28"/>
        </w:rPr>
      </w:pPr>
      <w:bookmarkStart w:id="39" w:name="_Toc485137204"/>
      <w:r w:rsidRPr="00EE4D50">
        <w:rPr>
          <w:rFonts w:ascii="Verdana" w:hAnsi="Verdana" w:cs="Times New Roman"/>
          <w:i/>
          <w:color w:val="auto"/>
          <w:sz w:val="28"/>
        </w:rPr>
        <w:lastRenderedPageBreak/>
        <w:t>Omnibus BB</w:t>
      </w:r>
      <w:bookmarkEnd w:id="38"/>
      <w:bookmarkEnd w:id="39"/>
    </w:p>
    <w:p w:rsidR="00BB07EF" w:rsidRPr="00EE4D50" w:rsidRDefault="00BB07EF" w:rsidP="00EC63DA">
      <w:pPr>
        <w:jc w:val="both"/>
        <w:rPr>
          <w:rFonts w:ascii="Verdana" w:hAnsi="Verdana" w:cs="Times New Roman"/>
        </w:rPr>
      </w:pPr>
    </w:p>
    <w:p w:rsidR="00BB07EF" w:rsidRPr="00EE4D50" w:rsidRDefault="00536A2E" w:rsidP="00EC63DA">
      <w:pPr>
        <w:pStyle w:val="Epgrafe"/>
        <w:spacing w:after="0"/>
        <w:rPr>
          <w:rFonts w:ascii="Verdana" w:hAnsi="Verdana" w:cs="Times New Roman"/>
          <w:b w:val="0"/>
          <w:color w:val="auto"/>
          <w:sz w:val="20"/>
          <w:szCs w:val="20"/>
          <w:lang w:val="pt-BR"/>
        </w:rPr>
      </w:pPr>
      <w:bookmarkStart w:id="40" w:name="_Toc473640031"/>
      <w:r w:rsidRPr="00EE4D50">
        <w:rPr>
          <w:rFonts w:ascii="Verdana" w:hAnsi="Verdana" w:cs="Times New Roman"/>
          <w:color w:val="auto"/>
          <w:sz w:val="20"/>
          <w:szCs w:val="20"/>
        </w:rPr>
        <w:t xml:space="preserve">Figura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Figura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6</w:t>
      </w:r>
      <w:r w:rsidRPr="00EE4D50">
        <w:rPr>
          <w:rFonts w:ascii="Verdana" w:hAnsi="Verdana" w:cs="Times New Roman"/>
          <w:color w:val="auto"/>
          <w:sz w:val="20"/>
          <w:szCs w:val="20"/>
        </w:rPr>
        <w:fldChar w:fldCharType="end"/>
      </w:r>
      <w:r w:rsidR="00BB07EF" w:rsidRPr="00EE4D50">
        <w:rPr>
          <w:rFonts w:ascii="Verdana" w:hAnsi="Verdana" w:cs="Times New Roman"/>
          <w:b w:val="0"/>
          <w:color w:val="auto"/>
          <w:sz w:val="20"/>
          <w:szCs w:val="20"/>
          <w:lang w:val="pt-BR"/>
        </w:rPr>
        <w:t>: Logotipo de Omnibus BB</w:t>
      </w:r>
      <w:bookmarkEnd w:id="40"/>
    </w:p>
    <w:p w:rsidR="00BB07EF" w:rsidRPr="00EE4D50" w:rsidRDefault="00BB07EF" w:rsidP="00EC63DA">
      <w:pPr>
        <w:spacing w:after="0" w:line="240" w:lineRule="auto"/>
        <w:jc w:val="both"/>
        <w:rPr>
          <w:rFonts w:ascii="Verdana" w:hAnsi="Verdana" w:cs="Times New Roman"/>
        </w:rPr>
      </w:pPr>
      <w:r w:rsidRPr="00EE4D50">
        <w:rPr>
          <w:rFonts w:ascii="Verdana" w:hAnsi="Verdana" w:cs="Times New Roman"/>
          <w:noProof/>
          <w:lang w:eastAsia="es-EC"/>
        </w:rPr>
        <w:drawing>
          <wp:inline distT="0" distB="0" distL="0" distR="0" wp14:anchorId="3A7C9373" wp14:editId="583175B9">
            <wp:extent cx="2324100" cy="1438275"/>
            <wp:effectExtent l="19050" t="19050" r="19050" b="28575"/>
            <wp:docPr id="6" name="Imagen 10" descr="https://upload.wikimedia.org/wikipedia/commons/thumb/9/98/Logo_gm_obb.jpg/245px-Logo_gm_ob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https://upload.wikimedia.org/wikipedia/commons/thumb/9/98/Logo_gm_obb.jpg/245px-Logo_gm_obb.jpg"/>
                    <pic:cNvPicPr>
                      <a:picLocks noChangeAspect="1" noChangeArrowheads="1"/>
                    </pic:cNvPicPr>
                  </pic:nvPicPr>
                  <pic:blipFill>
                    <a:blip r:embed="rId15">
                      <a:extLst>
                        <a:ext uri="{28A0092B-C50C-407E-A947-70E740481C1C}">
                          <a14:useLocalDpi xmlns:a14="http://schemas.microsoft.com/office/drawing/2010/main" val="0"/>
                        </a:ext>
                      </a:extLst>
                    </a:blip>
                    <a:srcRect t="4776"/>
                    <a:stretch>
                      <a:fillRect/>
                    </a:stretch>
                  </pic:blipFill>
                  <pic:spPr bwMode="auto">
                    <a:xfrm>
                      <a:off x="0" y="0"/>
                      <a:ext cx="2324100" cy="1438275"/>
                    </a:xfrm>
                    <a:prstGeom prst="rect">
                      <a:avLst/>
                    </a:prstGeom>
                    <a:noFill/>
                    <a:ln w="9525" cmpd="sng">
                      <a:solidFill>
                        <a:srgbClr val="000000"/>
                      </a:solidFill>
                      <a:miter lim="800000"/>
                      <a:headEnd/>
                      <a:tailEnd/>
                    </a:ln>
                    <a:effectLst/>
                  </pic:spPr>
                </pic:pic>
              </a:graphicData>
            </a:graphic>
          </wp:inline>
        </w:drawing>
      </w:r>
    </w:p>
    <w:p w:rsidR="00BB07EF" w:rsidRPr="00EE4D50" w:rsidRDefault="0054358A" w:rsidP="00EC63DA">
      <w:pPr>
        <w:spacing w:after="0" w:line="240" w:lineRule="auto"/>
        <w:jc w:val="both"/>
        <w:rPr>
          <w:rFonts w:ascii="Verdana" w:hAnsi="Verdana" w:cs="Times New Roman"/>
          <w:sz w:val="20"/>
        </w:rPr>
      </w:pPr>
      <w:r w:rsidRPr="00EE4D50">
        <w:rPr>
          <w:rFonts w:ascii="Verdana" w:hAnsi="Verdana" w:cs="Times New Roman"/>
          <w:bCs/>
          <w:sz w:val="20"/>
        </w:rPr>
        <w:t xml:space="preserve">Fuente: </w:t>
      </w:r>
      <w:r w:rsidR="00BB07EF" w:rsidRPr="00EE4D50">
        <w:rPr>
          <w:rFonts w:ascii="Verdana" w:hAnsi="Verdana" w:cs="Times New Roman"/>
          <w:sz w:val="20"/>
        </w:rPr>
        <w:t>https://www.gmobb.ec/contactos/</w:t>
      </w:r>
    </w:p>
    <w:p w:rsidR="00BB07EF" w:rsidRPr="00EE4D50" w:rsidRDefault="00BB07EF" w:rsidP="00EC63DA">
      <w:pPr>
        <w:jc w:val="both"/>
        <w:rPr>
          <w:rFonts w:ascii="Verdana" w:hAnsi="Verdana" w:cs="Times New Roman"/>
        </w:rPr>
      </w:pPr>
    </w:p>
    <w:p w:rsidR="00BB07EF" w:rsidRPr="00EE4D50" w:rsidRDefault="00BB07EF" w:rsidP="00EC63DA">
      <w:pPr>
        <w:jc w:val="both"/>
        <w:rPr>
          <w:rFonts w:ascii="Verdana" w:hAnsi="Verdana" w:cs="Times New Roman"/>
        </w:rPr>
      </w:pPr>
      <w:r w:rsidRPr="00EE4D50">
        <w:rPr>
          <w:rFonts w:ascii="Verdana" w:hAnsi="Verdana" w:cs="Times New Roman"/>
          <w:b/>
          <w:bCs/>
        </w:rPr>
        <w:t>DIRECCIÓN:</w:t>
      </w:r>
      <w:r w:rsidR="001F10CC" w:rsidRPr="00EE4D50">
        <w:rPr>
          <w:rFonts w:ascii="Verdana" w:hAnsi="Verdana" w:cs="Times New Roman"/>
          <w:b/>
          <w:bCs/>
        </w:rPr>
        <w:t xml:space="preserve"> </w:t>
      </w:r>
      <w:r w:rsidRPr="00EE4D50">
        <w:rPr>
          <w:rFonts w:ascii="Verdana" w:hAnsi="Verdana" w:cs="Times New Roman"/>
        </w:rPr>
        <w:t>A</w:t>
      </w:r>
      <w:r w:rsidR="009B02A6" w:rsidRPr="00EE4D50">
        <w:rPr>
          <w:rFonts w:ascii="Verdana" w:hAnsi="Verdana" w:cs="Times New Roman"/>
        </w:rPr>
        <w:t>v</w:t>
      </w:r>
      <w:r w:rsidRPr="00EE4D50">
        <w:rPr>
          <w:rFonts w:ascii="Verdana" w:hAnsi="Verdana" w:cs="Times New Roman"/>
        </w:rPr>
        <w:t>. G</w:t>
      </w:r>
      <w:r w:rsidR="009B02A6" w:rsidRPr="00EE4D50">
        <w:rPr>
          <w:rFonts w:ascii="Verdana" w:hAnsi="Verdana" w:cs="Times New Roman"/>
        </w:rPr>
        <w:t>alo</w:t>
      </w:r>
      <w:r w:rsidRPr="00EE4D50">
        <w:rPr>
          <w:rFonts w:ascii="Verdana" w:hAnsi="Verdana" w:cs="Times New Roman"/>
        </w:rPr>
        <w:t xml:space="preserve"> P</w:t>
      </w:r>
      <w:r w:rsidR="009B02A6" w:rsidRPr="00EE4D50">
        <w:rPr>
          <w:rFonts w:ascii="Verdana" w:hAnsi="Verdana" w:cs="Times New Roman"/>
        </w:rPr>
        <w:t>laza</w:t>
      </w:r>
      <w:r w:rsidRPr="00EE4D50">
        <w:rPr>
          <w:rFonts w:ascii="Verdana" w:hAnsi="Verdana" w:cs="Times New Roman"/>
        </w:rPr>
        <w:t xml:space="preserve"> L</w:t>
      </w:r>
      <w:r w:rsidR="009B02A6" w:rsidRPr="00EE4D50">
        <w:rPr>
          <w:rFonts w:ascii="Verdana" w:hAnsi="Verdana" w:cs="Times New Roman"/>
        </w:rPr>
        <w:t>asso</w:t>
      </w:r>
      <w:r w:rsidRPr="00EE4D50">
        <w:rPr>
          <w:rFonts w:ascii="Verdana" w:hAnsi="Verdana" w:cs="Times New Roman"/>
        </w:rPr>
        <w:t xml:space="preserve"> #OE1-34 Y E</w:t>
      </w:r>
      <w:r w:rsidR="009B02A6" w:rsidRPr="00EE4D50">
        <w:rPr>
          <w:rFonts w:ascii="Verdana" w:hAnsi="Verdana" w:cs="Times New Roman"/>
        </w:rPr>
        <w:t>nrique</w:t>
      </w:r>
      <w:r w:rsidRPr="00EE4D50">
        <w:rPr>
          <w:rFonts w:ascii="Verdana" w:hAnsi="Verdana" w:cs="Times New Roman"/>
        </w:rPr>
        <w:t xml:space="preserve"> G</w:t>
      </w:r>
      <w:r w:rsidR="009B02A6" w:rsidRPr="00EE4D50">
        <w:rPr>
          <w:rFonts w:ascii="Verdana" w:hAnsi="Verdana" w:cs="Times New Roman"/>
        </w:rPr>
        <w:t>uerrero</w:t>
      </w:r>
      <w:r w:rsidRPr="00EE4D50">
        <w:rPr>
          <w:rFonts w:ascii="Verdana" w:hAnsi="Verdana" w:cs="Times New Roman"/>
        </w:rPr>
        <w:t xml:space="preserve"> P</w:t>
      </w:r>
      <w:r w:rsidR="009B02A6" w:rsidRPr="00EE4D50">
        <w:rPr>
          <w:rFonts w:ascii="Verdana" w:hAnsi="Verdana" w:cs="Times New Roman"/>
        </w:rPr>
        <w:t>ortilla</w:t>
      </w:r>
      <w:r w:rsidRPr="00EE4D50">
        <w:rPr>
          <w:rFonts w:ascii="Verdana" w:hAnsi="Verdana" w:cs="Times New Roman"/>
        </w:rPr>
        <w:t>.</w:t>
      </w:r>
    </w:p>
    <w:p w:rsidR="009B02A6" w:rsidRPr="00EE4D50" w:rsidRDefault="009B02A6" w:rsidP="00EC63DA">
      <w:pPr>
        <w:jc w:val="both"/>
        <w:rPr>
          <w:rFonts w:ascii="Verdana" w:hAnsi="Verdana" w:cs="Times New Roman"/>
          <w:b/>
        </w:rPr>
      </w:pPr>
    </w:p>
    <w:p w:rsidR="00BB07EF" w:rsidRPr="00EE4D50" w:rsidRDefault="00536A2E" w:rsidP="00EC63DA">
      <w:pPr>
        <w:pStyle w:val="Epgrafe"/>
        <w:spacing w:after="0"/>
        <w:jc w:val="center"/>
        <w:rPr>
          <w:rFonts w:ascii="Verdana" w:hAnsi="Verdana" w:cs="Times New Roman"/>
        </w:rPr>
      </w:pPr>
      <w:bookmarkStart w:id="41" w:name="_Toc473640032"/>
      <w:r w:rsidRPr="00EE4D50">
        <w:rPr>
          <w:rFonts w:ascii="Verdana" w:hAnsi="Verdana" w:cs="Times New Roman"/>
          <w:color w:val="auto"/>
          <w:sz w:val="20"/>
          <w:szCs w:val="20"/>
        </w:rPr>
        <w:t xml:space="preserve">Figura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Figura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7</w:t>
      </w:r>
      <w:r w:rsidRPr="00EE4D50">
        <w:rPr>
          <w:rFonts w:ascii="Verdana" w:hAnsi="Verdana" w:cs="Times New Roman"/>
          <w:color w:val="auto"/>
          <w:sz w:val="20"/>
          <w:szCs w:val="20"/>
        </w:rPr>
        <w:fldChar w:fldCharType="end"/>
      </w:r>
      <w:r w:rsidR="00BB07EF" w:rsidRPr="00EE4D50">
        <w:rPr>
          <w:rFonts w:ascii="Verdana" w:hAnsi="Verdana" w:cs="Times New Roman"/>
          <w:b w:val="0"/>
          <w:color w:val="auto"/>
          <w:sz w:val="20"/>
          <w:szCs w:val="20"/>
        </w:rPr>
        <w:t xml:space="preserve">: Ubicación geográfica de la </w:t>
      </w:r>
      <w:r w:rsidR="001F10CC" w:rsidRPr="00EE4D50">
        <w:rPr>
          <w:rFonts w:ascii="Verdana" w:hAnsi="Verdana" w:cs="Times New Roman"/>
          <w:b w:val="0"/>
          <w:color w:val="auto"/>
          <w:sz w:val="20"/>
          <w:szCs w:val="20"/>
        </w:rPr>
        <w:t>ensambladora Ómnibus</w:t>
      </w:r>
      <w:r w:rsidR="00BB07EF" w:rsidRPr="00EE4D50">
        <w:rPr>
          <w:rFonts w:ascii="Verdana" w:hAnsi="Verdana" w:cs="Times New Roman"/>
          <w:noProof/>
          <w:lang w:eastAsia="es-EC"/>
        </w:rPr>
        <w:drawing>
          <wp:inline distT="0" distB="0" distL="0" distR="0" wp14:anchorId="7C7E16F7" wp14:editId="0C43FCFE">
            <wp:extent cx="5543550" cy="2409825"/>
            <wp:effectExtent l="0" t="0" r="0" b="9525"/>
            <wp:docPr id="7"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43550" cy="2409825"/>
                    </a:xfrm>
                    <a:prstGeom prst="rect">
                      <a:avLst/>
                    </a:prstGeom>
                    <a:noFill/>
                    <a:ln>
                      <a:noFill/>
                    </a:ln>
                  </pic:spPr>
                </pic:pic>
              </a:graphicData>
            </a:graphic>
          </wp:inline>
        </w:drawing>
      </w:r>
      <w:bookmarkEnd w:id="41"/>
    </w:p>
    <w:p w:rsidR="00BB07EF" w:rsidRPr="00EE4D50" w:rsidRDefault="001F10CC" w:rsidP="00EC63DA">
      <w:pPr>
        <w:spacing w:after="0" w:line="240" w:lineRule="auto"/>
        <w:jc w:val="both"/>
        <w:rPr>
          <w:rFonts w:ascii="Verdana" w:hAnsi="Verdana" w:cs="Times New Roman"/>
        </w:rPr>
      </w:pPr>
      <w:r w:rsidRPr="00EE4D50">
        <w:rPr>
          <w:rFonts w:ascii="Verdana" w:hAnsi="Verdana" w:cs="Times New Roman"/>
          <w:bCs/>
        </w:rPr>
        <w:t xml:space="preserve">  </w:t>
      </w:r>
      <w:r w:rsidRPr="00EE4D50">
        <w:rPr>
          <w:rFonts w:ascii="Verdana" w:hAnsi="Verdana" w:cs="Times New Roman"/>
          <w:bCs/>
          <w:sz w:val="20"/>
        </w:rPr>
        <w:t>Fuente</w:t>
      </w:r>
      <w:r w:rsidR="00BB07EF" w:rsidRPr="00EE4D50">
        <w:rPr>
          <w:rFonts w:ascii="Verdana" w:hAnsi="Verdana" w:cs="Times New Roman"/>
          <w:b/>
          <w:bCs/>
          <w:sz w:val="20"/>
        </w:rPr>
        <w:t>:</w:t>
      </w:r>
      <w:r w:rsidRPr="00EE4D50">
        <w:rPr>
          <w:rFonts w:ascii="Verdana" w:hAnsi="Verdana" w:cs="Times New Roman"/>
          <w:b/>
          <w:bCs/>
          <w:sz w:val="20"/>
        </w:rPr>
        <w:t xml:space="preserve"> </w:t>
      </w:r>
      <w:r w:rsidR="00BB07EF" w:rsidRPr="00EE4D50">
        <w:rPr>
          <w:rFonts w:ascii="Verdana" w:hAnsi="Verdana" w:cs="Times New Roman"/>
          <w:sz w:val="20"/>
        </w:rPr>
        <w:t>https://www.gmobb.ec/contactos/</w:t>
      </w:r>
    </w:p>
    <w:p w:rsidR="00BB07EF" w:rsidRPr="00EE4D50" w:rsidRDefault="00BB07EF" w:rsidP="00EC63DA">
      <w:pPr>
        <w:jc w:val="both"/>
        <w:rPr>
          <w:rFonts w:ascii="Verdana" w:hAnsi="Verdana" w:cs="Times New Roman"/>
        </w:rPr>
      </w:pPr>
    </w:p>
    <w:p w:rsidR="001F10CC" w:rsidRPr="00B160A0" w:rsidRDefault="00BB07EF" w:rsidP="00EC63DA">
      <w:pPr>
        <w:jc w:val="both"/>
        <w:rPr>
          <w:rFonts w:ascii="Verdana" w:hAnsi="Verdana" w:cs="Times New Roman"/>
        </w:rPr>
      </w:pPr>
      <w:r w:rsidRPr="00EE4D50">
        <w:rPr>
          <w:rFonts w:ascii="Verdana" w:hAnsi="Verdana" w:cs="Times New Roman"/>
        </w:rPr>
        <w:t>Nace como un proyecto del Sr. Bela Botar, de origen húngaro en el año 1975. Comenzó en el sector de la Kennedy, en Quito con un pequeño taller llamado “Proveedora Automotriz”, compañía madre de Ómnibus BB, donde se fabricaron prototipos de autobuses, y el primero fue el modelo BLUE BIRD Botar, un autobús urbano. En mayo de 1980, se fabricó la Blazer, su primer vehículo liviano con un proceso industrial más sofisticado y tecnificado. Fue un vehículo potente diseñado para la gama familiar de potencia 4×4, con motor V8. En 1981, General Motors se convierte en accionista y la compañía se constituyó como General Motors Ómnibus BB (GM-OBB) para fabricar vehículos livianos: automóviles, camionetas y todoterrenos. “GM OBB es la planta de ensamblaje automotriz pionera y más grande del Ecuador, con cuatro décadas de trayectoria” (GM OBB Ecuador, 2015).</w:t>
      </w:r>
    </w:p>
    <w:p w:rsidR="00BB07EF" w:rsidRPr="00EE4D50" w:rsidRDefault="00536A2E" w:rsidP="00EC63DA">
      <w:pPr>
        <w:pStyle w:val="Epgrafe"/>
        <w:spacing w:after="0"/>
        <w:jc w:val="center"/>
        <w:rPr>
          <w:rFonts w:ascii="Verdana" w:hAnsi="Verdana" w:cs="Times New Roman"/>
          <w:b w:val="0"/>
          <w:color w:val="auto"/>
          <w:sz w:val="20"/>
          <w:szCs w:val="20"/>
        </w:rPr>
      </w:pPr>
      <w:bookmarkStart w:id="42" w:name="_Toc473640117"/>
      <w:r w:rsidRPr="00EE4D50">
        <w:rPr>
          <w:rFonts w:ascii="Verdana" w:hAnsi="Verdana" w:cs="Times New Roman"/>
          <w:color w:val="auto"/>
          <w:sz w:val="20"/>
          <w:szCs w:val="20"/>
        </w:rPr>
        <w:lastRenderedPageBreak/>
        <w:t xml:space="preserve">Tabla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Tabla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2</w:t>
      </w:r>
      <w:r w:rsidRPr="00EE4D50">
        <w:rPr>
          <w:rFonts w:ascii="Verdana" w:hAnsi="Verdana" w:cs="Times New Roman"/>
          <w:color w:val="auto"/>
          <w:sz w:val="20"/>
          <w:szCs w:val="20"/>
        </w:rPr>
        <w:fldChar w:fldCharType="end"/>
      </w:r>
      <w:r w:rsidR="00BB07EF" w:rsidRPr="00EE4D50">
        <w:rPr>
          <w:rFonts w:ascii="Verdana" w:hAnsi="Verdana" w:cs="Times New Roman"/>
          <w:b w:val="0"/>
          <w:color w:val="auto"/>
          <w:sz w:val="20"/>
          <w:szCs w:val="20"/>
        </w:rPr>
        <w:t>: Producción de Omnibus B.B.</w:t>
      </w:r>
      <w:bookmarkEnd w:id="42"/>
    </w:p>
    <w:tbl>
      <w:tblPr>
        <w:tblW w:w="6776" w:type="dxa"/>
        <w:jc w:val="center"/>
        <w:tblInd w:w="-1613" w:type="dxa"/>
        <w:tblCellMar>
          <w:left w:w="70" w:type="dxa"/>
          <w:right w:w="70" w:type="dxa"/>
        </w:tblCellMar>
        <w:tblLook w:val="00A0" w:firstRow="1" w:lastRow="0" w:firstColumn="1" w:lastColumn="0" w:noHBand="0" w:noVBand="0"/>
      </w:tblPr>
      <w:tblGrid>
        <w:gridCol w:w="2268"/>
        <w:gridCol w:w="2164"/>
        <w:gridCol w:w="2344"/>
      </w:tblGrid>
      <w:tr w:rsidR="00BB07EF" w:rsidRPr="0019331A" w:rsidTr="00127364">
        <w:trPr>
          <w:trHeight w:val="982"/>
          <w:jc w:val="center"/>
        </w:trPr>
        <w:tc>
          <w:tcPr>
            <w:tcW w:w="2268" w:type="dxa"/>
            <w:tcBorders>
              <w:top w:val="single" w:sz="4" w:space="0" w:color="auto"/>
              <w:left w:val="single" w:sz="4" w:space="0" w:color="auto"/>
              <w:bottom w:val="single" w:sz="4" w:space="0" w:color="auto"/>
              <w:right w:val="single" w:sz="4" w:space="0" w:color="auto"/>
            </w:tcBorders>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AÑO</w:t>
            </w:r>
          </w:p>
        </w:tc>
        <w:tc>
          <w:tcPr>
            <w:tcW w:w="2164" w:type="dxa"/>
            <w:tcBorders>
              <w:top w:val="single" w:sz="4" w:space="0" w:color="auto"/>
              <w:left w:val="single" w:sz="4" w:space="0" w:color="auto"/>
              <w:bottom w:val="single" w:sz="4" w:space="0" w:color="auto"/>
              <w:right w:val="single" w:sz="4" w:space="0" w:color="auto"/>
            </w:tcBorders>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PRODUCCION (UNIDADES)</w:t>
            </w:r>
          </w:p>
        </w:tc>
        <w:tc>
          <w:tcPr>
            <w:tcW w:w="2344" w:type="dxa"/>
            <w:tcBorders>
              <w:top w:val="single" w:sz="4" w:space="0" w:color="auto"/>
              <w:left w:val="single" w:sz="4" w:space="0" w:color="auto"/>
              <w:bottom w:val="single" w:sz="4" w:space="0" w:color="auto"/>
              <w:right w:val="single" w:sz="4" w:space="0" w:color="auto"/>
            </w:tcBorders>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TASA DE CRECIMIENTO</w:t>
            </w:r>
          </w:p>
        </w:tc>
      </w:tr>
      <w:tr w:rsidR="00BB07EF" w:rsidRPr="0019331A" w:rsidTr="00127364">
        <w:trPr>
          <w:trHeight w:val="255"/>
          <w:jc w:val="center"/>
        </w:trPr>
        <w:tc>
          <w:tcPr>
            <w:tcW w:w="2268" w:type="dxa"/>
            <w:tcBorders>
              <w:top w:val="single" w:sz="4" w:space="0" w:color="auto"/>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1980</w:t>
            </w:r>
          </w:p>
        </w:tc>
        <w:tc>
          <w:tcPr>
            <w:tcW w:w="2164" w:type="dxa"/>
            <w:tcBorders>
              <w:top w:val="single" w:sz="4" w:space="0" w:color="auto"/>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966</w:t>
            </w:r>
          </w:p>
        </w:tc>
        <w:tc>
          <w:tcPr>
            <w:tcW w:w="2344" w:type="dxa"/>
            <w:tcBorders>
              <w:top w:val="single" w:sz="4" w:space="0" w:color="auto"/>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p>
        </w:tc>
      </w:tr>
      <w:tr w:rsidR="00BB07EF" w:rsidRPr="0019331A" w:rsidTr="00127364">
        <w:trPr>
          <w:trHeight w:val="255"/>
          <w:jc w:val="center"/>
        </w:trPr>
        <w:tc>
          <w:tcPr>
            <w:tcW w:w="2268"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1981</w:t>
            </w:r>
          </w:p>
        </w:tc>
        <w:tc>
          <w:tcPr>
            <w:tcW w:w="216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2109</w:t>
            </w:r>
          </w:p>
        </w:tc>
        <w:tc>
          <w:tcPr>
            <w:tcW w:w="234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118%</w:t>
            </w:r>
          </w:p>
        </w:tc>
      </w:tr>
      <w:tr w:rsidR="00BB07EF" w:rsidRPr="0019331A" w:rsidTr="00127364">
        <w:trPr>
          <w:trHeight w:val="255"/>
          <w:jc w:val="center"/>
        </w:trPr>
        <w:tc>
          <w:tcPr>
            <w:tcW w:w="2268"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1982</w:t>
            </w:r>
          </w:p>
        </w:tc>
        <w:tc>
          <w:tcPr>
            <w:tcW w:w="216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2414</w:t>
            </w:r>
          </w:p>
        </w:tc>
        <w:tc>
          <w:tcPr>
            <w:tcW w:w="234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14%</w:t>
            </w:r>
          </w:p>
        </w:tc>
      </w:tr>
      <w:tr w:rsidR="00BB07EF" w:rsidRPr="0019331A" w:rsidTr="00127364">
        <w:trPr>
          <w:trHeight w:val="255"/>
          <w:jc w:val="center"/>
        </w:trPr>
        <w:tc>
          <w:tcPr>
            <w:tcW w:w="2268"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1983</w:t>
            </w:r>
          </w:p>
        </w:tc>
        <w:tc>
          <w:tcPr>
            <w:tcW w:w="216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2401</w:t>
            </w:r>
          </w:p>
        </w:tc>
        <w:tc>
          <w:tcPr>
            <w:tcW w:w="234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w:t>
            </w:r>
          </w:p>
        </w:tc>
      </w:tr>
      <w:tr w:rsidR="00BB07EF" w:rsidRPr="0019331A" w:rsidTr="00127364">
        <w:trPr>
          <w:trHeight w:val="255"/>
          <w:jc w:val="center"/>
        </w:trPr>
        <w:tc>
          <w:tcPr>
            <w:tcW w:w="2268"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1984</w:t>
            </w:r>
          </w:p>
        </w:tc>
        <w:tc>
          <w:tcPr>
            <w:tcW w:w="216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2480</w:t>
            </w:r>
          </w:p>
        </w:tc>
        <w:tc>
          <w:tcPr>
            <w:tcW w:w="234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3%</w:t>
            </w:r>
          </w:p>
        </w:tc>
      </w:tr>
      <w:tr w:rsidR="00BB07EF" w:rsidRPr="0019331A" w:rsidTr="00127364">
        <w:trPr>
          <w:trHeight w:val="255"/>
          <w:jc w:val="center"/>
        </w:trPr>
        <w:tc>
          <w:tcPr>
            <w:tcW w:w="2268"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1985</w:t>
            </w:r>
          </w:p>
        </w:tc>
        <w:tc>
          <w:tcPr>
            <w:tcW w:w="216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3060</w:t>
            </w:r>
          </w:p>
        </w:tc>
        <w:tc>
          <w:tcPr>
            <w:tcW w:w="234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23%</w:t>
            </w:r>
          </w:p>
        </w:tc>
      </w:tr>
      <w:tr w:rsidR="00BB07EF" w:rsidRPr="0019331A" w:rsidTr="00127364">
        <w:trPr>
          <w:trHeight w:val="255"/>
          <w:jc w:val="center"/>
        </w:trPr>
        <w:tc>
          <w:tcPr>
            <w:tcW w:w="2268"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1986</w:t>
            </w:r>
          </w:p>
        </w:tc>
        <w:tc>
          <w:tcPr>
            <w:tcW w:w="216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3105</w:t>
            </w:r>
          </w:p>
        </w:tc>
        <w:tc>
          <w:tcPr>
            <w:tcW w:w="234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w:t>
            </w:r>
          </w:p>
        </w:tc>
      </w:tr>
      <w:tr w:rsidR="00BB07EF" w:rsidRPr="0019331A" w:rsidTr="00127364">
        <w:trPr>
          <w:trHeight w:val="255"/>
          <w:jc w:val="center"/>
        </w:trPr>
        <w:tc>
          <w:tcPr>
            <w:tcW w:w="2268"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1987</w:t>
            </w:r>
          </w:p>
        </w:tc>
        <w:tc>
          <w:tcPr>
            <w:tcW w:w="216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3168</w:t>
            </w:r>
          </w:p>
        </w:tc>
        <w:tc>
          <w:tcPr>
            <w:tcW w:w="234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2%</w:t>
            </w:r>
          </w:p>
        </w:tc>
      </w:tr>
      <w:tr w:rsidR="00BB07EF" w:rsidRPr="0019331A" w:rsidTr="00127364">
        <w:trPr>
          <w:trHeight w:val="255"/>
          <w:jc w:val="center"/>
        </w:trPr>
        <w:tc>
          <w:tcPr>
            <w:tcW w:w="2268"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1988</w:t>
            </w:r>
          </w:p>
        </w:tc>
        <w:tc>
          <w:tcPr>
            <w:tcW w:w="216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4579</w:t>
            </w:r>
          </w:p>
        </w:tc>
        <w:tc>
          <w:tcPr>
            <w:tcW w:w="234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45%</w:t>
            </w:r>
          </w:p>
        </w:tc>
      </w:tr>
      <w:tr w:rsidR="00BB07EF" w:rsidRPr="0019331A" w:rsidTr="00127364">
        <w:trPr>
          <w:trHeight w:val="255"/>
          <w:jc w:val="center"/>
        </w:trPr>
        <w:tc>
          <w:tcPr>
            <w:tcW w:w="2268"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1989</w:t>
            </w:r>
          </w:p>
        </w:tc>
        <w:tc>
          <w:tcPr>
            <w:tcW w:w="216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5489</w:t>
            </w:r>
          </w:p>
        </w:tc>
        <w:tc>
          <w:tcPr>
            <w:tcW w:w="234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20%</w:t>
            </w:r>
          </w:p>
        </w:tc>
      </w:tr>
      <w:tr w:rsidR="00BB07EF" w:rsidRPr="0019331A" w:rsidTr="00127364">
        <w:trPr>
          <w:trHeight w:val="255"/>
          <w:jc w:val="center"/>
        </w:trPr>
        <w:tc>
          <w:tcPr>
            <w:tcW w:w="2268"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1990</w:t>
            </w:r>
          </w:p>
        </w:tc>
        <w:tc>
          <w:tcPr>
            <w:tcW w:w="216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6168</w:t>
            </w:r>
          </w:p>
        </w:tc>
        <w:tc>
          <w:tcPr>
            <w:tcW w:w="234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12%</w:t>
            </w:r>
          </w:p>
        </w:tc>
      </w:tr>
      <w:tr w:rsidR="00BB07EF" w:rsidRPr="0019331A" w:rsidTr="00127364">
        <w:trPr>
          <w:trHeight w:val="255"/>
          <w:jc w:val="center"/>
        </w:trPr>
        <w:tc>
          <w:tcPr>
            <w:tcW w:w="2268"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1991</w:t>
            </w:r>
          </w:p>
        </w:tc>
        <w:tc>
          <w:tcPr>
            <w:tcW w:w="216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7729</w:t>
            </w:r>
          </w:p>
        </w:tc>
        <w:tc>
          <w:tcPr>
            <w:tcW w:w="234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25%</w:t>
            </w:r>
          </w:p>
        </w:tc>
      </w:tr>
      <w:tr w:rsidR="00BB07EF" w:rsidRPr="0019331A" w:rsidTr="00127364">
        <w:trPr>
          <w:trHeight w:val="255"/>
          <w:jc w:val="center"/>
        </w:trPr>
        <w:tc>
          <w:tcPr>
            <w:tcW w:w="2268"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1992</w:t>
            </w:r>
          </w:p>
        </w:tc>
        <w:tc>
          <w:tcPr>
            <w:tcW w:w="216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8380</w:t>
            </w:r>
          </w:p>
        </w:tc>
        <w:tc>
          <w:tcPr>
            <w:tcW w:w="234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8%</w:t>
            </w:r>
          </w:p>
        </w:tc>
      </w:tr>
      <w:tr w:rsidR="00BB07EF" w:rsidRPr="0019331A" w:rsidTr="00127364">
        <w:trPr>
          <w:trHeight w:val="255"/>
          <w:jc w:val="center"/>
        </w:trPr>
        <w:tc>
          <w:tcPr>
            <w:tcW w:w="2268"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1993</w:t>
            </w:r>
          </w:p>
        </w:tc>
        <w:tc>
          <w:tcPr>
            <w:tcW w:w="216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8936</w:t>
            </w:r>
          </w:p>
        </w:tc>
        <w:tc>
          <w:tcPr>
            <w:tcW w:w="234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7%</w:t>
            </w:r>
          </w:p>
        </w:tc>
      </w:tr>
      <w:tr w:rsidR="00BB07EF" w:rsidRPr="0019331A" w:rsidTr="00127364">
        <w:trPr>
          <w:trHeight w:val="255"/>
          <w:jc w:val="center"/>
        </w:trPr>
        <w:tc>
          <w:tcPr>
            <w:tcW w:w="2268"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1994</w:t>
            </w:r>
          </w:p>
        </w:tc>
        <w:tc>
          <w:tcPr>
            <w:tcW w:w="216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9982</w:t>
            </w:r>
          </w:p>
        </w:tc>
        <w:tc>
          <w:tcPr>
            <w:tcW w:w="234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12%</w:t>
            </w:r>
          </w:p>
        </w:tc>
      </w:tr>
      <w:tr w:rsidR="00BB07EF" w:rsidRPr="0019331A" w:rsidTr="00127364">
        <w:trPr>
          <w:trHeight w:val="255"/>
          <w:jc w:val="center"/>
        </w:trPr>
        <w:tc>
          <w:tcPr>
            <w:tcW w:w="2268"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1997</w:t>
            </w:r>
          </w:p>
        </w:tc>
        <w:tc>
          <w:tcPr>
            <w:tcW w:w="216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12980</w:t>
            </w:r>
          </w:p>
        </w:tc>
        <w:tc>
          <w:tcPr>
            <w:tcW w:w="234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30%</w:t>
            </w:r>
          </w:p>
        </w:tc>
      </w:tr>
      <w:tr w:rsidR="00BB07EF" w:rsidRPr="0019331A" w:rsidTr="00127364">
        <w:trPr>
          <w:trHeight w:val="255"/>
          <w:jc w:val="center"/>
        </w:trPr>
        <w:tc>
          <w:tcPr>
            <w:tcW w:w="2268"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1998</w:t>
            </w:r>
          </w:p>
        </w:tc>
        <w:tc>
          <w:tcPr>
            <w:tcW w:w="216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15220</w:t>
            </w:r>
          </w:p>
        </w:tc>
        <w:tc>
          <w:tcPr>
            <w:tcW w:w="234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17%</w:t>
            </w:r>
          </w:p>
        </w:tc>
      </w:tr>
      <w:tr w:rsidR="00BB07EF" w:rsidRPr="0019331A" w:rsidTr="00127364">
        <w:trPr>
          <w:trHeight w:val="255"/>
          <w:jc w:val="center"/>
        </w:trPr>
        <w:tc>
          <w:tcPr>
            <w:tcW w:w="2268"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1999</w:t>
            </w:r>
          </w:p>
        </w:tc>
        <w:tc>
          <w:tcPr>
            <w:tcW w:w="216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5579</w:t>
            </w:r>
          </w:p>
        </w:tc>
        <w:tc>
          <w:tcPr>
            <w:tcW w:w="234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-63%</w:t>
            </w:r>
          </w:p>
        </w:tc>
      </w:tr>
      <w:tr w:rsidR="00BB07EF" w:rsidRPr="0019331A" w:rsidTr="00127364">
        <w:trPr>
          <w:trHeight w:val="255"/>
          <w:jc w:val="center"/>
        </w:trPr>
        <w:tc>
          <w:tcPr>
            <w:tcW w:w="2268"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2000</w:t>
            </w:r>
          </w:p>
        </w:tc>
        <w:tc>
          <w:tcPr>
            <w:tcW w:w="216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11289</w:t>
            </w:r>
          </w:p>
        </w:tc>
        <w:tc>
          <w:tcPr>
            <w:tcW w:w="234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102</w:t>
            </w:r>
          </w:p>
        </w:tc>
      </w:tr>
      <w:tr w:rsidR="00BB07EF" w:rsidRPr="0019331A" w:rsidTr="00127364">
        <w:trPr>
          <w:trHeight w:val="255"/>
          <w:jc w:val="center"/>
        </w:trPr>
        <w:tc>
          <w:tcPr>
            <w:tcW w:w="2268"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2001</w:t>
            </w:r>
          </w:p>
        </w:tc>
        <w:tc>
          <w:tcPr>
            <w:tcW w:w="216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23259</w:t>
            </w:r>
          </w:p>
        </w:tc>
        <w:tc>
          <w:tcPr>
            <w:tcW w:w="234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106</w:t>
            </w:r>
          </w:p>
        </w:tc>
      </w:tr>
      <w:tr w:rsidR="00BB07EF" w:rsidRPr="0019331A" w:rsidTr="00127364">
        <w:trPr>
          <w:trHeight w:val="255"/>
          <w:jc w:val="center"/>
        </w:trPr>
        <w:tc>
          <w:tcPr>
            <w:tcW w:w="2268"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2002</w:t>
            </w:r>
          </w:p>
        </w:tc>
        <w:tc>
          <w:tcPr>
            <w:tcW w:w="216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17041</w:t>
            </w:r>
          </w:p>
        </w:tc>
        <w:tc>
          <w:tcPr>
            <w:tcW w:w="2344"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20"/>
                <w:lang w:eastAsia="es-EC"/>
              </w:rPr>
            </w:pPr>
            <w:r w:rsidRPr="0019331A">
              <w:rPr>
                <w:rFonts w:ascii="Verdana" w:hAnsi="Verdana" w:cs="Times New Roman"/>
                <w:color w:val="000000"/>
                <w:sz w:val="16"/>
                <w:szCs w:val="20"/>
                <w:lang w:eastAsia="es-EC"/>
              </w:rPr>
              <w:t>-27</w:t>
            </w:r>
          </w:p>
        </w:tc>
      </w:tr>
    </w:tbl>
    <w:p w:rsidR="00BB07EF" w:rsidRPr="00EE4D50" w:rsidRDefault="00127364" w:rsidP="00EC63DA">
      <w:pPr>
        <w:spacing w:after="0" w:line="240" w:lineRule="auto"/>
        <w:jc w:val="center"/>
        <w:rPr>
          <w:rFonts w:ascii="Verdana" w:hAnsi="Verdana" w:cs="Times New Roman"/>
          <w:sz w:val="20"/>
        </w:rPr>
      </w:pPr>
      <w:r>
        <w:rPr>
          <w:rFonts w:ascii="Verdana" w:hAnsi="Verdana" w:cs="Times New Roman"/>
          <w:bCs/>
          <w:sz w:val="20"/>
        </w:rPr>
        <w:t xml:space="preserve">    </w:t>
      </w:r>
      <w:r w:rsidR="00337B4C" w:rsidRPr="00EE4D50">
        <w:rPr>
          <w:rFonts w:ascii="Verdana" w:hAnsi="Verdana" w:cs="Times New Roman"/>
          <w:bCs/>
          <w:sz w:val="20"/>
        </w:rPr>
        <w:t>Fuentes:</w:t>
      </w:r>
      <w:r w:rsidR="00337B4C" w:rsidRPr="00EE4D50">
        <w:rPr>
          <w:rFonts w:ascii="Verdana" w:hAnsi="Verdana" w:cs="Times New Roman"/>
          <w:sz w:val="20"/>
        </w:rPr>
        <w:t xml:space="preserve"> *1988-1994:</w:t>
      </w:r>
      <w:r w:rsidR="00337B4C">
        <w:rPr>
          <w:rFonts w:ascii="Verdana" w:hAnsi="Verdana" w:cs="Times New Roman"/>
          <w:sz w:val="20"/>
        </w:rPr>
        <w:t xml:space="preserve"> </w:t>
      </w:r>
      <w:r w:rsidR="00337B4C" w:rsidRPr="00EE4D50">
        <w:rPr>
          <w:rFonts w:ascii="Verdana" w:hAnsi="Verdana" w:cs="Times New Roman"/>
          <w:sz w:val="20"/>
        </w:rPr>
        <w:t>Kleparnik (1996) **1995-2002:</w:t>
      </w:r>
      <w:r w:rsidR="00337B4C">
        <w:rPr>
          <w:rFonts w:ascii="Verdana" w:hAnsi="Verdana" w:cs="Times New Roman"/>
          <w:sz w:val="20"/>
        </w:rPr>
        <w:t xml:space="preserve"> </w:t>
      </w:r>
      <w:r w:rsidR="00337B4C" w:rsidRPr="00EE4D50">
        <w:rPr>
          <w:rFonts w:ascii="Verdana" w:hAnsi="Verdana" w:cs="Times New Roman"/>
          <w:sz w:val="20"/>
        </w:rPr>
        <w:t>Hidrobo (2004)</w:t>
      </w:r>
    </w:p>
    <w:p w:rsidR="00BB07EF" w:rsidRPr="00EE4D50" w:rsidRDefault="001F10CC" w:rsidP="00EC63DA">
      <w:pPr>
        <w:spacing w:after="0" w:line="240" w:lineRule="auto"/>
        <w:jc w:val="both"/>
        <w:rPr>
          <w:rFonts w:ascii="Verdana" w:hAnsi="Verdana" w:cs="Times New Roman"/>
          <w:bCs/>
          <w:sz w:val="20"/>
        </w:rPr>
      </w:pPr>
      <w:r w:rsidRPr="00EE4D50">
        <w:rPr>
          <w:rFonts w:ascii="Verdana" w:hAnsi="Verdana" w:cs="Times New Roman"/>
          <w:bCs/>
          <w:sz w:val="20"/>
        </w:rPr>
        <w:t xml:space="preserve">    </w:t>
      </w:r>
      <w:r w:rsidR="0017380F" w:rsidRPr="00EE4D50">
        <w:rPr>
          <w:rFonts w:ascii="Verdana" w:hAnsi="Verdana" w:cs="Times New Roman"/>
          <w:bCs/>
          <w:sz w:val="20"/>
        </w:rPr>
        <w:t xml:space="preserve">     </w:t>
      </w:r>
      <w:r w:rsidR="00250095">
        <w:rPr>
          <w:rFonts w:ascii="Verdana" w:hAnsi="Verdana" w:cs="Times New Roman"/>
          <w:bCs/>
          <w:sz w:val="20"/>
        </w:rPr>
        <w:t xml:space="preserve">  </w:t>
      </w:r>
      <w:r w:rsidRPr="00EE4D50">
        <w:rPr>
          <w:rFonts w:ascii="Verdana" w:hAnsi="Verdana" w:cs="Times New Roman"/>
          <w:bCs/>
          <w:sz w:val="20"/>
        </w:rPr>
        <w:t xml:space="preserve"> </w:t>
      </w:r>
      <w:r w:rsidR="00127364">
        <w:rPr>
          <w:rFonts w:ascii="Verdana" w:hAnsi="Verdana" w:cs="Times New Roman"/>
          <w:bCs/>
          <w:sz w:val="20"/>
        </w:rPr>
        <w:t xml:space="preserve">  </w:t>
      </w:r>
      <w:r w:rsidRPr="00EE4D50">
        <w:rPr>
          <w:rFonts w:ascii="Verdana" w:hAnsi="Verdana" w:cs="Times New Roman"/>
          <w:bCs/>
          <w:sz w:val="20"/>
        </w:rPr>
        <w:t xml:space="preserve"> </w:t>
      </w:r>
      <w:r w:rsidR="00BB07EF" w:rsidRPr="00EE4D50">
        <w:rPr>
          <w:rFonts w:ascii="Verdana" w:hAnsi="Verdana" w:cs="Times New Roman"/>
          <w:bCs/>
          <w:sz w:val="20"/>
        </w:rPr>
        <w:t>Elaboración:</w:t>
      </w:r>
      <w:r w:rsidR="00BB07EF" w:rsidRPr="00EE4D50">
        <w:rPr>
          <w:rFonts w:ascii="Verdana" w:hAnsi="Verdana" w:cs="Times New Roman"/>
          <w:sz w:val="20"/>
        </w:rPr>
        <w:t xml:space="preserve"> Autor</w:t>
      </w:r>
      <w:r w:rsidR="00AC2157">
        <w:rPr>
          <w:rFonts w:ascii="Verdana" w:hAnsi="Verdana" w:cs="Times New Roman"/>
          <w:sz w:val="20"/>
        </w:rPr>
        <w:t>a</w:t>
      </w:r>
    </w:p>
    <w:p w:rsidR="00BB07EF" w:rsidRPr="00EE4D50" w:rsidRDefault="00BB07EF" w:rsidP="00EC63DA">
      <w:pPr>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Desde su creación Omnibus ha demostrado ser una empresa sólida, lo cual refleja sus unidades de fabricación que en 1981 sus cantidades producidas fueron 2.109 unidades;  y en los años siguientes demostró un crecimiento constante, hasta el año 1999, donde hubo una caída de  -63% con relación al año anterior, por la crisis financiera y monetaria que atravesó el país en esa época.</w:t>
      </w:r>
    </w:p>
    <w:p w:rsidR="001A51BB" w:rsidRPr="00EE4D50" w:rsidRDefault="001A51BB" w:rsidP="00EC63DA">
      <w:pPr>
        <w:spacing w:after="60"/>
        <w:jc w:val="both"/>
        <w:rPr>
          <w:rFonts w:ascii="Verdana" w:hAnsi="Verdana" w:cs="Times New Roman"/>
        </w:rPr>
      </w:pPr>
    </w:p>
    <w:p w:rsidR="005F5350" w:rsidRDefault="00BB07EF" w:rsidP="00EC63DA">
      <w:pPr>
        <w:jc w:val="both"/>
        <w:rPr>
          <w:rFonts w:ascii="Verdana" w:hAnsi="Verdana" w:cs="Times New Roman"/>
        </w:rPr>
      </w:pPr>
      <w:r w:rsidRPr="00EE4D50">
        <w:rPr>
          <w:rFonts w:ascii="Verdana" w:hAnsi="Verdana" w:cs="Times New Roman"/>
        </w:rPr>
        <w:t>Esta ensambladora para el año 1994 produjo un promedio de 10.000 unidades, su capacidad instalada le permite llegar hasta las 12.000 unidades por año en un turno. Para los años 2000 y 2001 se dio un aumento considerable en sus unidades producidas con 11.289 y 23.259 respectivamente.</w:t>
      </w:r>
    </w:p>
    <w:p w:rsidR="00B160A0" w:rsidRDefault="00B160A0" w:rsidP="00EC63DA">
      <w:pPr>
        <w:jc w:val="both"/>
        <w:rPr>
          <w:rFonts w:ascii="Verdana" w:hAnsi="Verdana" w:cs="Times New Roman"/>
        </w:rPr>
      </w:pPr>
    </w:p>
    <w:p w:rsidR="00B160A0" w:rsidRDefault="00B160A0" w:rsidP="00EC63DA">
      <w:pPr>
        <w:jc w:val="both"/>
        <w:rPr>
          <w:rFonts w:ascii="Verdana" w:hAnsi="Verdana" w:cs="Times New Roman"/>
        </w:rPr>
      </w:pPr>
    </w:p>
    <w:p w:rsidR="00B160A0" w:rsidRDefault="00B160A0" w:rsidP="00EC63DA">
      <w:pPr>
        <w:jc w:val="both"/>
        <w:rPr>
          <w:rFonts w:ascii="Verdana" w:hAnsi="Verdana" w:cs="Times New Roman"/>
        </w:rPr>
      </w:pPr>
    </w:p>
    <w:p w:rsidR="00B160A0" w:rsidRPr="00EE4D50" w:rsidRDefault="00B160A0" w:rsidP="00EC63DA">
      <w:pPr>
        <w:jc w:val="both"/>
        <w:rPr>
          <w:rFonts w:ascii="Verdana" w:hAnsi="Verdana" w:cs="Times New Roman"/>
        </w:rPr>
      </w:pPr>
    </w:p>
    <w:p w:rsidR="00BB07EF" w:rsidRPr="00EE4D50" w:rsidRDefault="00BB07EF" w:rsidP="00EC63DA">
      <w:pPr>
        <w:pStyle w:val="Ttulo3"/>
        <w:rPr>
          <w:rFonts w:ascii="Verdana" w:hAnsi="Verdana" w:cs="Times New Roman"/>
          <w:i/>
          <w:color w:val="auto"/>
          <w:sz w:val="28"/>
        </w:rPr>
      </w:pPr>
      <w:bookmarkStart w:id="43" w:name="_Toc459992043"/>
      <w:bookmarkStart w:id="44" w:name="_Toc485137205"/>
      <w:r w:rsidRPr="00EE4D50">
        <w:rPr>
          <w:rFonts w:ascii="Verdana" w:hAnsi="Verdana" w:cs="Times New Roman"/>
          <w:i/>
          <w:color w:val="auto"/>
          <w:sz w:val="28"/>
        </w:rPr>
        <w:lastRenderedPageBreak/>
        <w:t>Maresa</w:t>
      </w:r>
      <w:bookmarkEnd w:id="43"/>
      <w:bookmarkEnd w:id="44"/>
    </w:p>
    <w:p w:rsidR="00BB07EF" w:rsidRPr="00EE4D50" w:rsidRDefault="00BB07EF" w:rsidP="00EC63DA">
      <w:pPr>
        <w:jc w:val="both"/>
        <w:rPr>
          <w:rFonts w:ascii="Verdana" w:hAnsi="Verdana" w:cs="Times New Roman"/>
        </w:rPr>
      </w:pPr>
    </w:p>
    <w:p w:rsidR="00BB07EF" w:rsidRPr="00EE4D50" w:rsidRDefault="00536A2E" w:rsidP="00EC63DA">
      <w:pPr>
        <w:pStyle w:val="Epgrafe"/>
        <w:spacing w:after="0"/>
        <w:rPr>
          <w:rFonts w:ascii="Verdana" w:hAnsi="Verdana" w:cs="Times New Roman"/>
          <w:b w:val="0"/>
          <w:color w:val="auto"/>
          <w:sz w:val="20"/>
          <w:szCs w:val="20"/>
        </w:rPr>
      </w:pPr>
      <w:bookmarkStart w:id="45" w:name="_Toc473640033"/>
      <w:r w:rsidRPr="00EE4D50">
        <w:rPr>
          <w:rFonts w:ascii="Verdana" w:hAnsi="Verdana" w:cs="Times New Roman"/>
          <w:color w:val="auto"/>
          <w:sz w:val="20"/>
          <w:szCs w:val="20"/>
        </w:rPr>
        <w:t xml:space="preserve">Figura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Figura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8</w:t>
      </w:r>
      <w:r w:rsidRPr="00EE4D50">
        <w:rPr>
          <w:rFonts w:ascii="Verdana" w:hAnsi="Verdana" w:cs="Times New Roman"/>
          <w:color w:val="auto"/>
          <w:sz w:val="20"/>
          <w:szCs w:val="20"/>
        </w:rPr>
        <w:fldChar w:fldCharType="end"/>
      </w:r>
      <w:r w:rsidR="00BB07EF" w:rsidRPr="00EE4D50">
        <w:rPr>
          <w:rFonts w:ascii="Verdana" w:hAnsi="Verdana" w:cs="Times New Roman"/>
          <w:b w:val="0"/>
          <w:color w:val="auto"/>
          <w:sz w:val="20"/>
          <w:szCs w:val="20"/>
        </w:rPr>
        <w:t>: Logotipo de Maresa</w:t>
      </w:r>
      <w:bookmarkEnd w:id="45"/>
    </w:p>
    <w:p w:rsidR="00BB07EF" w:rsidRPr="00EE4D50" w:rsidRDefault="00BB07EF" w:rsidP="00EC63DA">
      <w:pPr>
        <w:pStyle w:val="Sinespaciado"/>
        <w:jc w:val="both"/>
        <w:rPr>
          <w:rFonts w:ascii="Verdana" w:hAnsi="Verdana" w:cs="Times New Roman"/>
        </w:rPr>
      </w:pPr>
      <w:r w:rsidRPr="00EE4D50">
        <w:rPr>
          <w:rFonts w:ascii="Verdana" w:hAnsi="Verdana" w:cs="Times New Roman"/>
          <w:noProof/>
        </w:rPr>
        <w:drawing>
          <wp:inline distT="0" distB="0" distL="0" distR="0" wp14:anchorId="274D481C" wp14:editId="5AD4179D">
            <wp:extent cx="2019300" cy="1123950"/>
            <wp:effectExtent l="19050" t="19050" r="19050" b="19050"/>
            <wp:docPr id="8" name="Imagen 13" descr="http://www.businessreviewamericalatina.com/public/uploads/normal/normal_maresa_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http://www.businessreviewamericalatina.com/public/uploads/normal/normal_maresa_logo1.jpg"/>
                    <pic:cNvPicPr>
                      <a:picLocks noChangeAspect="1" noChangeArrowheads="1"/>
                    </pic:cNvPicPr>
                  </pic:nvPicPr>
                  <pic:blipFill>
                    <a:blip r:embed="rId17">
                      <a:extLst>
                        <a:ext uri="{28A0092B-C50C-407E-A947-70E740481C1C}">
                          <a14:useLocalDpi xmlns:a14="http://schemas.microsoft.com/office/drawing/2010/main" val="0"/>
                        </a:ext>
                      </a:extLst>
                    </a:blip>
                    <a:srcRect t="22301" b="28999"/>
                    <a:stretch>
                      <a:fillRect/>
                    </a:stretch>
                  </pic:blipFill>
                  <pic:spPr bwMode="auto">
                    <a:xfrm>
                      <a:off x="0" y="0"/>
                      <a:ext cx="2019300" cy="1123950"/>
                    </a:xfrm>
                    <a:prstGeom prst="rect">
                      <a:avLst/>
                    </a:prstGeom>
                    <a:noFill/>
                    <a:ln w="9525" cmpd="sng">
                      <a:solidFill>
                        <a:srgbClr val="000000"/>
                      </a:solidFill>
                      <a:miter lim="800000"/>
                      <a:headEnd/>
                      <a:tailEnd/>
                    </a:ln>
                    <a:effectLst/>
                  </pic:spPr>
                </pic:pic>
              </a:graphicData>
            </a:graphic>
          </wp:inline>
        </w:drawing>
      </w:r>
    </w:p>
    <w:p w:rsidR="00BB07EF" w:rsidRPr="00EE4D50" w:rsidRDefault="00BB07EF" w:rsidP="00EC63DA">
      <w:pPr>
        <w:pStyle w:val="Sinespaciado"/>
        <w:jc w:val="both"/>
        <w:rPr>
          <w:rFonts w:ascii="Verdana" w:hAnsi="Verdana" w:cs="Times New Roman"/>
          <w:sz w:val="20"/>
        </w:rPr>
      </w:pPr>
      <w:r w:rsidRPr="00EE4D50">
        <w:rPr>
          <w:rFonts w:ascii="Verdana" w:hAnsi="Verdana" w:cs="Times New Roman"/>
          <w:sz w:val="20"/>
        </w:rPr>
        <w:t>Fuente: www.corpmaresa.com.ec</w:t>
      </w:r>
    </w:p>
    <w:p w:rsidR="00BB07EF" w:rsidRPr="00EE4D50" w:rsidRDefault="00BB07EF" w:rsidP="00EC63DA">
      <w:pPr>
        <w:pStyle w:val="Sinespaciado"/>
        <w:spacing w:line="276" w:lineRule="auto"/>
        <w:jc w:val="both"/>
        <w:rPr>
          <w:rFonts w:ascii="Verdana" w:hAnsi="Verdana" w:cs="Times New Roman"/>
        </w:rPr>
      </w:pPr>
    </w:p>
    <w:p w:rsidR="00BB07EF" w:rsidRPr="00EE4D50" w:rsidRDefault="00BB07EF" w:rsidP="00EC63DA">
      <w:pPr>
        <w:jc w:val="both"/>
        <w:rPr>
          <w:rFonts w:ascii="Verdana" w:hAnsi="Verdana" w:cs="Times New Roman"/>
        </w:rPr>
      </w:pPr>
      <w:r w:rsidRPr="00EE4D50">
        <w:rPr>
          <w:rFonts w:ascii="Verdana" w:hAnsi="Verdana" w:cs="Times New Roman"/>
          <w:b/>
          <w:bCs/>
        </w:rPr>
        <w:t>DIRECCIÓN</w:t>
      </w:r>
      <w:r w:rsidRPr="00EE4D50">
        <w:rPr>
          <w:rFonts w:ascii="Verdana" w:hAnsi="Verdana" w:cs="Times New Roman"/>
        </w:rPr>
        <w:t>: Manuel Córdova Galarza, Quito, Pi</w:t>
      </w:r>
      <w:r w:rsidR="009B02A6" w:rsidRPr="00EE4D50">
        <w:rPr>
          <w:rFonts w:ascii="Verdana" w:hAnsi="Verdana" w:cs="Times New Roman"/>
        </w:rPr>
        <w:t>chincha, Ecuador (Ensambladora)</w:t>
      </w:r>
    </w:p>
    <w:p w:rsidR="00BB07EF" w:rsidRPr="00EE4D50" w:rsidRDefault="00536A2E" w:rsidP="00EC63DA">
      <w:pPr>
        <w:pStyle w:val="Epgrafe"/>
        <w:spacing w:after="0"/>
        <w:jc w:val="center"/>
        <w:rPr>
          <w:rFonts w:ascii="Verdana" w:hAnsi="Verdana" w:cs="Times New Roman"/>
          <w:b w:val="0"/>
          <w:color w:val="auto"/>
          <w:sz w:val="20"/>
          <w:szCs w:val="20"/>
        </w:rPr>
      </w:pPr>
      <w:bookmarkStart w:id="46" w:name="_Toc473640034"/>
      <w:r w:rsidRPr="00EE4D50">
        <w:rPr>
          <w:rFonts w:ascii="Verdana" w:hAnsi="Verdana" w:cs="Times New Roman"/>
          <w:color w:val="auto"/>
          <w:sz w:val="20"/>
          <w:szCs w:val="20"/>
        </w:rPr>
        <w:t xml:space="preserve">Figura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Figura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9</w:t>
      </w:r>
      <w:r w:rsidRPr="00EE4D50">
        <w:rPr>
          <w:rFonts w:ascii="Verdana" w:hAnsi="Verdana" w:cs="Times New Roman"/>
          <w:color w:val="auto"/>
          <w:sz w:val="20"/>
          <w:szCs w:val="20"/>
        </w:rPr>
        <w:fldChar w:fldCharType="end"/>
      </w:r>
      <w:r w:rsidR="00BB07EF" w:rsidRPr="00EE4D50">
        <w:rPr>
          <w:rFonts w:ascii="Verdana" w:hAnsi="Verdana" w:cs="Times New Roman"/>
          <w:b w:val="0"/>
          <w:color w:val="auto"/>
          <w:sz w:val="20"/>
          <w:szCs w:val="20"/>
        </w:rPr>
        <w:t>: Ubicación geográfica de la ensambladora de Maresa</w:t>
      </w:r>
      <w:bookmarkEnd w:id="46"/>
    </w:p>
    <w:p w:rsidR="001F10CC" w:rsidRPr="00250095" w:rsidRDefault="00BB07EF" w:rsidP="00EC63DA">
      <w:pPr>
        <w:spacing w:line="240" w:lineRule="auto"/>
        <w:jc w:val="center"/>
        <w:rPr>
          <w:rFonts w:ascii="Verdana" w:hAnsi="Verdana" w:cs="Times New Roman"/>
          <w:bCs/>
          <w:sz w:val="20"/>
        </w:rPr>
      </w:pPr>
      <w:r w:rsidRPr="00EE4D50">
        <w:rPr>
          <w:rFonts w:ascii="Verdana" w:hAnsi="Verdana" w:cs="Times New Roman"/>
          <w:noProof/>
          <w:lang w:eastAsia="es-EC"/>
        </w:rPr>
        <w:drawing>
          <wp:inline distT="0" distB="0" distL="0" distR="0" wp14:anchorId="159AB9C7" wp14:editId="6BD5D5AA">
            <wp:extent cx="5685690" cy="2466975"/>
            <wp:effectExtent l="0" t="0" r="0" b="0"/>
            <wp:docPr id="9"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86922" cy="2467510"/>
                    </a:xfrm>
                    <a:prstGeom prst="rect">
                      <a:avLst/>
                    </a:prstGeom>
                    <a:noFill/>
                    <a:ln>
                      <a:noFill/>
                    </a:ln>
                  </pic:spPr>
                </pic:pic>
              </a:graphicData>
            </a:graphic>
          </wp:inline>
        </w:drawing>
      </w:r>
      <w:r w:rsidR="00250095">
        <w:rPr>
          <w:rFonts w:ascii="Verdana" w:hAnsi="Verdana" w:cs="Times New Roman"/>
          <w:bCs/>
          <w:sz w:val="20"/>
        </w:rPr>
        <w:t xml:space="preserve">       </w:t>
      </w:r>
      <w:r w:rsidR="00AC2157">
        <w:rPr>
          <w:rFonts w:ascii="Verdana" w:hAnsi="Verdana" w:cs="Times New Roman"/>
          <w:bCs/>
          <w:sz w:val="20"/>
        </w:rPr>
        <w:t xml:space="preserve">           </w:t>
      </w:r>
      <w:r w:rsidR="001F10CC" w:rsidRPr="00EE4D50">
        <w:rPr>
          <w:rFonts w:ascii="Verdana" w:hAnsi="Verdana" w:cs="Times New Roman"/>
          <w:bCs/>
          <w:sz w:val="20"/>
        </w:rPr>
        <w:t>Fuente:</w:t>
      </w:r>
      <w:r w:rsidRPr="00EE4D50">
        <w:rPr>
          <w:rFonts w:ascii="Verdana" w:hAnsi="Verdana" w:cs="Times New Roman"/>
          <w:sz w:val="20"/>
        </w:rPr>
        <w:t>http://www.corpmaresa.com.ec/index.php?option=com_content&amp;view=</w:t>
      </w:r>
      <w:r w:rsidR="001F10CC" w:rsidRPr="00EE4D50">
        <w:rPr>
          <w:rFonts w:ascii="Verdana" w:hAnsi="Verdana" w:cs="Times New Roman"/>
          <w:sz w:val="20"/>
        </w:rPr>
        <w:t>article&amp;id=14&amp;Itemid=172&amp;lang=es</w:t>
      </w:r>
    </w:p>
    <w:p w:rsidR="00BB07EF" w:rsidRPr="00EE4D50" w:rsidRDefault="00BB07EF" w:rsidP="00EC63DA">
      <w:pPr>
        <w:pStyle w:val="Sinespaciado"/>
        <w:spacing w:line="276" w:lineRule="auto"/>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Fundada en 1976, Maresa empieza sus operaciones en el año 1979, con el amparo de la Decisión 120 del Acuerdo de Cartagena. Productos como las camionetas Serie B y los Mazda 323, la que utiliza para su ensamblaje tecnología japonesa en los vehículos Mazda y Toyota y americana en los vehículos Ford ha conseguido implementar en sus ensamblaje tecnología de punta, lo cual ha llevado a obtener la certificación bajo la norma ISO 9901:2000, concedida por Iqnet e Incontec51 con productos de calidad que han permitido incursionar en los mercados de Colombia, Venezuela y Bolivia (Fiat- Spazio, 2008).</w:t>
      </w:r>
    </w:p>
    <w:p w:rsidR="001A51BB" w:rsidRPr="00EE4D50" w:rsidRDefault="001A51BB"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Los inicios de esta empresa fueron difíciles porque su producción no llegaba al 10% de la capacidad instalada y no había una buena competitividad interna, ya que en ese tiempo había importación de camiones usados. La empresa propuso varias alternativas para solventar su crisis, y en el año 1984, MARESA recibe la autorización para poder producir vehículos livianos (Kleparnik, 1996:</w:t>
      </w:r>
      <w:r w:rsidR="000249BE">
        <w:rPr>
          <w:rFonts w:ascii="Verdana" w:hAnsi="Verdana" w:cs="Times New Roman"/>
        </w:rPr>
        <w:t xml:space="preserve"> </w:t>
      </w:r>
      <w:r w:rsidRPr="00EE4D50">
        <w:rPr>
          <w:rFonts w:ascii="Verdana" w:hAnsi="Verdana" w:cs="Times New Roman"/>
        </w:rPr>
        <w:t>133).</w:t>
      </w:r>
    </w:p>
    <w:p w:rsidR="001A51BB" w:rsidRPr="00EE4D50" w:rsidRDefault="001A51BB" w:rsidP="00EC63DA">
      <w:pPr>
        <w:spacing w:after="60"/>
        <w:jc w:val="both"/>
        <w:rPr>
          <w:rFonts w:ascii="Verdana" w:hAnsi="Verdana" w:cs="Times New Roman"/>
        </w:rPr>
      </w:pPr>
    </w:p>
    <w:p w:rsidR="00BB07EF" w:rsidRPr="00EE4D50" w:rsidRDefault="00337B4C" w:rsidP="00EC63DA">
      <w:pPr>
        <w:spacing w:after="60"/>
        <w:jc w:val="both"/>
        <w:rPr>
          <w:rFonts w:ascii="Verdana" w:hAnsi="Verdana" w:cs="Times New Roman"/>
        </w:rPr>
      </w:pPr>
      <w:r w:rsidRPr="00EE4D50">
        <w:rPr>
          <w:rFonts w:ascii="Verdana" w:hAnsi="Verdana" w:cs="Times New Roman"/>
        </w:rPr>
        <w:t>Corporación Maresa Holding es una fuerte y sólida industria que se ha convertido en un símbolo de la Industria ecuatoriana, establecida en el año 1997, con agrupación de empresas vinculadas a MARESA donde unen sus actividades de ensamblaje automotriz, distribución, comercialización, posventa y el arrendamiento de vehículos.</w:t>
      </w:r>
      <w:r>
        <w:rPr>
          <w:rFonts w:ascii="Verdana" w:hAnsi="Verdana" w:cs="Times New Roman"/>
        </w:rPr>
        <w:t xml:space="preserve"> </w:t>
      </w:r>
      <w:r w:rsidRPr="00EE4D50">
        <w:rPr>
          <w:rFonts w:ascii="Verdana" w:hAnsi="Verdana" w:cs="Times New Roman"/>
        </w:rPr>
        <w:t xml:space="preserve">Actualmente las empresas que conforman este Holding son: Maresa Ensambladora, Distrivehic, Mazmotors, Mareauto, Autosharecorp, Mareadvisor. </w:t>
      </w:r>
      <w:r w:rsidR="00BB07EF" w:rsidRPr="00EE4D50">
        <w:rPr>
          <w:rFonts w:ascii="Verdana" w:hAnsi="Verdana" w:cs="Times New Roman"/>
        </w:rPr>
        <w:t>Entre las marcas que representa están: Mazda, Fiat, Chrysler, Jeep, Dodge, RAM, Orgu Ford y Avis (Maresa, 2015).</w:t>
      </w:r>
    </w:p>
    <w:p w:rsidR="001A51BB" w:rsidRPr="00EE4D50" w:rsidRDefault="001A51BB" w:rsidP="00EC63DA">
      <w:pPr>
        <w:spacing w:after="60"/>
        <w:jc w:val="both"/>
        <w:rPr>
          <w:rFonts w:ascii="Verdana" w:hAnsi="Verdana" w:cs="Times New Roman"/>
        </w:rPr>
      </w:pPr>
    </w:p>
    <w:p w:rsidR="00BB07EF" w:rsidRPr="00EE4D50" w:rsidRDefault="00BB07EF" w:rsidP="00EC63DA">
      <w:pPr>
        <w:pStyle w:val="Sinespaciado"/>
        <w:spacing w:line="276" w:lineRule="auto"/>
        <w:jc w:val="both"/>
        <w:rPr>
          <w:rFonts w:ascii="Verdana" w:hAnsi="Verdana" w:cs="Times New Roman"/>
          <w:sz w:val="20"/>
        </w:rPr>
      </w:pPr>
    </w:p>
    <w:p w:rsidR="00BB07EF" w:rsidRPr="00EE4D50" w:rsidRDefault="00536A2E" w:rsidP="00EC63DA">
      <w:pPr>
        <w:pStyle w:val="Epgrafe"/>
        <w:spacing w:after="0"/>
        <w:jc w:val="center"/>
        <w:rPr>
          <w:rFonts w:ascii="Verdana" w:hAnsi="Verdana" w:cs="Times New Roman"/>
          <w:b w:val="0"/>
          <w:color w:val="auto"/>
          <w:sz w:val="20"/>
          <w:szCs w:val="20"/>
        </w:rPr>
      </w:pPr>
      <w:bookmarkStart w:id="47" w:name="_Toc473640118"/>
      <w:r w:rsidRPr="00EE4D50">
        <w:rPr>
          <w:rFonts w:ascii="Verdana" w:hAnsi="Verdana" w:cs="Times New Roman"/>
          <w:color w:val="auto"/>
          <w:sz w:val="20"/>
          <w:szCs w:val="20"/>
        </w:rPr>
        <w:t xml:space="preserve">Tabla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Tabla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3</w:t>
      </w:r>
      <w:r w:rsidRPr="00EE4D50">
        <w:rPr>
          <w:rFonts w:ascii="Verdana" w:hAnsi="Verdana" w:cs="Times New Roman"/>
          <w:color w:val="auto"/>
          <w:sz w:val="20"/>
          <w:szCs w:val="20"/>
        </w:rPr>
        <w:fldChar w:fldCharType="end"/>
      </w:r>
      <w:r w:rsidR="00BB07EF" w:rsidRPr="00EE4D50">
        <w:rPr>
          <w:rFonts w:ascii="Verdana" w:hAnsi="Verdana" w:cs="Times New Roman"/>
          <w:b w:val="0"/>
          <w:color w:val="auto"/>
          <w:sz w:val="20"/>
          <w:szCs w:val="20"/>
        </w:rPr>
        <w:t xml:space="preserve">: </w:t>
      </w:r>
      <w:r w:rsidR="001F10CC" w:rsidRPr="00EE4D50">
        <w:rPr>
          <w:rFonts w:ascii="Verdana" w:hAnsi="Verdana" w:cs="Times New Roman"/>
          <w:b w:val="0"/>
          <w:color w:val="auto"/>
          <w:sz w:val="20"/>
          <w:szCs w:val="20"/>
        </w:rPr>
        <w:t>Producción</w:t>
      </w:r>
      <w:r w:rsidR="00BB07EF" w:rsidRPr="00EE4D50">
        <w:rPr>
          <w:rFonts w:ascii="Verdana" w:hAnsi="Verdana" w:cs="Times New Roman"/>
          <w:b w:val="0"/>
          <w:color w:val="auto"/>
          <w:sz w:val="20"/>
          <w:szCs w:val="20"/>
        </w:rPr>
        <w:t xml:space="preserve"> de Maresa S.A.</w:t>
      </w:r>
      <w:bookmarkEnd w:id="47"/>
    </w:p>
    <w:tbl>
      <w:tblPr>
        <w:tblW w:w="6320" w:type="dxa"/>
        <w:jc w:val="center"/>
        <w:tblInd w:w="-1320" w:type="dxa"/>
        <w:tblCellMar>
          <w:left w:w="70" w:type="dxa"/>
          <w:right w:w="70" w:type="dxa"/>
        </w:tblCellMar>
        <w:tblLook w:val="00A0" w:firstRow="1" w:lastRow="0" w:firstColumn="1" w:lastColumn="0" w:noHBand="0" w:noVBand="0"/>
      </w:tblPr>
      <w:tblGrid>
        <w:gridCol w:w="1886"/>
        <w:gridCol w:w="2409"/>
        <w:gridCol w:w="2025"/>
      </w:tblGrid>
      <w:tr w:rsidR="00BB07EF" w:rsidRPr="0019331A" w:rsidTr="000249BE">
        <w:trPr>
          <w:trHeight w:val="1018"/>
          <w:jc w:val="center"/>
        </w:trPr>
        <w:tc>
          <w:tcPr>
            <w:tcW w:w="1886" w:type="dxa"/>
            <w:tcBorders>
              <w:top w:val="single" w:sz="4" w:space="0" w:color="auto"/>
              <w:left w:val="single" w:sz="4" w:space="0" w:color="auto"/>
              <w:bottom w:val="single" w:sz="4" w:space="0" w:color="auto"/>
              <w:right w:val="single" w:sz="8" w:space="0" w:color="auto"/>
            </w:tcBorders>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AÑO</w:t>
            </w:r>
          </w:p>
        </w:tc>
        <w:tc>
          <w:tcPr>
            <w:tcW w:w="2409" w:type="dxa"/>
            <w:tcBorders>
              <w:top w:val="single" w:sz="4" w:space="0" w:color="auto"/>
              <w:left w:val="nil"/>
              <w:bottom w:val="single" w:sz="4" w:space="0" w:color="auto"/>
              <w:right w:val="single" w:sz="8" w:space="0" w:color="auto"/>
            </w:tcBorders>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PRODUCCION (UNIDADES)</w:t>
            </w:r>
          </w:p>
        </w:tc>
        <w:tc>
          <w:tcPr>
            <w:tcW w:w="2025" w:type="dxa"/>
            <w:tcBorders>
              <w:top w:val="single" w:sz="4" w:space="0" w:color="auto"/>
              <w:left w:val="nil"/>
              <w:bottom w:val="single" w:sz="4" w:space="0" w:color="auto"/>
              <w:right w:val="single" w:sz="4" w:space="0" w:color="auto"/>
            </w:tcBorders>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TASA DE CRECIMIENTO</w:t>
            </w:r>
          </w:p>
        </w:tc>
      </w:tr>
      <w:tr w:rsidR="00BB07EF" w:rsidRPr="0019331A" w:rsidTr="000249BE">
        <w:trPr>
          <w:trHeight w:val="264"/>
          <w:jc w:val="center"/>
        </w:trPr>
        <w:tc>
          <w:tcPr>
            <w:tcW w:w="1886" w:type="dxa"/>
            <w:tcBorders>
              <w:top w:val="single" w:sz="4" w:space="0" w:color="auto"/>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1980</w:t>
            </w:r>
          </w:p>
        </w:tc>
        <w:tc>
          <w:tcPr>
            <w:tcW w:w="2409" w:type="dxa"/>
            <w:tcBorders>
              <w:top w:val="single" w:sz="4" w:space="0" w:color="auto"/>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226</w:t>
            </w:r>
          </w:p>
        </w:tc>
        <w:tc>
          <w:tcPr>
            <w:tcW w:w="2025" w:type="dxa"/>
            <w:tcBorders>
              <w:top w:val="single" w:sz="4" w:space="0" w:color="auto"/>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p>
        </w:tc>
      </w:tr>
      <w:tr w:rsidR="00BB07EF" w:rsidRPr="0019331A" w:rsidTr="000249BE">
        <w:trPr>
          <w:trHeight w:val="264"/>
          <w:jc w:val="center"/>
        </w:trPr>
        <w:tc>
          <w:tcPr>
            <w:tcW w:w="1886"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1981</w:t>
            </w:r>
          </w:p>
        </w:tc>
        <w:tc>
          <w:tcPr>
            <w:tcW w:w="2409"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133</w:t>
            </w:r>
          </w:p>
        </w:tc>
        <w:tc>
          <w:tcPr>
            <w:tcW w:w="2025"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-41%</w:t>
            </w:r>
          </w:p>
        </w:tc>
      </w:tr>
      <w:tr w:rsidR="00BB07EF" w:rsidRPr="0019331A" w:rsidTr="000249BE">
        <w:trPr>
          <w:trHeight w:val="264"/>
          <w:jc w:val="center"/>
        </w:trPr>
        <w:tc>
          <w:tcPr>
            <w:tcW w:w="1886"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1982</w:t>
            </w:r>
          </w:p>
        </w:tc>
        <w:tc>
          <w:tcPr>
            <w:tcW w:w="2409"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20</w:t>
            </w:r>
          </w:p>
        </w:tc>
        <w:tc>
          <w:tcPr>
            <w:tcW w:w="2025"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-85%</w:t>
            </w:r>
          </w:p>
        </w:tc>
      </w:tr>
      <w:tr w:rsidR="00BB07EF" w:rsidRPr="0019331A" w:rsidTr="000249BE">
        <w:trPr>
          <w:trHeight w:val="264"/>
          <w:jc w:val="center"/>
        </w:trPr>
        <w:tc>
          <w:tcPr>
            <w:tcW w:w="1886"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1983</w:t>
            </w:r>
          </w:p>
        </w:tc>
        <w:tc>
          <w:tcPr>
            <w:tcW w:w="2409"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0</w:t>
            </w:r>
          </w:p>
        </w:tc>
        <w:tc>
          <w:tcPr>
            <w:tcW w:w="2025"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0%</w:t>
            </w:r>
          </w:p>
        </w:tc>
      </w:tr>
      <w:tr w:rsidR="00BB07EF" w:rsidRPr="0019331A" w:rsidTr="000249BE">
        <w:trPr>
          <w:trHeight w:val="264"/>
          <w:jc w:val="center"/>
        </w:trPr>
        <w:tc>
          <w:tcPr>
            <w:tcW w:w="1886"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1984</w:t>
            </w:r>
          </w:p>
        </w:tc>
        <w:tc>
          <w:tcPr>
            <w:tcW w:w="2409"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0</w:t>
            </w:r>
          </w:p>
        </w:tc>
        <w:tc>
          <w:tcPr>
            <w:tcW w:w="2025"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0%</w:t>
            </w:r>
          </w:p>
        </w:tc>
      </w:tr>
      <w:tr w:rsidR="00BB07EF" w:rsidRPr="0019331A" w:rsidTr="000249BE">
        <w:trPr>
          <w:trHeight w:val="264"/>
          <w:jc w:val="center"/>
        </w:trPr>
        <w:tc>
          <w:tcPr>
            <w:tcW w:w="1886"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1985</w:t>
            </w:r>
          </w:p>
        </w:tc>
        <w:tc>
          <w:tcPr>
            <w:tcW w:w="2409"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0</w:t>
            </w:r>
          </w:p>
        </w:tc>
        <w:tc>
          <w:tcPr>
            <w:tcW w:w="2025"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0%</w:t>
            </w:r>
          </w:p>
        </w:tc>
      </w:tr>
      <w:tr w:rsidR="00BB07EF" w:rsidRPr="0019331A" w:rsidTr="000249BE">
        <w:trPr>
          <w:trHeight w:val="264"/>
          <w:jc w:val="center"/>
        </w:trPr>
        <w:tc>
          <w:tcPr>
            <w:tcW w:w="1886"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1986</w:t>
            </w:r>
          </w:p>
        </w:tc>
        <w:tc>
          <w:tcPr>
            <w:tcW w:w="2409"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876</w:t>
            </w:r>
          </w:p>
        </w:tc>
        <w:tc>
          <w:tcPr>
            <w:tcW w:w="2025"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0%</w:t>
            </w:r>
          </w:p>
        </w:tc>
      </w:tr>
      <w:tr w:rsidR="00BB07EF" w:rsidRPr="0019331A" w:rsidTr="000249BE">
        <w:trPr>
          <w:trHeight w:val="264"/>
          <w:jc w:val="center"/>
        </w:trPr>
        <w:tc>
          <w:tcPr>
            <w:tcW w:w="1886"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1987</w:t>
            </w:r>
          </w:p>
        </w:tc>
        <w:tc>
          <w:tcPr>
            <w:tcW w:w="2409"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1693</w:t>
            </w:r>
          </w:p>
        </w:tc>
        <w:tc>
          <w:tcPr>
            <w:tcW w:w="2025"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93%</w:t>
            </w:r>
          </w:p>
        </w:tc>
      </w:tr>
      <w:tr w:rsidR="00BB07EF" w:rsidRPr="0019331A" w:rsidTr="000249BE">
        <w:trPr>
          <w:trHeight w:val="264"/>
          <w:jc w:val="center"/>
        </w:trPr>
        <w:tc>
          <w:tcPr>
            <w:tcW w:w="1886"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1988</w:t>
            </w:r>
          </w:p>
        </w:tc>
        <w:tc>
          <w:tcPr>
            <w:tcW w:w="2409"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3420</w:t>
            </w:r>
          </w:p>
        </w:tc>
        <w:tc>
          <w:tcPr>
            <w:tcW w:w="2025"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102%</w:t>
            </w:r>
          </w:p>
        </w:tc>
      </w:tr>
      <w:tr w:rsidR="00BB07EF" w:rsidRPr="0019331A" w:rsidTr="000249BE">
        <w:trPr>
          <w:trHeight w:val="264"/>
          <w:jc w:val="center"/>
        </w:trPr>
        <w:tc>
          <w:tcPr>
            <w:tcW w:w="1886"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1989</w:t>
            </w:r>
          </w:p>
        </w:tc>
        <w:tc>
          <w:tcPr>
            <w:tcW w:w="2409"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4968</w:t>
            </w:r>
          </w:p>
        </w:tc>
        <w:tc>
          <w:tcPr>
            <w:tcW w:w="2025"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45%</w:t>
            </w:r>
          </w:p>
        </w:tc>
      </w:tr>
      <w:tr w:rsidR="00BB07EF" w:rsidRPr="0019331A" w:rsidTr="000249BE">
        <w:trPr>
          <w:trHeight w:val="264"/>
          <w:jc w:val="center"/>
        </w:trPr>
        <w:tc>
          <w:tcPr>
            <w:tcW w:w="1886"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1990</w:t>
            </w:r>
          </w:p>
        </w:tc>
        <w:tc>
          <w:tcPr>
            <w:tcW w:w="2409"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4884</w:t>
            </w:r>
          </w:p>
        </w:tc>
        <w:tc>
          <w:tcPr>
            <w:tcW w:w="2025"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-2%</w:t>
            </w:r>
          </w:p>
        </w:tc>
      </w:tr>
      <w:tr w:rsidR="00BB07EF" w:rsidRPr="0019331A" w:rsidTr="000249BE">
        <w:trPr>
          <w:trHeight w:val="264"/>
          <w:jc w:val="center"/>
        </w:trPr>
        <w:tc>
          <w:tcPr>
            <w:tcW w:w="1886"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1991</w:t>
            </w:r>
          </w:p>
        </w:tc>
        <w:tc>
          <w:tcPr>
            <w:tcW w:w="2409"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5642</w:t>
            </w:r>
          </w:p>
        </w:tc>
        <w:tc>
          <w:tcPr>
            <w:tcW w:w="2025"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16%</w:t>
            </w:r>
          </w:p>
        </w:tc>
      </w:tr>
      <w:tr w:rsidR="00BB07EF" w:rsidRPr="0019331A" w:rsidTr="000249BE">
        <w:trPr>
          <w:trHeight w:val="264"/>
          <w:jc w:val="center"/>
        </w:trPr>
        <w:tc>
          <w:tcPr>
            <w:tcW w:w="1886"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1992</w:t>
            </w:r>
          </w:p>
        </w:tc>
        <w:tc>
          <w:tcPr>
            <w:tcW w:w="2409"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6070</w:t>
            </w:r>
          </w:p>
        </w:tc>
        <w:tc>
          <w:tcPr>
            <w:tcW w:w="2025"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8%</w:t>
            </w:r>
          </w:p>
        </w:tc>
      </w:tr>
      <w:tr w:rsidR="00BB07EF" w:rsidRPr="0019331A" w:rsidTr="000249BE">
        <w:trPr>
          <w:trHeight w:val="264"/>
          <w:jc w:val="center"/>
        </w:trPr>
        <w:tc>
          <w:tcPr>
            <w:tcW w:w="1886"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1993</w:t>
            </w:r>
          </w:p>
        </w:tc>
        <w:tc>
          <w:tcPr>
            <w:tcW w:w="2409"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7600</w:t>
            </w:r>
          </w:p>
        </w:tc>
        <w:tc>
          <w:tcPr>
            <w:tcW w:w="2025"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25%</w:t>
            </w:r>
          </w:p>
        </w:tc>
      </w:tr>
      <w:tr w:rsidR="00BB07EF" w:rsidRPr="0019331A" w:rsidTr="000249BE">
        <w:trPr>
          <w:trHeight w:val="264"/>
          <w:jc w:val="center"/>
        </w:trPr>
        <w:tc>
          <w:tcPr>
            <w:tcW w:w="1886"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1994</w:t>
            </w:r>
          </w:p>
        </w:tc>
        <w:tc>
          <w:tcPr>
            <w:tcW w:w="2409"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8097</w:t>
            </w:r>
          </w:p>
        </w:tc>
        <w:tc>
          <w:tcPr>
            <w:tcW w:w="2025"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7%</w:t>
            </w:r>
          </w:p>
        </w:tc>
      </w:tr>
      <w:tr w:rsidR="00BB07EF" w:rsidRPr="0019331A" w:rsidTr="000249BE">
        <w:trPr>
          <w:trHeight w:val="264"/>
          <w:jc w:val="center"/>
        </w:trPr>
        <w:tc>
          <w:tcPr>
            <w:tcW w:w="1886"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1997</w:t>
            </w:r>
          </w:p>
        </w:tc>
        <w:tc>
          <w:tcPr>
            <w:tcW w:w="2409"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4698</w:t>
            </w:r>
          </w:p>
        </w:tc>
        <w:tc>
          <w:tcPr>
            <w:tcW w:w="2025"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-42</w:t>
            </w:r>
          </w:p>
        </w:tc>
      </w:tr>
      <w:tr w:rsidR="00BB07EF" w:rsidRPr="0019331A" w:rsidTr="000249BE">
        <w:trPr>
          <w:trHeight w:val="264"/>
          <w:jc w:val="center"/>
        </w:trPr>
        <w:tc>
          <w:tcPr>
            <w:tcW w:w="1886"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1998</w:t>
            </w:r>
          </w:p>
        </w:tc>
        <w:tc>
          <w:tcPr>
            <w:tcW w:w="2409"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6607</w:t>
            </w:r>
          </w:p>
        </w:tc>
        <w:tc>
          <w:tcPr>
            <w:tcW w:w="2025"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41</w:t>
            </w:r>
          </w:p>
        </w:tc>
      </w:tr>
      <w:tr w:rsidR="00BB07EF" w:rsidRPr="0019331A" w:rsidTr="000249BE">
        <w:trPr>
          <w:trHeight w:val="264"/>
          <w:jc w:val="center"/>
        </w:trPr>
        <w:tc>
          <w:tcPr>
            <w:tcW w:w="1886"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1999</w:t>
            </w:r>
          </w:p>
        </w:tc>
        <w:tc>
          <w:tcPr>
            <w:tcW w:w="2409"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1999</w:t>
            </w:r>
          </w:p>
        </w:tc>
        <w:tc>
          <w:tcPr>
            <w:tcW w:w="2025"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-70</w:t>
            </w:r>
          </w:p>
        </w:tc>
      </w:tr>
      <w:tr w:rsidR="00BB07EF" w:rsidRPr="0019331A" w:rsidTr="000249BE">
        <w:trPr>
          <w:trHeight w:val="264"/>
          <w:jc w:val="center"/>
        </w:trPr>
        <w:tc>
          <w:tcPr>
            <w:tcW w:w="1886"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2000</w:t>
            </w:r>
          </w:p>
        </w:tc>
        <w:tc>
          <w:tcPr>
            <w:tcW w:w="2409"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1491</w:t>
            </w:r>
          </w:p>
        </w:tc>
        <w:tc>
          <w:tcPr>
            <w:tcW w:w="2025"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-25</w:t>
            </w:r>
          </w:p>
        </w:tc>
      </w:tr>
      <w:tr w:rsidR="00BB07EF" w:rsidRPr="0019331A" w:rsidTr="000249BE">
        <w:trPr>
          <w:trHeight w:val="264"/>
          <w:jc w:val="center"/>
        </w:trPr>
        <w:tc>
          <w:tcPr>
            <w:tcW w:w="1886"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2001</w:t>
            </w:r>
          </w:p>
        </w:tc>
        <w:tc>
          <w:tcPr>
            <w:tcW w:w="2409"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1848</w:t>
            </w:r>
          </w:p>
        </w:tc>
        <w:tc>
          <w:tcPr>
            <w:tcW w:w="2025"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24</w:t>
            </w:r>
          </w:p>
        </w:tc>
      </w:tr>
      <w:tr w:rsidR="00BB07EF" w:rsidRPr="0019331A" w:rsidTr="000249BE">
        <w:trPr>
          <w:trHeight w:val="264"/>
          <w:jc w:val="center"/>
        </w:trPr>
        <w:tc>
          <w:tcPr>
            <w:tcW w:w="1886" w:type="dxa"/>
            <w:tcBorders>
              <w:top w:val="nil"/>
              <w:left w:val="single" w:sz="8" w:space="0" w:color="auto"/>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2002</w:t>
            </w:r>
          </w:p>
        </w:tc>
        <w:tc>
          <w:tcPr>
            <w:tcW w:w="2409"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2839</w:t>
            </w:r>
          </w:p>
        </w:tc>
        <w:tc>
          <w:tcPr>
            <w:tcW w:w="2025" w:type="dxa"/>
            <w:tcBorders>
              <w:top w:val="nil"/>
              <w:left w:val="nil"/>
              <w:bottom w:val="single" w:sz="8" w:space="0" w:color="auto"/>
              <w:right w:val="single" w:sz="8"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szCs w:val="16"/>
                <w:lang w:eastAsia="es-EC"/>
              </w:rPr>
            </w:pPr>
            <w:r w:rsidRPr="0019331A">
              <w:rPr>
                <w:rFonts w:ascii="Verdana" w:hAnsi="Verdana" w:cs="Times New Roman"/>
                <w:color w:val="000000"/>
                <w:sz w:val="16"/>
                <w:szCs w:val="16"/>
                <w:lang w:eastAsia="es-EC"/>
              </w:rPr>
              <w:t>54</w:t>
            </w:r>
          </w:p>
        </w:tc>
      </w:tr>
    </w:tbl>
    <w:p w:rsidR="00BB07EF" w:rsidRPr="00EE4D50" w:rsidRDefault="000249BE" w:rsidP="00EC63DA">
      <w:pPr>
        <w:spacing w:after="0" w:line="240" w:lineRule="auto"/>
        <w:jc w:val="center"/>
        <w:rPr>
          <w:rFonts w:ascii="Verdana" w:hAnsi="Verdana" w:cs="Times New Roman"/>
          <w:sz w:val="20"/>
        </w:rPr>
      </w:pPr>
      <w:r>
        <w:rPr>
          <w:rFonts w:ascii="Verdana" w:hAnsi="Verdana" w:cs="Times New Roman"/>
          <w:bCs/>
          <w:sz w:val="20"/>
        </w:rPr>
        <w:t xml:space="preserve">          </w:t>
      </w:r>
      <w:r w:rsidR="00BB07EF" w:rsidRPr="00EE4D50">
        <w:rPr>
          <w:rFonts w:ascii="Verdana" w:hAnsi="Verdana" w:cs="Times New Roman"/>
          <w:bCs/>
          <w:sz w:val="20"/>
        </w:rPr>
        <w:t>Fuentes:</w:t>
      </w:r>
      <w:r w:rsidR="00BB07EF" w:rsidRPr="00EE4D50">
        <w:rPr>
          <w:rFonts w:ascii="Verdana" w:hAnsi="Verdana" w:cs="Times New Roman"/>
          <w:sz w:val="20"/>
        </w:rPr>
        <w:t xml:space="preserve"> *1988-1994</w:t>
      </w:r>
      <w:r w:rsidR="00337B4C" w:rsidRPr="00EE4D50">
        <w:rPr>
          <w:rFonts w:ascii="Verdana" w:hAnsi="Verdana" w:cs="Times New Roman"/>
          <w:sz w:val="20"/>
        </w:rPr>
        <w:t>: Kleparnik</w:t>
      </w:r>
      <w:r w:rsidR="00BB07EF" w:rsidRPr="00EE4D50">
        <w:rPr>
          <w:rFonts w:ascii="Verdana" w:hAnsi="Verdana" w:cs="Times New Roman"/>
          <w:sz w:val="20"/>
        </w:rPr>
        <w:t xml:space="preserve"> (1996) **1995-2002</w:t>
      </w:r>
      <w:r w:rsidR="00337B4C" w:rsidRPr="00EE4D50">
        <w:rPr>
          <w:rFonts w:ascii="Verdana" w:hAnsi="Verdana" w:cs="Times New Roman"/>
          <w:sz w:val="20"/>
        </w:rPr>
        <w:t>: Hidrobo</w:t>
      </w:r>
      <w:r w:rsidR="00BB07EF" w:rsidRPr="00EE4D50">
        <w:rPr>
          <w:rFonts w:ascii="Verdana" w:hAnsi="Verdana" w:cs="Times New Roman"/>
          <w:sz w:val="20"/>
        </w:rPr>
        <w:t xml:space="preserve"> (2004)</w:t>
      </w:r>
    </w:p>
    <w:p w:rsidR="00BB07EF" w:rsidRPr="00EE4D50" w:rsidRDefault="001F10CC" w:rsidP="00EC63DA">
      <w:pPr>
        <w:spacing w:after="0" w:line="240" w:lineRule="auto"/>
        <w:jc w:val="both"/>
        <w:rPr>
          <w:rFonts w:ascii="Verdana" w:hAnsi="Verdana" w:cs="Times New Roman"/>
          <w:sz w:val="20"/>
        </w:rPr>
      </w:pPr>
      <w:r w:rsidRPr="00EE4D50">
        <w:rPr>
          <w:rFonts w:ascii="Verdana" w:hAnsi="Verdana" w:cs="Times New Roman"/>
          <w:bCs/>
          <w:sz w:val="20"/>
        </w:rPr>
        <w:t xml:space="preserve">    </w:t>
      </w:r>
      <w:r w:rsidR="006B2559" w:rsidRPr="00EE4D50">
        <w:rPr>
          <w:rFonts w:ascii="Verdana" w:hAnsi="Verdana" w:cs="Times New Roman"/>
          <w:bCs/>
          <w:sz w:val="20"/>
        </w:rPr>
        <w:t xml:space="preserve">     </w:t>
      </w:r>
      <w:r w:rsidRPr="00EE4D50">
        <w:rPr>
          <w:rFonts w:ascii="Verdana" w:hAnsi="Verdana" w:cs="Times New Roman"/>
          <w:bCs/>
          <w:sz w:val="20"/>
        </w:rPr>
        <w:t xml:space="preserve"> </w:t>
      </w:r>
      <w:r w:rsidR="00250095">
        <w:rPr>
          <w:rFonts w:ascii="Verdana" w:hAnsi="Verdana" w:cs="Times New Roman"/>
          <w:bCs/>
          <w:sz w:val="20"/>
        </w:rPr>
        <w:t xml:space="preserve"> </w:t>
      </w:r>
      <w:r w:rsidR="000249BE">
        <w:rPr>
          <w:rFonts w:ascii="Verdana" w:hAnsi="Verdana" w:cs="Times New Roman"/>
          <w:bCs/>
          <w:sz w:val="20"/>
        </w:rPr>
        <w:t xml:space="preserve">     </w:t>
      </w:r>
      <w:r w:rsidR="00250095">
        <w:rPr>
          <w:rFonts w:ascii="Verdana" w:hAnsi="Verdana" w:cs="Times New Roman"/>
          <w:bCs/>
          <w:sz w:val="20"/>
        </w:rPr>
        <w:t xml:space="preserve"> </w:t>
      </w:r>
      <w:r w:rsidRPr="00EE4D50">
        <w:rPr>
          <w:rFonts w:ascii="Verdana" w:hAnsi="Verdana" w:cs="Times New Roman"/>
          <w:bCs/>
          <w:sz w:val="20"/>
        </w:rPr>
        <w:t xml:space="preserve"> </w:t>
      </w:r>
      <w:r w:rsidR="00BB07EF" w:rsidRPr="00EE4D50">
        <w:rPr>
          <w:rFonts w:ascii="Verdana" w:hAnsi="Verdana" w:cs="Times New Roman"/>
          <w:bCs/>
          <w:sz w:val="20"/>
        </w:rPr>
        <w:t>Elaboración:</w:t>
      </w:r>
      <w:r w:rsidR="00BB07EF" w:rsidRPr="00EE4D50">
        <w:rPr>
          <w:rFonts w:ascii="Verdana" w:hAnsi="Verdana" w:cs="Times New Roman"/>
          <w:sz w:val="20"/>
        </w:rPr>
        <w:t xml:space="preserve"> Autor</w:t>
      </w:r>
      <w:r w:rsidR="000249BE">
        <w:rPr>
          <w:rFonts w:ascii="Verdana" w:hAnsi="Verdana" w:cs="Times New Roman"/>
          <w:sz w:val="20"/>
        </w:rPr>
        <w:t>a</w:t>
      </w:r>
    </w:p>
    <w:p w:rsidR="00BB07EF" w:rsidRPr="00EE4D50" w:rsidRDefault="00BB07EF" w:rsidP="00EC63DA">
      <w:pPr>
        <w:pStyle w:val="Sinespaciado"/>
        <w:spacing w:line="276" w:lineRule="auto"/>
        <w:jc w:val="both"/>
        <w:rPr>
          <w:rFonts w:ascii="Verdana" w:hAnsi="Verdana" w:cs="Times New Roman"/>
        </w:rPr>
      </w:pPr>
    </w:p>
    <w:p w:rsidR="001A51BB" w:rsidRPr="00EE4D50" w:rsidRDefault="001A51BB" w:rsidP="00EC63DA">
      <w:pPr>
        <w:pStyle w:val="Sinespaciado"/>
        <w:spacing w:line="276" w:lineRule="auto"/>
        <w:jc w:val="both"/>
        <w:rPr>
          <w:rFonts w:ascii="Verdana" w:hAnsi="Verdana" w:cs="Times New Roman"/>
        </w:rPr>
      </w:pPr>
    </w:p>
    <w:p w:rsidR="001A51BB" w:rsidRPr="00EE4D50" w:rsidRDefault="00BB07EF" w:rsidP="00EC63DA">
      <w:pPr>
        <w:spacing w:after="60"/>
        <w:jc w:val="both"/>
        <w:rPr>
          <w:rFonts w:ascii="Verdana" w:hAnsi="Verdana" w:cs="Times New Roman"/>
        </w:rPr>
      </w:pPr>
      <w:r w:rsidRPr="00EE4D50">
        <w:rPr>
          <w:rFonts w:ascii="Verdana" w:hAnsi="Verdana" w:cs="Times New Roman"/>
        </w:rPr>
        <w:t xml:space="preserve">Maresa con relación a las otras ensambladoras localizadas en el país, ha producido menores cantidades. En 1980 alcanzó 226 unidades, posteriormente con una baja del -41% y -85% para los años 1981 y 1982 respectivamente, dejo de operar los siguientes 3 años, volviendo a recuperar su producción con cantidades que se fueron elevando al pasar los años, hasta llegar a 1997, donde presentó una disminución de -42%. </w:t>
      </w:r>
    </w:p>
    <w:p w:rsidR="004D467B" w:rsidRPr="00EE4D50" w:rsidRDefault="00BB07EF" w:rsidP="00EC63DA">
      <w:pPr>
        <w:spacing w:after="60"/>
        <w:jc w:val="both"/>
        <w:rPr>
          <w:rFonts w:ascii="Verdana" w:hAnsi="Verdana" w:cs="Times New Roman"/>
        </w:rPr>
      </w:pPr>
      <w:r w:rsidRPr="00EE4D50">
        <w:rPr>
          <w:rFonts w:ascii="Verdana" w:hAnsi="Verdana" w:cs="Times New Roman"/>
        </w:rPr>
        <w:lastRenderedPageBreak/>
        <w:t>Maresa ha demostrado tener gran capacidad para aumentar su producción según las exigencias que ha presentado el mercado. Las estadísticas muestran que en la crisis económica de los años 80´s la producción tuvo un giro, y en los años 81, 83 y 87 se observó un decremento productivo.</w:t>
      </w:r>
    </w:p>
    <w:p w:rsidR="001A51BB" w:rsidRPr="00EE4D50" w:rsidRDefault="001A51BB" w:rsidP="00EC63DA">
      <w:pPr>
        <w:spacing w:after="60"/>
        <w:jc w:val="both"/>
        <w:rPr>
          <w:rFonts w:ascii="Verdana" w:hAnsi="Verdana" w:cs="Times New Roman"/>
        </w:rPr>
      </w:pPr>
    </w:p>
    <w:p w:rsidR="001A51BB" w:rsidRPr="00EE4D50" w:rsidRDefault="00BB07EF" w:rsidP="00EC63DA">
      <w:pPr>
        <w:spacing w:after="60"/>
        <w:jc w:val="both"/>
        <w:rPr>
          <w:rFonts w:ascii="Verdana" w:hAnsi="Verdana" w:cs="Times New Roman"/>
        </w:rPr>
      </w:pPr>
      <w:r w:rsidRPr="00EE4D50">
        <w:rPr>
          <w:rFonts w:ascii="Verdana" w:hAnsi="Verdana" w:cs="Times New Roman"/>
        </w:rPr>
        <w:t>A partir del año 1988 la situación de la ensambladora empezó a mejorar. Los años 1999 y 2000 fueron de caídas considerables por la crisis financiera del país de -70% y -25% de tasa de crecimiento respectivamente, para los años siguientes se observó un considerable aumento en la tasa de crecimiento en su producción de 24% pa</w:t>
      </w:r>
      <w:r w:rsidR="001A51BB" w:rsidRPr="00EE4D50">
        <w:rPr>
          <w:rFonts w:ascii="Verdana" w:hAnsi="Verdana" w:cs="Times New Roman"/>
        </w:rPr>
        <w:t>ra el 2001 y 54%  para el 2002.</w:t>
      </w:r>
    </w:p>
    <w:p w:rsidR="001A51BB" w:rsidRPr="00EE4D50" w:rsidRDefault="001A51BB" w:rsidP="00EC63DA">
      <w:pPr>
        <w:spacing w:after="60"/>
        <w:jc w:val="both"/>
        <w:rPr>
          <w:rFonts w:ascii="Verdana" w:hAnsi="Verdana" w:cs="Times New Roman"/>
        </w:rPr>
      </w:pPr>
    </w:p>
    <w:p w:rsidR="00BB07EF" w:rsidRPr="00EE4D50" w:rsidRDefault="00BB07EF" w:rsidP="00EC63DA">
      <w:pPr>
        <w:pStyle w:val="Ttulo3"/>
        <w:rPr>
          <w:rFonts w:ascii="Verdana" w:hAnsi="Verdana" w:cs="Times New Roman"/>
          <w:i/>
          <w:color w:val="auto"/>
          <w:sz w:val="28"/>
        </w:rPr>
      </w:pPr>
      <w:bookmarkStart w:id="48" w:name="_Toc459992044"/>
      <w:bookmarkStart w:id="49" w:name="_Toc485137206"/>
      <w:r w:rsidRPr="00EE4D50">
        <w:rPr>
          <w:rFonts w:ascii="Verdana" w:hAnsi="Verdana" w:cs="Times New Roman"/>
          <w:i/>
          <w:color w:val="auto"/>
          <w:sz w:val="28"/>
        </w:rPr>
        <w:t>C</w:t>
      </w:r>
      <w:bookmarkEnd w:id="48"/>
      <w:r w:rsidR="00963D63" w:rsidRPr="00EE4D50">
        <w:rPr>
          <w:rFonts w:ascii="Verdana" w:hAnsi="Verdana" w:cs="Times New Roman"/>
          <w:i/>
          <w:color w:val="auto"/>
          <w:sz w:val="28"/>
        </w:rPr>
        <w:t>oenansa</w:t>
      </w:r>
      <w:bookmarkEnd w:id="49"/>
    </w:p>
    <w:p w:rsidR="00BB07EF" w:rsidRPr="00EE4D50" w:rsidRDefault="00BB07EF" w:rsidP="00EC63DA">
      <w:pPr>
        <w:spacing w:after="60"/>
        <w:jc w:val="both"/>
        <w:rPr>
          <w:rFonts w:ascii="Verdana" w:hAnsi="Verdana" w:cs="Times New Roman"/>
        </w:rPr>
      </w:pPr>
    </w:p>
    <w:p w:rsidR="001A51BB" w:rsidRPr="00EE4D50" w:rsidRDefault="00BB07EF" w:rsidP="00EC63DA">
      <w:pPr>
        <w:spacing w:after="60"/>
        <w:jc w:val="both"/>
        <w:rPr>
          <w:rFonts w:ascii="Verdana" w:hAnsi="Verdana" w:cs="Times New Roman"/>
        </w:rPr>
      </w:pPr>
      <w:r w:rsidRPr="00EE4D50">
        <w:rPr>
          <w:rFonts w:ascii="Verdana" w:hAnsi="Verdana" w:cs="Times New Roman"/>
        </w:rPr>
        <w:t>Corporación Ensambladora Automotriz Nacional, fue la última planta ensambladora de automotores establecida en el Ecuador. Esta corporación empezó sus funciones en la ciudad de Manta y pertenecía al grupo Noboa, emprendió sus operaciones en el año 1991. Su producción se enfocaba en la fabricación de vehículos Fiat de tecnología europea y Mitsubishi procedente de Japón y dejo de ensamblar en el año 1997. Esta empresa ensamblo Fiat y Mitsubishi (Fiat- Spazio, 2008).</w:t>
      </w:r>
    </w:p>
    <w:p w:rsidR="0020035A" w:rsidRPr="00EE4D50" w:rsidRDefault="0020035A" w:rsidP="00EC63DA">
      <w:pPr>
        <w:spacing w:after="60"/>
        <w:jc w:val="both"/>
        <w:rPr>
          <w:rFonts w:ascii="Verdana" w:hAnsi="Verdana" w:cs="Times New Roman"/>
        </w:rPr>
      </w:pPr>
    </w:p>
    <w:p w:rsidR="00BB07EF" w:rsidRPr="00EE4D50" w:rsidRDefault="00536A2E" w:rsidP="00EC63DA">
      <w:pPr>
        <w:pStyle w:val="Epgrafe"/>
        <w:spacing w:after="0"/>
        <w:jc w:val="center"/>
        <w:rPr>
          <w:rFonts w:ascii="Verdana" w:hAnsi="Verdana" w:cs="Times New Roman"/>
          <w:b w:val="0"/>
          <w:color w:val="auto"/>
          <w:sz w:val="20"/>
          <w:szCs w:val="20"/>
        </w:rPr>
      </w:pPr>
      <w:bookmarkStart w:id="50" w:name="_Toc473640119"/>
      <w:r w:rsidRPr="00EE4D50">
        <w:rPr>
          <w:rFonts w:ascii="Verdana" w:hAnsi="Verdana" w:cs="Times New Roman"/>
          <w:color w:val="auto"/>
          <w:sz w:val="20"/>
          <w:szCs w:val="20"/>
        </w:rPr>
        <w:t xml:space="preserve">Tabla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Tabla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4</w:t>
      </w:r>
      <w:r w:rsidRPr="00EE4D50">
        <w:rPr>
          <w:rFonts w:ascii="Verdana" w:hAnsi="Verdana" w:cs="Times New Roman"/>
          <w:color w:val="auto"/>
          <w:sz w:val="20"/>
          <w:szCs w:val="20"/>
        </w:rPr>
        <w:fldChar w:fldCharType="end"/>
      </w:r>
      <w:r w:rsidR="00BB07EF" w:rsidRPr="00EE4D50">
        <w:rPr>
          <w:rFonts w:ascii="Verdana" w:hAnsi="Verdana" w:cs="Times New Roman"/>
          <w:b w:val="0"/>
          <w:color w:val="auto"/>
          <w:sz w:val="20"/>
          <w:szCs w:val="20"/>
        </w:rPr>
        <w:t>: Producción Coenansa</w:t>
      </w:r>
      <w:bookmarkEnd w:id="50"/>
    </w:p>
    <w:tbl>
      <w:tblPr>
        <w:tblW w:w="4308" w:type="dxa"/>
        <w:jc w:val="center"/>
        <w:tblInd w:w="-68" w:type="dxa"/>
        <w:tblCellMar>
          <w:left w:w="70" w:type="dxa"/>
          <w:right w:w="70" w:type="dxa"/>
        </w:tblCellMar>
        <w:tblLook w:val="00A0" w:firstRow="1" w:lastRow="0" w:firstColumn="1" w:lastColumn="0" w:noHBand="0" w:noVBand="0"/>
      </w:tblPr>
      <w:tblGrid>
        <w:gridCol w:w="1200"/>
        <w:gridCol w:w="1529"/>
        <w:gridCol w:w="1579"/>
      </w:tblGrid>
      <w:tr w:rsidR="00BB07EF" w:rsidRPr="00EE4D50" w:rsidTr="000B7F55">
        <w:trPr>
          <w:trHeight w:val="600"/>
          <w:jc w:val="center"/>
        </w:trPr>
        <w:tc>
          <w:tcPr>
            <w:tcW w:w="1200" w:type="dxa"/>
            <w:tcBorders>
              <w:top w:val="single" w:sz="4" w:space="0" w:color="auto"/>
              <w:left w:val="single" w:sz="4" w:space="0" w:color="auto"/>
              <w:bottom w:val="single" w:sz="4" w:space="0" w:color="auto"/>
              <w:right w:val="single" w:sz="4" w:space="0" w:color="auto"/>
            </w:tcBorders>
            <w:vAlign w:val="center"/>
          </w:tcPr>
          <w:p w:rsidR="00BB07EF" w:rsidRPr="00EE4D50" w:rsidRDefault="00BB07EF" w:rsidP="00EC63DA">
            <w:pPr>
              <w:spacing w:after="0" w:line="240" w:lineRule="auto"/>
              <w:jc w:val="center"/>
              <w:rPr>
                <w:rFonts w:ascii="Verdana" w:hAnsi="Verdana" w:cs="Times New Roman"/>
                <w:color w:val="000000"/>
                <w:sz w:val="20"/>
                <w:szCs w:val="20"/>
                <w:lang w:eastAsia="es-EC"/>
              </w:rPr>
            </w:pPr>
            <w:r w:rsidRPr="00EE4D50">
              <w:rPr>
                <w:rFonts w:ascii="Verdana" w:hAnsi="Verdana" w:cs="Times New Roman"/>
                <w:color w:val="000000"/>
                <w:sz w:val="20"/>
                <w:szCs w:val="20"/>
                <w:lang w:eastAsia="es-EC"/>
              </w:rPr>
              <w:t>AÑO</w:t>
            </w:r>
          </w:p>
        </w:tc>
        <w:tc>
          <w:tcPr>
            <w:tcW w:w="1529" w:type="dxa"/>
            <w:tcBorders>
              <w:top w:val="single" w:sz="4" w:space="0" w:color="auto"/>
              <w:left w:val="nil"/>
              <w:bottom w:val="single" w:sz="4" w:space="0" w:color="auto"/>
              <w:right w:val="single" w:sz="4" w:space="0" w:color="auto"/>
            </w:tcBorders>
            <w:vAlign w:val="center"/>
          </w:tcPr>
          <w:p w:rsidR="00BB07EF" w:rsidRPr="00EE4D50" w:rsidRDefault="00BB07EF" w:rsidP="00EC63DA">
            <w:pPr>
              <w:spacing w:after="0" w:line="240" w:lineRule="auto"/>
              <w:jc w:val="center"/>
              <w:rPr>
                <w:rFonts w:ascii="Verdana" w:hAnsi="Verdana" w:cs="Times New Roman"/>
                <w:color w:val="000000"/>
                <w:sz w:val="20"/>
                <w:szCs w:val="20"/>
                <w:lang w:eastAsia="es-EC"/>
              </w:rPr>
            </w:pPr>
            <w:r w:rsidRPr="00EE4D50">
              <w:rPr>
                <w:rFonts w:ascii="Verdana" w:hAnsi="Verdana" w:cs="Times New Roman"/>
                <w:color w:val="000000"/>
                <w:sz w:val="20"/>
                <w:szCs w:val="20"/>
                <w:lang w:eastAsia="es-EC"/>
              </w:rPr>
              <w:t>PRODUCCION (UNIDADES)</w:t>
            </w:r>
          </w:p>
        </w:tc>
        <w:tc>
          <w:tcPr>
            <w:tcW w:w="1579" w:type="dxa"/>
            <w:tcBorders>
              <w:top w:val="single" w:sz="4" w:space="0" w:color="auto"/>
              <w:left w:val="nil"/>
              <w:bottom w:val="single" w:sz="4" w:space="0" w:color="auto"/>
              <w:right w:val="single" w:sz="4" w:space="0" w:color="auto"/>
            </w:tcBorders>
            <w:vAlign w:val="center"/>
          </w:tcPr>
          <w:p w:rsidR="00BB07EF" w:rsidRPr="00EE4D50" w:rsidRDefault="00BB07EF" w:rsidP="00EC63DA">
            <w:pPr>
              <w:spacing w:after="0" w:line="240" w:lineRule="auto"/>
              <w:jc w:val="center"/>
              <w:rPr>
                <w:rFonts w:ascii="Verdana" w:hAnsi="Verdana" w:cs="Times New Roman"/>
                <w:color w:val="000000"/>
                <w:sz w:val="20"/>
                <w:szCs w:val="20"/>
                <w:lang w:eastAsia="es-EC"/>
              </w:rPr>
            </w:pPr>
            <w:r w:rsidRPr="00EE4D50">
              <w:rPr>
                <w:rFonts w:ascii="Verdana" w:hAnsi="Verdana" w:cs="Times New Roman"/>
                <w:color w:val="000000"/>
                <w:sz w:val="20"/>
                <w:szCs w:val="20"/>
                <w:lang w:eastAsia="es-EC"/>
              </w:rPr>
              <w:t>TASA DE CRECIMIENTO</w:t>
            </w:r>
          </w:p>
        </w:tc>
      </w:tr>
      <w:tr w:rsidR="00BB07EF" w:rsidRPr="00EE4D50" w:rsidTr="000B7F55">
        <w:trPr>
          <w:trHeight w:val="300"/>
          <w:jc w:val="center"/>
        </w:trPr>
        <w:tc>
          <w:tcPr>
            <w:tcW w:w="1200" w:type="dxa"/>
            <w:tcBorders>
              <w:top w:val="nil"/>
              <w:left w:val="single" w:sz="4" w:space="0" w:color="auto"/>
              <w:bottom w:val="single" w:sz="4" w:space="0" w:color="auto"/>
              <w:right w:val="single" w:sz="4" w:space="0" w:color="auto"/>
            </w:tcBorders>
            <w:noWrap/>
            <w:vAlign w:val="center"/>
          </w:tcPr>
          <w:p w:rsidR="00BB07EF" w:rsidRPr="00EE4D50" w:rsidRDefault="00BB07EF" w:rsidP="00EC63DA">
            <w:pPr>
              <w:spacing w:after="0" w:line="240" w:lineRule="auto"/>
              <w:jc w:val="center"/>
              <w:rPr>
                <w:rFonts w:ascii="Verdana" w:hAnsi="Verdana" w:cs="Times New Roman"/>
                <w:color w:val="000000"/>
                <w:sz w:val="20"/>
                <w:szCs w:val="20"/>
                <w:lang w:eastAsia="es-EC"/>
              </w:rPr>
            </w:pPr>
            <w:r w:rsidRPr="00EE4D50">
              <w:rPr>
                <w:rFonts w:ascii="Verdana" w:hAnsi="Verdana" w:cs="Times New Roman"/>
                <w:color w:val="000000"/>
                <w:sz w:val="20"/>
                <w:szCs w:val="20"/>
                <w:lang w:eastAsia="es-EC"/>
              </w:rPr>
              <w:t>1991</w:t>
            </w:r>
          </w:p>
        </w:tc>
        <w:tc>
          <w:tcPr>
            <w:tcW w:w="1529" w:type="dxa"/>
            <w:tcBorders>
              <w:top w:val="nil"/>
              <w:left w:val="nil"/>
              <w:bottom w:val="single" w:sz="4" w:space="0" w:color="auto"/>
              <w:right w:val="single" w:sz="4" w:space="0" w:color="auto"/>
            </w:tcBorders>
            <w:noWrap/>
            <w:vAlign w:val="center"/>
          </w:tcPr>
          <w:p w:rsidR="00BB07EF" w:rsidRPr="00EE4D50" w:rsidRDefault="00BB07EF" w:rsidP="00EC63DA">
            <w:pPr>
              <w:spacing w:after="0" w:line="240" w:lineRule="auto"/>
              <w:jc w:val="center"/>
              <w:rPr>
                <w:rFonts w:ascii="Verdana" w:hAnsi="Verdana" w:cs="Times New Roman"/>
                <w:color w:val="000000"/>
                <w:sz w:val="20"/>
                <w:szCs w:val="20"/>
                <w:lang w:eastAsia="es-EC"/>
              </w:rPr>
            </w:pPr>
            <w:r w:rsidRPr="00EE4D50">
              <w:rPr>
                <w:rFonts w:ascii="Verdana" w:hAnsi="Verdana" w:cs="Times New Roman"/>
                <w:color w:val="000000"/>
                <w:sz w:val="20"/>
                <w:szCs w:val="20"/>
                <w:lang w:eastAsia="es-EC"/>
              </w:rPr>
              <w:t>144</w:t>
            </w:r>
          </w:p>
        </w:tc>
        <w:tc>
          <w:tcPr>
            <w:tcW w:w="1579" w:type="dxa"/>
            <w:tcBorders>
              <w:top w:val="nil"/>
              <w:left w:val="nil"/>
              <w:bottom w:val="single" w:sz="4" w:space="0" w:color="auto"/>
              <w:right w:val="single" w:sz="4" w:space="0" w:color="auto"/>
            </w:tcBorders>
            <w:noWrap/>
            <w:vAlign w:val="center"/>
          </w:tcPr>
          <w:p w:rsidR="00BB07EF" w:rsidRPr="00EE4D50" w:rsidRDefault="00BB07EF" w:rsidP="00EC63DA">
            <w:pPr>
              <w:spacing w:after="0" w:line="240" w:lineRule="auto"/>
              <w:jc w:val="center"/>
              <w:rPr>
                <w:rFonts w:ascii="Verdana" w:hAnsi="Verdana" w:cs="Times New Roman"/>
                <w:color w:val="000000"/>
                <w:sz w:val="20"/>
                <w:szCs w:val="20"/>
                <w:lang w:eastAsia="es-EC"/>
              </w:rPr>
            </w:pPr>
            <w:r w:rsidRPr="00EE4D50">
              <w:rPr>
                <w:rFonts w:ascii="Verdana" w:hAnsi="Verdana" w:cs="Times New Roman"/>
                <w:color w:val="000000"/>
                <w:sz w:val="20"/>
                <w:szCs w:val="20"/>
                <w:lang w:eastAsia="es-EC"/>
              </w:rPr>
              <w:t>0%</w:t>
            </w:r>
          </w:p>
        </w:tc>
      </w:tr>
      <w:tr w:rsidR="00BB07EF" w:rsidRPr="00EE4D50" w:rsidTr="000B7F55">
        <w:trPr>
          <w:trHeight w:val="300"/>
          <w:jc w:val="center"/>
        </w:trPr>
        <w:tc>
          <w:tcPr>
            <w:tcW w:w="1200" w:type="dxa"/>
            <w:tcBorders>
              <w:top w:val="nil"/>
              <w:left w:val="single" w:sz="4" w:space="0" w:color="auto"/>
              <w:bottom w:val="single" w:sz="4" w:space="0" w:color="auto"/>
              <w:right w:val="single" w:sz="4" w:space="0" w:color="auto"/>
            </w:tcBorders>
            <w:noWrap/>
            <w:vAlign w:val="center"/>
          </w:tcPr>
          <w:p w:rsidR="00BB07EF" w:rsidRPr="00EE4D50" w:rsidRDefault="00BB07EF" w:rsidP="00EC63DA">
            <w:pPr>
              <w:spacing w:after="0" w:line="240" w:lineRule="auto"/>
              <w:jc w:val="center"/>
              <w:rPr>
                <w:rFonts w:ascii="Verdana" w:hAnsi="Verdana" w:cs="Times New Roman"/>
                <w:color w:val="000000"/>
                <w:sz w:val="20"/>
                <w:szCs w:val="20"/>
                <w:lang w:eastAsia="es-EC"/>
              </w:rPr>
            </w:pPr>
            <w:r w:rsidRPr="00EE4D50">
              <w:rPr>
                <w:rFonts w:ascii="Verdana" w:hAnsi="Verdana" w:cs="Times New Roman"/>
                <w:color w:val="000000"/>
                <w:sz w:val="20"/>
                <w:szCs w:val="20"/>
                <w:lang w:eastAsia="es-EC"/>
              </w:rPr>
              <w:t>1992</w:t>
            </w:r>
          </w:p>
        </w:tc>
        <w:tc>
          <w:tcPr>
            <w:tcW w:w="1529" w:type="dxa"/>
            <w:tcBorders>
              <w:top w:val="nil"/>
              <w:left w:val="nil"/>
              <w:bottom w:val="single" w:sz="4" w:space="0" w:color="auto"/>
              <w:right w:val="single" w:sz="4" w:space="0" w:color="auto"/>
            </w:tcBorders>
            <w:noWrap/>
            <w:vAlign w:val="center"/>
          </w:tcPr>
          <w:p w:rsidR="00BB07EF" w:rsidRPr="00EE4D50" w:rsidRDefault="00BB07EF" w:rsidP="00EC63DA">
            <w:pPr>
              <w:spacing w:after="0" w:line="240" w:lineRule="auto"/>
              <w:jc w:val="center"/>
              <w:rPr>
                <w:rFonts w:ascii="Verdana" w:hAnsi="Verdana" w:cs="Times New Roman"/>
                <w:color w:val="000000"/>
                <w:sz w:val="20"/>
                <w:szCs w:val="20"/>
                <w:lang w:eastAsia="es-EC"/>
              </w:rPr>
            </w:pPr>
            <w:r w:rsidRPr="00EE4D50">
              <w:rPr>
                <w:rFonts w:ascii="Verdana" w:hAnsi="Verdana" w:cs="Times New Roman"/>
                <w:color w:val="000000"/>
                <w:sz w:val="20"/>
                <w:szCs w:val="20"/>
                <w:lang w:eastAsia="es-EC"/>
              </w:rPr>
              <w:t>4.010</w:t>
            </w:r>
          </w:p>
        </w:tc>
        <w:tc>
          <w:tcPr>
            <w:tcW w:w="1579" w:type="dxa"/>
            <w:tcBorders>
              <w:top w:val="nil"/>
              <w:left w:val="nil"/>
              <w:bottom w:val="single" w:sz="4" w:space="0" w:color="auto"/>
              <w:right w:val="single" w:sz="4" w:space="0" w:color="auto"/>
            </w:tcBorders>
            <w:noWrap/>
            <w:vAlign w:val="center"/>
          </w:tcPr>
          <w:p w:rsidR="00BB07EF" w:rsidRPr="00EE4D50" w:rsidRDefault="00BB07EF" w:rsidP="00EC63DA">
            <w:pPr>
              <w:spacing w:after="0" w:line="240" w:lineRule="auto"/>
              <w:jc w:val="center"/>
              <w:rPr>
                <w:rFonts w:ascii="Verdana" w:hAnsi="Verdana" w:cs="Times New Roman"/>
                <w:color w:val="000000"/>
                <w:sz w:val="20"/>
                <w:szCs w:val="20"/>
                <w:lang w:eastAsia="es-EC"/>
              </w:rPr>
            </w:pPr>
            <w:r w:rsidRPr="00EE4D50">
              <w:rPr>
                <w:rFonts w:ascii="Verdana" w:hAnsi="Verdana" w:cs="Times New Roman"/>
                <w:color w:val="000000"/>
                <w:sz w:val="20"/>
                <w:szCs w:val="20"/>
                <w:lang w:eastAsia="es-EC"/>
              </w:rPr>
              <w:t>2685%</w:t>
            </w:r>
          </w:p>
        </w:tc>
      </w:tr>
      <w:tr w:rsidR="00BB07EF" w:rsidRPr="00EE4D50" w:rsidTr="000B7F55">
        <w:trPr>
          <w:trHeight w:val="300"/>
          <w:jc w:val="center"/>
        </w:trPr>
        <w:tc>
          <w:tcPr>
            <w:tcW w:w="1200" w:type="dxa"/>
            <w:tcBorders>
              <w:top w:val="nil"/>
              <w:left w:val="single" w:sz="4" w:space="0" w:color="auto"/>
              <w:bottom w:val="single" w:sz="4" w:space="0" w:color="auto"/>
              <w:right w:val="single" w:sz="4" w:space="0" w:color="auto"/>
            </w:tcBorders>
            <w:noWrap/>
            <w:vAlign w:val="center"/>
          </w:tcPr>
          <w:p w:rsidR="00BB07EF" w:rsidRPr="00EE4D50" w:rsidRDefault="00BB07EF" w:rsidP="00EC63DA">
            <w:pPr>
              <w:spacing w:after="0" w:line="240" w:lineRule="auto"/>
              <w:jc w:val="center"/>
              <w:rPr>
                <w:rFonts w:ascii="Verdana" w:hAnsi="Verdana" w:cs="Times New Roman"/>
                <w:color w:val="000000"/>
                <w:sz w:val="20"/>
                <w:szCs w:val="20"/>
                <w:lang w:eastAsia="es-EC"/>
              </w:rPr>
            </w:pPr>
            <w:r w:rsidRPr="00EE4D50">
              <w:rPr>
                <w:rFonts w:ascii="Verdana" w:hAnsi="Verdana" w:cs="Times New Roman"/>
                <w:color w:val="000000"/>
                <w:sz w:val="20"/>
                <w:szCs w:val="20"/>
                <w:lang w:eastAsia="es-EC"/>
              </w:rPr>
              <w:t>1993</w:t>
            </w:r>
          </w:p>
        </w:tc>
        <w:tc>
          <w:tcPr>
            <w:tcW w:w="1529" w:type="dxa"/>
            <w:tcBorders>
              <w:top w:val="nil"/>
              <w:left w:val="nil"/>
              <w:bottom w:val="single" w:sz="4" w:space="0" w:color="auto"/>
              <w:right w:val="single" w:sz="4" w:space="0" w:color="auto"/>
            </w:tcBorders>
            <w:noWrap/>
            <w:vAlign w:val="center"/>
          </w:tcPr>
          <w:p w:rsidR="00BB07EF" w:rsidRPr="00EE4D50" w:rsidRDefault="00BB07EF" w:rsidP="00EC63DA">
            <w:pPr>
              <w:spacing w:after="0" w:line="240" w:lineRule="auto"/>
              <w:jc w:val="center"/>
              <w:rPr>
                <w:rFonts w:ascii="Verdana" w:hAnsi="Verdana" w:cs="Times New Roman"/>
                <w:color w:val="000000"/>
                <w:sz w:val="20"/>
                <w:szCs w:val="20"/>
                <w:lang w:eastAsia="es-EC"/>
              </w:rPr>
            </w:pPr>
            <w:r w:rsidRPr="00EE4D50">
              <w:rPr>
                <w:rFonts w:ascii="Verdana" w:hAnsi="Verdana" w:cs="Times New Roman"/>
                <w:color w:val="000000"/>
                <w:sz w:val="20"/>
                <w:szCs w:val="20"/>
                <w:lang w:eastAsia="es-EC"/>
              </w:rPr>
              <w:t>3.639</w:t>
            </w:r>
          </w:p>
        </w:tc>
        <w:tc>
          <w:tcPr>
            <w:tcW w:w="1579" w:type="dxa"/>
            <w:tcBorders>
              <w:top w:val="nil"/>
              <w:left w:val="nil"/>
              <w:bottom w:val="single" w:sz="4" w:space="0" w:color="auto"/>
              <w:right w:val="single" w:sz="4" w:space="0" w:color="auto"/>
            </w:tcBorders>
            <w:noWrap/>
            <w:vAlign w:val="center"/>
          </w:tcPr>
          <w:p w:rsidR="00BB07EF" w:rsidRPr="00EE4D50" w:rsidRDefault="00BB07EF" w:rsidP="00EC63DA">
            <w:pPr>
              <w:spacing w:after="0" w:line="240" w:lineRule="auto"/>
              <w:jc w:val="center"/>
              <w:rPr>
                <w:rFonts w:ascii="Verdana" w:hAnsi="Verdana" w:cs="Times New Roman"/>
                <w:color w:val="000000"/>
                <w:sz w:val="20"/>
                <w:szCs w:val="20"/>
                <w:lang w:eastAsia="es-EC"/>
              </w:rPr>
            </w:pPr>
            <w:r w:rsidRPr="00EE4D50">
              <w:rPr>
                <w:rFonts w:ascii="Verdana" w:hAnsi="Verdana" w:cs="Times New Roman"/>
                <w:color w:val="000000"/>
                <w:sz w:val="20"/>
                <w:szCs w:val="20"/>
                <w:lang w:eastAsia="es-EC"/>
              </w:rPr>
              <w:t>-9%</w:t>
            </w:r>
          </w:p>
        </w:tc>
      </w:tr>
      <w:tr w:rsidR="00BB07EF" w:rsidRPr="00EE4D50" w:rsidTr="000B7F55">
        <w:trPr>
          <w:trHeight w:val="300"/>
          <w:jc w:val="center"/>
        </w:trPr>
        <w:tc>
          <w:tcPr>
            <w:tcW w:w="1200" w:type="dxa"/>
            <w:tcBorders>
              <w:top w:val="nil"/>
              <w:left w:val="single" w:sz="4" w:space="0" w:color="auto"/>
              <w:bottom w:val="single" w:sz="4" w:space="0" w:color="auto"/>
              <w:right w:val="single" w:sz="4" w:space="0" w:color="auto"/>
            </w:tcBorders>
            <w:noWrap/>
            <w:vAlign w:val="center"/>
          </w:tcPr>
          <w:p w:rsidR="00BB07EF" w:rsidRPr="00EE4D50" w:rsidRDefault="00BB07EF" w:rsidP="00EC63DA">
            <w:pPr>
              <w:spacing w:after="0" w:line="240" w:lineRule="auto"/>
              <w:jc w:val="center"/>
              <w:rPr>
                <w:rFonts w:ascii="Verdana" w:hAnsi="Verdana" w:cs="Times New Roman"/>
                <w:color w:val="000000"/>
                <w:sz w:val="20"/>
                <w:szCs w:val="20"/>
                <w:lang w:eastAsia="es-EC"/>
              </w:rPr>
            </w:pPr>
            <w:r w:rsidRPr="00EE4D50">
              <w:rPr>
                <w:rFonts w:ascii="Verdana" w:hAnsi="Verdana" w:cs="Times New Roman"/>
                <w:color w:val="000000"/>
                <w:sz w:val="20"/>
                <w:szCs w:val="20"/>
                <w:lang w:eastAsia="es-EC"/>
              </w:rPr>
              <w:t>1994</w:t>
            </w:r>
          </w:p>
        </w:tc>
        <w:tc>
          <w:tcPr>
            <w:tcW w:w="1529" w:type="dxa"/>
            <w:tcBorders>
              <w:top w:val="nil"/>
              <w:left w:val="nil"/>
              <w:bottom w:val="single" w:sz="4" w:space="0" w:color="auto"/>
              <w:right w:val="single" w:sz="4" w:space="0" w:color="auto"/>
            </w:tcBorders>
            <w:noWrap/>
            <w:vAlign w:val="center"/>
          </w:tcPr>
          <w:p w:rsidR="00BB07EF" w:rsidRPr="00EE4D50" w:rsidRDefault="00BB07EF" w:rsidP="00EC63DA">
            <w:pPr>
              <w:spacing w:after="0" w:line="240" w:lineRule="auto"/>
              <w:jc w:val="center"/>
              <w:rPr>
                <w:rFonts w:ascii="Verdana" w:hAnsi="Verdana" w:cs="Times New Roman"/>
                <w:color w:val="000000"/>
                <w:sz w:val="20"/>
                <w:szCs w:val="20"/>
                <w:lang w:eastAsia="es-EC"/>
              </w:rPr>
            </w:pPr>
            <w:r w:rsidRPr="00EE4D50">
              <w:rPr>
                <w:rFonts w:ascii="Verdana" w:hAnsi="Verdana" w:cs="Times New Roman"/>
                <w:color w:val="000000"/>
                <w:sz w:val="20"/>
                <w:szCs w:val="20"/>
                <w:lang w:eastAsia="es-EC"/>
              </w:rPr>
              <w:t>6.468</w:t>
            </w:r>
          </w:p>
        </w:tc>
        <w:tc>
          <w:tcPr>
            <w:tcW w:w="1579" w:type="dxa"/>
            <w:tcBorders>
              <w:top w:val="nil"/>
              <w:left w:val="nil"/>
              <w:bottom w:val="single" w:sz="4" w:space="0" w:color="auto"/>
              <w:right w:val="single" w:sz="4" w:space="0" w:color="auto"/>
            </w:tcBorders>
            <w:noWrap/>
            <w:vAlign w:val="center"/>
          </w:tcPr>
          <w:p w:rsidR="00BB07EF" w:rsidRPr="00EE4D50" w:rsidRDefault="00BB07EF" w:rsidP="00EC63DA">
            <w:pPr>
              <w:spacing w:after="0" w:line="240" w:lineRule="auto"/>
              <w:jc w:val="center"/>
              <w:rPr>
                <w:rFonts w:ascii="Verdana" w:hAnsi="Verdana" w:cs="Times New Roman"/>
                <w:color w:val="000000"/>
                <w:sz w:val="20"/>
                <w:szCs w:val="20"/>
                <w:lang w:eastAsia="es-EC"/>
              </w:rPr>
            </w:pPr>
            <w:r w:rsidRPr="00EE4D50">
              <w:rPr>
                <w:rFonts w:ascii="Verdana" w:hAnsi="Verdana" w:cs="Times New Roman"/>
                <w:color w:val="000000"/>
                <w:sz w:val="20"/>
                <w:szCs w:val="20"/>
                <w:lang w:eastAsia="es-EC"/>
              </w:rPr>
              <w:t>78%</w:t>
            </w:r>
          </w:p>
        </w:tc>
      </w:tr>
    </w:tbl>
    <w:p w:rsidR="00BB07EF" w:rsidRPr="00EE4D50" w:rsidRDefault="001F10CC" w:rsidP="00EC63DA">
      <w:pPr>
        <w:spacing w:after="0" w:line="240" w:lineRule="auto"/>
        <w:jc w:val="both"/>
        <w:rPr>
          <w:rFonts w:ascii="Verdana" w:hAnsi="Verdana" w:cs="Times New Roman"/>
          <w:sz w:val="20"/>
        </w:rPr>
      </w:pPr>
      <w:r w:rsidRPr="00EE4D50">
        <w:rPr>
          <w:rFonts w:ascii="Verdana" w:hAnsi="Verdana" w:cs="Times New Roman"/>
        </w:rPr>
        <w:t xml:space="preserve">                           </w:t>
      </w:r>
      <w:r w:rsidR="006B2559" w:rsidRPr="00EE4D50">
        <w:rPr>
          <w:rFonts w:ascii="Verdana" w:hAnsi="Verdana" w:cs="Times New Roman"/>
        </w:rPr>
        <w:t xml:space="preserve"> </w:t>
      </w:r>
      <w:r w:rsidRPr="00EE4D50">
        <w:rPr>
          <w:rFonts w:ascii="Verdana" w:hAnsi="Verdana" w:cs="Times New Roman"/>
        </w:rPr>
        <w:t xml:space="preserve">  </w:t>
      </w:r>
      <w:r w:rsidR="00BB07EF" w:rsidRPr="00EE4D50">
        <w:rPr>
          <w:rFonts w:ascii="Verdana" w:hAnsi="Verdana" w:cs="Times New Roman"/>
          <w:sz w:val="20"/>
        </w:rPr>
        <w:t>Fuente: Kleparnik (1996)</w:t>
      </w:r>
    </w:p>
    <w:p w:rsidR="001F10CC" w:rsidRPr="00EE4D50" w:rsidRDefault="001F10CC" w:rsidP="00EC63DA">
      <w:pPr>
        <w:spacing w:after="0" w:line="240" w:lineRule="auto"/>
        <w:jc w:val="both"/>
        <w:rPr>
          <w:rFonts w:ascii="Verdana" w:hAnsi="Verdana" w:cs="Times New Roman"/>
          <w:sz w:val="20"/>
        </w:rPr>
      </w:pPr>
      <w:r w:rsidRPr="00EE4D50">
        <w:rPr>
          <w:rFonts w:ascii="Verdana" w:hAnsi="Verdana" w:cs="Times New Roman"/>
          <w:bCs/>
          <w:sz w:val="20"/>
        </w:rPr>
        <w:t xml:space="preserve">                           </w:t>
      </w:r>
      <w:r w:rsidR="006B2559" w:rsidRPr="00EE4D50">
        <w:rPr>
          <w:rFonts w:ascii="Verdana" w:hAnsi="Verdana" w:cs="Times New Roman"/>
          <w:bCs/>
          <w:sz w:val="20"/>
        </w:rPr>
        <w:t xml:space="preserve"> </w:t>
      </w:r>
      <w:r w:rsidRPr="00EE4D50">
        <w:rPr>
          <w:rFonts w:ascii="Verdana" w:hAnsi="Verdana" w:cs="Times New Roman"/>
          <w:bCs/>
          <w:sz w:val="20"/>
        </w:rPr>
        <w:t xml:space="preserve"> </w:t>
      </w:r>
      <w:r w:rsidR="006B2559" w:rsidRPr="00EE4D50">
        <w:rPr>
          <w:rFonts w:ascii="Verdana" w:hAnsi="Verdana" w:cs="Times New Roman"/>
          <w:bCs/>
          <w:sz w:val="20"/>
        </w:rPr>
        <w:t xml:space="preserve"> </w:t>
      </w:r>
      <w:r w:rsidRPr="00EE4D50">
        <w:rPr>
          <w:rFonts w:ascii="Verdana" w:hAnsi="Verdana" w:cs="Times New Roman"/>
          <w:bCs/>
          <w:sz w:val="20"/>
        </w:rPr>
        <w:t xml:space="preserve"> Elaboración:</w:t>
      </w:r>
      <w:r w:rsidRPr="00EE4D50">
        <w:rPr>
          <w:rFonts w:ascii="Verdana" w:hAnsi="Verdana" w:cs="Times New Roman"/>
          <w:sz w:val="20"/>
        </w:rPr>
        <w:t xml:space="preserve"> Autor</w:t>
      </w:r>
      <w:r w:rsidR="00031C6E">
        <w:rPr>
          <w:rFonts w:ascii="Verdana" w:hAnsi="Verdana" w:cs="Times New Roman"/>
          <w:sz w:val="20"/>
        </w:rPr>
        <w:t>a</w:t>
      </w:r>
    </w:p>
    <w:p w:rsidR="001A51BB" w:rsidRPr="00EE4D50" w:rsidRDefault="001A51BB" w:rsidP="00EC63DA">
      <w:pPr>
        <w:spacing w:after="0"/>
        <w:jc w:val="both"/>
        <w:rPr>
          <w:rFonts w:ascii="Verdana" w:hAnsi="Verdana" w:cs="Times New Roman"/>
          <w:sz w:val="20"/>
        </w:rPr>
      </w:pPr>
    </w:p>
    <w:p w:rsidR="00BB07EF" w:rsidRPr="00EE4D50" w:rsidRDefault="00BB07EF" w:rsidP="00EC63DA">
      <w:pPr>
        <w:pStyle w:val="Sinespaciado"/>
        <w:spacing w:line="276" w:lineRule="auto"/>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La tabla No. 4: muestra la producción de esta empresa que en el corto tiempo que operó. Para 1991 ensambló 144 vehículos; luego para 1994 representó un aporte significativo de 6.468 unidades. </w:t>
      </w:r>
    </w:p>
    <w:p w:rsidR="001A51BB" w:rsidRPr="00EE4D50" w:rsidRDefault="001A51BB"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grupo Coenansa ensambló la línea de autos comerciales entre los que más destacan fueron los de la marca Fiat modelos Premio, Fiat Uno (en sus diferentes versiones) y las camionetas Fiorino. La ensambladora de Manta cerró sus puertas en 1996 debido a que la empresa decidió operar en los complejos industriales que la marca Fiat tenía en Argentina y Brasil (El Universo, 2003).</w:t>
      </w:r>
    </w:p>
    <w:p w:rsidR="001A51BB" w:rsidRPr="00EE4D50" w:rsidRDefault="001A51BB" w:rsidP="00EC63DA">
      <w:pPr>
        <w:spacing w:before="60" w:after="60"/>
        <w:jc w:val="both"/>
        <w:rPr>
          <w:rFonts w:ascii="Verdana" w:hAnsi="Verdana" w:cs="Times New Roman"/>
        </w:rPr>
      </w:pPr>
    </w:p>
    <w:p w:rsidR="00BB07EF" w:rsidRPr="00EE4D50" w:rsidRDefault="00BB07EF" w:rsidP="00EC63DA">
      <w:pPr>
        <w:pStyle w:val="Ttulo2"/>
        <w:rPr>
          <w:rFonts w:cs="Times New Roman"/>
        </w:rPr>
      </w:pPr>
      <w:bookmarkStart w:id="51" w:name="_Toc459992045"/>
      <w:bookmarkStart w:id="52" w:name="_Toc485137207"/>
      <w:r w:rsidRPr="00EE4D50">
        <w:rPr>
          <w:rFonts w:cs="Times New Roman"/>
        </w:rPr>
        <w:lastRenderedPageBreak/>
        <w:t>Producción</w:t>
      </w:r>
      <w:bookmarkEnd w:id="51"/>
      <w:r w:rsidRPr="00EE4D50">
        <w:rPr>
          <w:rFonts w:cs="Times New Roman"/>
        </w:rPr>
        <w:t xml:space="preserve"> vehicular</w:t>
      </w:r>
      <w:bookmarkEnd w:id="52"/>
    </w:p>
    <w:p w:rsidR="001A51BB" w:rsidRPr="00EE4D50" w:rsidRDefault="001A51BB" w:rsidP="00EC63DA">
      <w:pPr>
        <w:spacing w:before="60" w:after="60"/>
        <w:rPr>
          <w:rFonts w:ascii="Verdana" w:hAnsi="Verdana" w:cs="Times New Roman"/>
          <w:lang w:val="es-MX"/>
        </w:rPr>
      </w:pPr>
    </w:p>
    <w:p w:rsidR="00BB07EF" w:rsidRPr="00EE4D50" w:rsidRDefault="00BB07EF" w:rsidP="00EC63DA">
      <w:pPr>
        <w:spacing w:after="60"/>
        <w:jc w:val="both"/>
        <w:rPr>
          <w:rFonts w:ascii="Verdana" w:hAnsi="Verdana" w:cs="Times New Roman"/>
        </w:rPr>
      </w:pPr>
      <w:r w:rsidRPr="00EE4D50">
        <w:rPr>
          <w:rFonts w:ascii="Verdana" w:hAnsi="Verdana" w:cs="Times New Roman"/>
        </w:rPr>
        <w:t>A inicios de la década de los ochentas se ejecutaron políticas proteccionistas hacia la importación de vehículos terminados; y se permitió la entrada de vehículos para ensamblaje. Esta política se alivió entre 1985 y 1987, pero se mantuvieron altos aranceles. El mercado automotriz en el país se desarrolló en gran medida a partir de 1992, ya que en aquel año se abrieron las importaciones con buenos resultados, donde más tarde en 1994 creció este sector con niveles altos de ventas de 64.571 unidades de las cuales 37.977 fueron vehículos</w:t>
      </w:r>
      <w:r w:rsidR="00A60CFC">
        <w:rPr>
          <w:rFonts w:ascii="Verdana" w:hAnsi="Verdana" w:cs="Times New Roman"/>
        </w:rPr>
        <w:t xml:space="preserve"> importados (Kleparnik, 1996: 136</w:t>
      </w:r>
      <w:r w:rsidRPr="00EE4D50">
        <w:rPr>
          <w:rFonts w:ascii="Verdana" w:hAnsi="Verdana" w:cs="Times New Roman"/>
        </w:rPr>
        <w:t>).</w:t>
      </w:r>
    </w:p>
    <w:p w:rsidR="001A51BB" w:rsidRPr="00EE4D50" w:rsidRDefault="001A51BB"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A continuación se presenta la producción nacional de vehículos.</w:t>
      </w:r>
    </w:p>
    <w:p w:rsidR="001A51BB" w:rsidRPr="00EE4D50" w:rsidRDefault="001A51BB" w:rsidP="00EC63DA">
      <w:pPr>
        <w:spacing w:after="60"/>
        <w:jc w:val="both"/>
        <w:rPr>
          <w:rFonts w:ascii="Verdana" w:hAnsi="Verdana" w:cs="Times New Roman"/>
        </w:rPr>
      </w:pPr>
    </w:p>
    <w:p w:rsidR="00BB07EF" w:rsidRPr="00EE4D50" w:rsidRDefault="001052DA" w:rsidP="00EC63DA">
      <w:pPr>
        <w:pStyle w:val="Epgrafe"/>
        <w:spacing w:after="0"/>
        <w:jc w:val="center"/>
        <w:rPr>
          <w:rFonts w:ascii="Verdana" w:hAnsi="Verdana" w:cs="Times New Roman"/>
          <w:b w:val="0"/>
          <w:color w:val="auto"/>
          <w:sz w:val="20"/>
          <w:szCs w:val="20"/>
        </w:rPr>
      </w:pPr>
      <w:bookmarkStart w:id="53" w:name="_Toc473640077"/>
      <w:r w:rsidRPr="00EE4D50">
        <w:rPr>
          <w:rFonts w:ascii="Verdana" w:hAnsi="Verdana" w:cs="Times New Roman"/>
          <w:color w:val="auto"/>
          <w:sz w:val="20"/>
          <w:szCs w:val="20"/>
        </w:rPr>
        <w:t xml:space="preserve">Gráfico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Gráfico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1</w:t>
      </w:r>
      <w:r w:rsidRPr="00EE4D50">
        <w:rPr>
          <w:rFonts w:ascii="Verdana" w:hAnsi="Verdana" w:cs="Times New Roman"/>
          <w:color w:val="auto"/>
          <w:sz w:val="20"/>
          <w:szCs w:val="20"/>
        </w:rPr>
        <w:fldChar w:fldCharType="end"/>
      </w:r>
      <w:r w:rsidR="00BB07EF" w:rsidRPr="00EE4D50">
        <w:rPr>
          <w:rFonts w:ascii="Verdana" w:hAnsi="Verdana" w:cs="Times New Roman"/>
          <w:b w:val="0"/>
          <w:color w:val="auto"/>
          <w:sz w:val="20"/>
          <w:szCs w:val="20"/>
        </w:rPr>
        <w:t>: Producción nacional de vehículos (1980-2002)</w:t>
      </w:r>
      <w:bookmarkEnd w:id="53"/>
    </w:p>
    <w:p w:rsidR="00BB07EF" w:rsidRPr="00EE4D50" w:rsidRDefault="00C418A8" w:rsidP="00EC63DA">
      <w:pPr>
        <w:spacing w:after="0" w:line="240" w:lineRule="auto"/>
        <w:rPr>
          <w:rFonts w:ascii="Verdana" w:hAnsi="Verdana" w:cs="Times New Roman"/>
        </w:rPr>
      </w:pPr>
      <w:r w:rsidRPr="00EE4D50">
        <w:rPr>
          <w:rFonts w:ascii="Verdana" w:hAnsi="Verdana" w:cs="Times New Roman"/>
          <w:noProof/>
          <w:lang w:eastAsia="es-EC"/>
        </w:rPr>
        <w:drawing>
          <wp:inline distT="0" distB="0" distL="0" distR="0" wp14:anchorId="0572DAD0" wp14:editId="22412160">
            <wp:extent cx="5676900" cy="3181350"/>
            <wp:effectExtent l="0" t="0" r="19050" b="1905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BB07EF" w:rsidRPr="00EE4D50" w:rsidRDefault="00BB07EF" w:rsidP="00EC63DA">
      <w:pPr>
        <w:spacing w:after="0" w:line="240" w:lineRule="auto"/>
        <w:jc w:val="both"/>
        <w:rPr>
          <w:rFonts w:ascii="Verdana" w:hAnsi="Verdana" w:cs="Times New Roman"/>
          <w:sz w:val="20"/>
        </w:rPr>
      </w:pPr>
      <w:r w:rsidRPr="00EE4D50">
        <w:rPr>
          <w:rFonts w:ascii="Verdana" w:hAnsi="Verdana" w:cs="Times New Roman"/>
          <w:bCs/>
          <w:sz w:val="20"/>
        </w:rPr>
        <w:t>Fuentes:</w:t>
      </w:r>
      <w:r w:rsidRPr="00EE4D50">
        <w:rPr>
          <w:rFonts w:ascii="Verdana" w:hAnsi="Verdana" w:cs="Times New Roman"/>
          <w:sz w:val="20"/>
        </w:rPr>
        <w:t xml:space="preserve"> *1988-1994</w:t>
      </w:r>
      <w:r w:rsidR="00337B4C" w:rsidRPr="00EE4D50">
        <w:rPr>
          <w:rFonts w:ascii="Verdana" w:hAnsi="Verdana" w:cs="Times New Roman"/>
          <w:sz w:val="20"/>
        </w:rPr>
        <w:t>: Kleparnik</w:t>
      </w:r>
      <w:r w:rsidRPr="00EE4D50">
        <w:rPr>
          <w:rFonts w:ascii="Verdana" w:hAnsi="Verdana" w:cs="Times New Roman"/>
          <w:sz w:val="20"/>
        </w:rPr>
        <w:t xml:space="preserve"> (1996) **1995-2002</w:t>
      </w:r>
      <w:r w:rsidR="00337B4C" w:rsidRPr="00EE4D50">
        <w:rPr>
          <w:rFonts w:ascii="Verdana" w:hAnsi="Verdana" w:cs="Times New Roman"/>
          <w:sz w:val="20"/>
        </w:rPr>
        <w:t>: Hidrobo</w:t>
      </w:r>
      <w:r w:rsidRPr="00EE4D50">
        <w:rPr>
          <w:rFonts w:ascii="Verdana" w:hAnsi="Verdana" w:cs="Times New Roman"/>
          <w:sz w:val="20"/>
        </w:rPr>
        <w:t xml:space="preserve"> (2004)</w:t>
      </w:r>
    </w:p>
    <w:p w:rsidR="00BB07EF" w:rsidRPr="00EE4D50" w:rsidRDefault="00BB07EF" w:rsidP="00EC63DA">
      <w:pPr>
        <w:spacing w:after="0" w:line="240" w:lineRule="auto"/>
        <w:jc w:val="both"/>
        <w:rPr>
          <w:rFonts w:ascii="Verdana" w:hAnsi="Verdana" w:cs="Times New Roman"/>
          <w:sz w:val="20"/>
        </w:rPr>
      </w:pPr>
      <w:r w:rsidRPr="00EE4D50">
        <w:rPr>
          <w:rFonts w:ascii="Verdana" w:hAnsi="Verdana" w:cs="Times New Roman"/>
          <w:bCs/>
          <w:sz w:val="20"/>
        </w:rPr>
        <w:t>Elaboración:</w:t>
      </w:r>
      <w:r w:rsidRPr="00EE4D50">
        <w:rPr>
          <w:rFonts w:ascii="Verdana" w:hAnsi="Verdana" w:cs="Times New Roman"/>
          <w:sz w:val="20"/>
        </w:rPr>
        <w:t xml:space="preserve"> Autor</w:t>
      </w:r>
      <w:r w:rsidR="00031C6E">
        <w:rPr>
          <w:rFonts w:ascii="Verdana" w:hAnsi="Verdana" w:cs="Times New Roman"/>
          <w:sz w:val="20"/>
        </w:rPr>
        <w:t>a</w:t>
      </w:r>
    </w:p>
    <w:p w:rsidR="00BB07EF" w:rsidRPr="00EE4D50" w:rsidRDefault="00BB07EF" w:rsidP="00EC63DA">
      <w:pPr>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ensamblaje nacional de vehículos se consolidó con una producción de 3.092 unidades, situación alentada por las restricciones a los vehículos importados. En promedio, hasta 1987, la producción estuvo en alrededor de 5.000 vehículos. Luego para 1988, las condiciones económicas del país mejoraron, y la industria automotriz produjo 12.127 unidades y para 1989 15.249 unidades; lo que representó una importante tasa de variación de 54% y 26% respectivamente.</w:t>
      </w:r>
    </w:p>
    <w:p w:rsidR="001A51BB" w:rsidRPr="00EE4D50" w:rsidRDefault="001A51BB"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Las ventas de vehículos, según Hidrobo (2004</w:t>
      </w:r>
      <w:r w:rsidR="00031C6E">
        <w:rPr>
          <w:rFonts w:ascii="Verdana" w:hAnsi="Verdana" w:cs="Times New Roman"/>
        </w:rPr>
        <w:t>: 69</w:t>
      </w:r>
      <w:r w:rsidRPr="00EE4D50">
        <w:rPr>
          <w:rFonts w:ascii="Verdana" w:hAnsi="Verdana" w:cs="Times New Roman"/>
        </w:rPr>
        <w:t xml:space="preserve">), tuvo su primer boom en el año 1994, ya que la producción nacional tuvo un importante aumento de 33.869 unidades, donde alcanzó un nivel de ventas de 64.571 unidades con un </w:t>
      </w:r>
      <w:r w:rsidRPr="00EE4D50">
        <w:rPr>
          <w:rFonts w:ascii="Verdana" w:hAnsi="Verdana" w:cs="Times New Roman"/>
        </w:rPr>
        <w:lastRenderedPageBreak/>
        <w:t>incremento del 25,2% en relación al año anterior, de las cuales 37.977 fueron vehículos importados. La producción para los años 1995 y 1996 descendieron a 26.210 y 18.924 unidades respectivamente. Dichas cifras se dieron por inestabilidad económica que se enfrentó esos años como consecuencia de shocks endógenos y exógenos que afectaron el normal funcionamiento de la economía, frenando a las inversiones y al consumo.</w:t>
      </w:r>
    </w:p>
    <w:p w:rsidR="001A51BB" w:rsidRPr="00EE4D50" w:rsidRDefault="001A51BB"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Según Hidrobo (2004</w:t>
      </w:r>
      <w:r w:rsidR="000406A8">
        <w:rPr>
          <w:rFonts w:ascii="Verdana" w:hAnsi="Verdana" w:cs="Times New Roman"/>
        </w:rPr>
        <w:t>: 70</w:t>
      </w:r>
      <w:r w:rsidRPr="00EE4D50">
        <w:rPr>
          <w:rFonts w:ascii="Verdana" w:hAnsi="Verdana" w:cs="Times New Roman"/>
        </w:rPr>
        <w:t>), para el año 1997 se dio una breve recuperación de la producción de vehículos en un 32% con relación al año anterior con 24.957 unidades, pese a la inseguridad y a la incertidumbre que todavía persistía en la economía. Uno de los problemas que tuvo que enfrentar el sector automotriz en ese entonces fue la creación del ICE (Impuesto a los Consumos Especiales) por parte del Estado, el cual afectó a casi el 16% del precio de venta de los vehículos. En el año 1999, el sector automotriz reflejó las peores ventas, a pesar de la abundante oferta de vehículos que existió, debido a la crisis económica y financiera, la cual desmotivó a la preferencia de los consumidores por los vehículos, y se observó bajas cifras de ventas</w:t>
      </w:r>
      <w:r w:rsidR="00411F84">
        <w:rPr>
          <w:rFonts w:ascii="Verdana" w:hAnsi="Verdana" w:cs="Times New Roman"/>
        </w:rPr>
        <w:t xml:space="preserve"> con 16.619 unidades vendidas (-</w:t>
      </w:r>
      <w:r w:rsidRPr="00EE4D50">
        <w:rPr>
          <w:rFonts w:ascii="Verdana" w:hAnsi="Verdana" w:cs="Times New Roman"/>
        </w:rPr>
        <w:t>178,8% con relación a años anteriores) acompañado de continuas devaluaciones del tipo de cambio provocando un malestar a quienes dos años atrás adquirieron sus vehículos a un tipo de cambio spot de 6.000 sucres por dólar, y así terminaron asumiendo sus deudas a 24.300 sucres por dólar.</w:t>
      </w:r>
    </w:p>
    <w:p w:rsidR="001A51BB" w:rsidRPr="00EE4D50" w:rsidRDefault="001A51BB"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En el año 2000 se produjeron tan solo 9.764 vehículos, producto del stock que se mantuvo en los dos años anteriores. El mercado automotriz presentó una ligera recuperación del 16,7% con relación al año anterior, con ventas que superaban las 19.947 unidades, este aumento se debió en gran parte a las devoluciones que se les efectuó a los clientes de los fondos congelados en el sector bancario y financiero. En el 2001, la producción creció a 18.730 vehículos, y las ventas alcanzaron 56.881 unidades, las cuales superaron a las ventas que se habían registrado en los últimos 7 años. La dolarización ayudó a captar una estabilidad financiera en los consumidores para adquirir préstamos en las instituciones financieras</w:t>
      </w:r>
      <w:r w:rsidRPr="00EE4D50">
        <w:rPr>
          <w:rStyle w:val="Refdenotaalpie"/>
          <w:rFonts w:ascii="Verdana" w:hAnsi="Verdana" w:cs="Times New Roman"/>
        </w:rPr>
        <w:footnoteReference w:id="8"/>
      </w:r>
      <w:r w:rsidRPr="00EE4D50">
        <w:rPr>
          <w:rFonts w:ascii="Verdana" w:hAnsi="Verdana" w:cs="Times New Roman"/>
        </w:rPr>
        <w:t>.Para el año 2002, la producción creció en un 8% con 20.295 unidades. Se alcanzó un record histórico en los niveles de venta con un 26,2% con respecto al año anterior con 69.242 unidades</w:t>
      </w:r>
      <w:r w:rsidRPr="00EE4D50">
        <w:rPr>
          <w:rStyle w:val="Refdenotaalpie"/>
          <w:rFonts w:ascii="Verdana" w:hAnsi="Verdana" w:cs="Times New Roman"/>
        </w:rPr>
        <w:footnoteReference w:id="9"/>
      </w:r>
      <w:r w:rsidRPr="00EE4D50">
        <w:rPr>
          <w:rFonts w:ascii="Verdana" w:hAnsi="Verdana" w:cs="Times New Roman"/>
        </w:rPr>
        <w:t xml:space="preserve"> de venta. Entre los motivos </w:t>
      </w:r>
      <w:r w:rsidRPr="00EE4D50">
        <w:rPr>
          <w:rFonts w:ascii="Verdana" w:hAnsi="Verdana" w:cs="Times New Roman"/>
        </w:rPr>
        <w:lastRenderedPageBreak/>
        <w:t>del aumento de la demanda fueron: la dolarización, él envió  de remesas, inversiones no financieras y la satisfacción de la demanda contraída (Hidrobo, 2004</w:t>
      </w:r>
      <w:r w:rsidR="00ED08AE">
        <w:rPr>
          <w:rFonts w:ascii="Verdana" w:hAnsi="Verdana" w:cs="Times New Roman"/>
        </w:rPr>
        <w:t>: 71</w:t>
      </w:r>
      <w:r w:rsidRPr="00EE4D50">
        <w:rPr>
          <w:rFonts w:ascii="Verdana" w:hAnsi="Verdana" w:cs="Times New Roman"/>
        </w:rPr>
        <w:t>).</w:t>
      </w:r>
    </w:p>
    <w:p w:rsidR="001A51BB" w:rsidRPr="00EE4D50" w:rsidRDefault="001A51BB"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En relación a al mercado nacional se evidencia a continuación la participación de vehículos ensamblados en el país e importados para la satisfacción de la demanda.</w:t>
      </w:r>
    </w:p>
    <w:p w:rsidR="001A51BB" w:rsidRPr="00EE4D50" w:rsidRDefault="001A51BB" w:rsidP="00EC63DA">
      <w:pPr>
        <w:spacing w:after="60"/>
        <w:jc w:val="both"/>
        <w:rPr>
          <w:rFonts w:ascii="Verdana" w:hAnsi="Verdana" w:cs="Times New Roman"/>
        </w:rPr>
      </w:pPr>
    </w:p>
    <w:p w:rsidR="00BB07EF" w:rsidRPr="00EE4D50" w:rsidRDefault="001052DA" w:rsidP="00EC63DA">
      <w:pPr>
        <w:pStyle w:val="Epgrafe"/>
        <w:spacing w:after="0"/>
        <w:jc w:val="center"/>
        <w:rPr>
          <w:rFonts w:ascii="Verdana" w:hAnsi="Verdana" w:cs="Times New Roman"/>
          <w:b w:val="0"/>
          <w:color w:val="auto"/>
          <w:sz w:val="20"/>
          <w:szCs w:val="20"/>
        </w:rPr>
      </w:pPr>
      <w:bookmarkStart w:id="54" w:name="_Toc473640120"/>
      <w:r w:rsidRPr="00EE4D50">
        <w:rPr>
          <w:rFonts w:ascii="Verdana" w:hAnsi="Verdana" w:cs="Times New Roman"/>
          <w:color w:val="auto"/>
          <w:sz w:val="20"/>
          <w:szCs w:val="20"/>
        </w:rPr>
        <w:t xml:space="preserve">Tabla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Tabla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5</w:t>
      </w:r>
      <w:r w:rsidRPr="00EE4D50">
        <w:rPr>
          <w:rFonts w:ascii="Verdana" w:hAnsi="Verdana" w:cs="Times New Roman"/>
          <w:color w:val="auto"/>
          <w:sz w:val="20"/>
          <w:szCs w:val="20"/>
        </w:rPr>
        <w:fldChar w:fldCharType="end"/>
      </w:r>
      <w:r w:rsidR="00BB07EF" w:rsidRPr="00EE4D50">
        <w:rPr>
          <w:rFonts w:ascii="Verdana" w:hAnsi="Verdana" w:cs="Times New Roman"/>
          <w:b w:val="0"/>
          <w:color w:val="auto"/>
          <w:sz w:val="20"/>
          <w:szCs w:val="20"/>
        </w:rPr>
        <w:t>: Producción local y las importaciones del mercado nacional</w:t>
      </w:r>
      <w:bookmarkEnd w:id="54"/>
    </w:p>
    <w:tbl>
      <w:tblPr>
        <w:tblW w:w="6845" w:type="dxa"/>
        <w:jc w:val="center"/>
        <w:tblInd w:w="-555" w:type="dxa"/>
        <w:tblCellMar>
          <w:left w:w="70" w:type="dxa"/>
          <w:right w:w="70" w:type="dxa"/>
        </w:tblCellMar>
        <w:tblLook w:val="00A0" w:firstRow="1" w:lastRow="0" w:firstColumn="1" w:lastColumn="0" w:noHBand="0" w:noVBand="0"/>
      </w:tblPr>
      <w:tblGrid>
        <w:gridCol w:w="1136"/>
        <w:gridCol w:w="1880"/>
        <w:gridCol w:w="1480"/>
        <w:gridCol w:w="2349"/>
      </w:tblGrid>
      <w:tr w:rsidR="00BB07EF" w:rsidRPr="0019331A" w:rsidTr="00ED08AE">
        <w:trPr>
          <w:trHeight w:val="735"/>
          <w:jc w:val="center"/>
        </w:trPr>
        <w:tc>
          <w:tcPr>
            <w:tcW w:w="1136" w:type="dxa"/>
            <w:tcBorders>
              <w:top w:val="single" w:sz="4" w:space="0" w:color="auto"/>
              <w:left w:val="single" w:sz="4" w:space="0" w:color="auto"/>
              <w:bottom w:val="single" w:sz="4" w:space="0" w:color="auto"/>
              <w:right w:val="single" w:sz="4" w:space="0" w:color="auto"/>
            </w:tcBorders>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Año</w:t>
            </w:r>
          </w:p>
        </w:tc>
        <w:tc>
          <w:tcPr>
            <w:tcW w:w="1880" w:type="dxa"/>
            <w:tcBorders>
              <w:top w:val="single" w:sz="4" w:space="0" w:color="auto"/>
              <w:left w:val="nil"/>
              <w:bottom w:val="single" w:sz="4" w:space="0" w:color="auto"/>
              <w:right w:val="single" w:sz="4" w:space="0" w:color="auto"/>
            </w:tcBorders>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Demanda aparente (unidades)</w:t>
            </w:r>
          </w:p>
        </w:tc>
        <w:tc>
          <w:tcPr>
            <w:tcW w:w="1480" w:type="dxa"/>
            <w:tcBorders>
              <w:top w:val="single" w:sz="4" w:space="0" w:color="auto"/>
              <w:left w:val="nil"/>
              <w:bottom w:val="single" w:sz="4" w:space="0" w:color="auto"/>
              <w:right w:val="single" w:sz="4" w:space="0" w:color="auto"/>
            </w:tcBorders>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Participación Prod. Local (%)</w:t>
            </w:r>
          </w:p>
        </w:tc>
        <w:tc>
          <w:tcPr>
            <w:tcW w:w="2349" w:type="dxa"/>
            <w:tcBorders>
              <w:top w:val="single" w:sz="4" w:space="0" w:color="auto"/>
              <w:left w:val="nil"/>
              <w:bottom w:val="single" w:sz="4" w:space="0" w:color="auto"/>
              <w:right w:val="single" w:sz="4" w:space="0" w:color="auto"/>
            </w:tcBorders>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Participación importaciones (%)</w:t>
            </w:r>
          </w:p>
        </w:tc>
      </w:tr>
      <w:tr w:rsidR="00BB07EF" w:rsidRPr="0019331A" w:rsidTr="00ED08AE">
        <w:trPr>
          <w:trHeight w:val="300"/>
          <w:jc w:val="center"/>
        </w:trPr>
        <w:tc>
          <w:tcPr>
            <w:tcW w:w="1136" w:type="dxa"/>
            <w:tcBorders>
              <w:top w:val="nil"/>
              <w:left w:val="single" w:sz="4" w:space="0" w:color="auto"/>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1988</w:t>
            </w:r>
          </w:p>
        </w:tc>
        <w:tc>
          <w:tcPr>
            <w:tcW w:w="1880" w:type="dxa"/>
            <w:tcBorders>
              <w:top w:val="nil"/>
              <w:left w:val="nil"/>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16.351</w:t>
            </w:r>
          </w:p>
        </w:tc>
        <w:tc>
          <w:tcPr>
            <w:tcW w:w="1480" w:type="dxa"/>
            <w:tcBorders>
              <w:top w:val="nil"/>
              <w:left w:val="nil"/>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75%</w:t>
            </w:r>
          </w:p>
        </w:tc>
        <w:tc>
          <w:tcPr>
            <w:tcW w:w="2349" w:type="dxa"/>
            <w:tcBorders>
              <w:top w:val="nil"/>
              <w:left w:val="nil"/>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25%</w:t>
            </w:r>
          </w:p>
        </w:tc>
      </w:tr>
      <w:tr w:rsidR="00BB07EF" w:rsidRPr="0019331A" w:rsidTr="00ED08AE">
        <w:trPr>
          <w:trHeight w:val="300"/>
          <w:jc w:val="center"/>
        </w:trPr>
        <w:tc>
          <w:tcPr>
            <w:tcW w:w="1136" w:type="dxa"/>
            <w:tcBorders>
              <w:top w:val="nil"/>
              <w:left w:val="single" w:sz="4" w:space="0" w:color="auto"/>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1989</w:t>
            </w:r>
          </w:p>
        </w:tc>
        <w:tc>
          <w:tcPr>
            <w:tcW w:w="1880" w:type="dxa"/>
            <w:tcBorders>
              <w:top w:val="nil"/>
              <w:left w:val="nil"/>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17.222</w:t>
            </w:r>
          </w:p>
        </w:tc>
        <w:tc>
          <w:tcPr>
            <w:tcW w:w="1480" w:type="dxa"/>
            <w:tcBorders>
              <w:top w:val="nil"/>
              <w:left w:val="nil"/>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89%</w:t>
            </w:r>
          </w:p>
        </w:tc>
        <w:tc>
          <w:tcPr>
            <w:tcW w:w="2349" w:type="dxa"/>
            <w:tcBorders>
              <w:top w:val="nil"/>
              <w:left w:val="nil"/>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11%</w:t>
            </w:r>
          </w:p>
        </w:tc>
      </w:tr>
      <w:tr w:rsidR="00BB07EF" w:rsidRPr="0019331A" w:rsidTr="00ED08AE">
        <w:trPr>
          <w:trHeight w:val="300"/>
          <w:jc w:val="center"/>
        </w:trPr>
        <w:tc>
          <w:tcPr>
            <w:tcW w:w="1136" w:type="dxa"/>
            <w:tcBorders>
              <w:top w:val="nil"/>
              <w:left w:val="single" w:sz="4" w:space="0" w:color="auto"/>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1990</w:t>
            </w:r>
          </w:p>
        </w:tc>
        <w:tc>
          <w:tcPr>
            <w:tcW w:w="1880" w:type="dxa"/>
            <w:tcBorders>
              <w:top w:val="nil"/>
              <w:left w:val="nil"/>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20.197</w:t>
            </w:r>
          </w:p>
        </w:tc>
        <w:tc>
          <w:tcPr>
            <w:tcW w:w="1480" w:type="dxa"/>
            <w:tcBorders>
              <w:top w:val="nil"/>
              <w:left w:val="nil"/>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83%</w:t>
            </w:r>
          </w:p>
        </w:tc>
        <w:tc>
          <w:tcPr>
            <w:tcW w:w="2349" w:type="dxa"/>
            <w:tcBorders>
              <w:top w:val="nil"/>
              <w:left w:val="nil"/>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17%</w:t>
            </w:r>
          </w:p>
        </w:tc>
      </w:tr>
      <w:tr w:rsidR="00BB07EF" w:rsidRPr="0019331A" w:rsidTr="00ED08AE">
        <w:trPr>
          <w:trHeight w:val="300"/>
          <w:jc w:val="center"/>
        </w:trPr>
        <w:tc>
          <w:tcPr>
            <w:tcW w:w="1136" w:type="dxa"/>
            <w:tcBorders>
              <w:top w:val="nil"/>
              <w:left w:val="single" w:sz="4" w:space="0" w:color="auto"/>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1991</w:t>
            </w:r>
          </w:p>
        </w:tc>
        <w:tc>
          <w:tcPr>
            <w:tcW w:w="1880" w:type="dxa"/>
            <w:tcBorders>
              <w:top w:val="nil"/>
              <w:left w:val="nil"/>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27.910</w:t>
            </w:r>
          </w:p>
        </w:tc>
        <w:tc>
          <w:tcPr>
            <w:tcW w:w="1480" w:type="dxa"/>
            <w:tcBorders>
              <w:top w:val="nil"/>
              <w:left w:val="nil"/>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73%</w:t>
            </w:r>
          </w:p>
        </w:tc>
        <w:tc>
          <w:tcPr>
            <w:tcW w:w="2349" w:type="dxa"/>
            <w:tcBorders>
              <w:top w:val="nil"/>
              <w:left w:val="nil"/>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27%</w:t>
            </w:r>
          </w:p>
        </w:tc>
      </w:tr>
      <w:tr w:rsidR="00BB07EF" w:rsidRPr="0019331A" w:rsidTr="00ED08AE">
        <w:trPr>
          <w:trHeight w:val="300"/>
          <w:jc w:val="center"/>
        </w:trPr>
        <w:tc>
          <w:tcPr>
            <w:tcW w:w="1136" w:type="dxa"/>
            <w:tcBorders>
              <w:top w:val="nil"/>
              <w:left w:val="single" w:sz="4" w:space="0" w:color="auto"/>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1992</w:t>
            </w:r>
          </w:p>
        </w:tc>
        <w:tc>
          <w:tcPr>
            <w:tcW w:w="1880" w:type="dxa"/>
            <w:tcBorders>
              <w:top w:val="nil"/>
              <w:left w:val="nil"/>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47.754</w:t>
            </w:r>
          </w:p>
        </w:tc>
        <w:tc>
          <w:tcPr>
            <w:tcW w:w="1480" w:type="dxa"/>
            <w:tcBorders>
              <w:top w:val="nil"/>
              <w:left w:val="nil"/>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52%</w:t>
            </w:r>
          </w:p>
        </w:tc>
        <w:tc>
          <w:tcPr>
            <w:tcW w:w="2349" w:type="dxa"/>
            <w:tcBorders>
              <w:top w:val="nil"/>
              <w:left w:val="nil"/>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48%</w:t>
            </w:r>
          </w:p>
        </w:tc>
      </w:tr>
      <w:tr w:rsidR="00BB07EF" w:rsidRPr="0019331A" w:rsidTr="00ED08AE">
        <w:trPr>
          <w:trHeight w:val="300"/>
          <w:jc w:val="center"/>
        </w:trPr>
        <w:tc>
          <w:tcPr>
            <w:tcW w:w="1136" w:type="dxa"/>
            <w:tcBorders>
              <w:top w:val="nil"/>
              <w:left w:val="single" w:sz="4" w:space="0" w:color="auto"/>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1993</w:t>
            </w:r>
          </w:p>
        </w:tc>
        <w:tc>
          <w:tcPr>
            <w:tcW w:w="1880" w:type="dxa"/>
            <w:tcBorders>
              <w:top w:val="nil"/>
              <w:left w:val="nil"/>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45.012</w:t>
            </w:r>
          </w:p>
        </w:tc>
        <w:tc>
          <w:tcPr>
            <w:tcW w:w="1480" w:type="dxa"/>
            <w:tcBorders>
              <w:top w:val="nil"/>
              <w:left w:val="nil"/>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47%</w:t>
            </w:r>
          </w:p>
        </w:tc>
        <w:tc>
          <w:tcPr>
            <w:tcW w:w="2349" w:type="dxa"/>
            <w:tcBorders>
              <w:top w:val="nil"/>
              <w:left w:val="nil"/>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53%</w:t>
            </w:r>
          </w:p>
        </w:tc>
      </w:tr>
      <w:tr w:rsidR="00BB07EF" w:rsidRPr="0019331A" w:rsidTr="00ED08AE">
        <w:trPr>
          <w:trHeight w:val="300"/>
          <w:jc w:val="center"/>
        </w:trPr>
        <w:tc>
          <w:tcPr>
            <w:tcW w:w="1136" w:type="dxa"/>
            <w:tcBorders>
              <w:top w:val="nil"/>
              <w:left w:val="single" w:sz="4" w:space="0" w:color="auto"/>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1994</w:t>
            </w:r>
          </w:p>
        </w:tc>
        <w:tc>
          <w:tcPr>
            <w:tcW w:w="1880" w:type="dxa"/>
            <w:tcBorders>
              <w:top w:val="nil"/>
              <w:left w:val="nil"/>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64.571</w:t>
            </w:r>
          </w:p>
        </w:tc>
        <w:tc>
          <w:tcPr>
            <w:tcW w:w="1480" w:type="dxa"/>
            <w:tcBorders>
              <w:top w:val="nil"/>
              <w:left w:val="nil"/>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41%</w:t>
            </w:r>
          </w:p>
        </w:tc>
        <w:tc>
          <w:tcPr>
            <w:tcW w:w="2349" w:type="dxa"/>
            <w:tcBorders>
              <w:top w:val="nil"/>
              <w:left w:val="nil"/>
              <w:bottom w:val="single" w:sz="4" w:space="0" w:color="auto"/>
              <w:right w:val="single" w:sz="4" w:space="0" w:color="auto"/>
            </w:tcBorders>
            <w:noWrap/>
            <w:vAlign w:val="center"/>
          </w:tcPr>
          <w:p w:rsidR="00BB07EF" w:rsidRPr="0019331A" w:rsidRDefault="00BB07EF" w:rsidP="00EC63DA">
            <w:pPr>
              <w:spacing w:after="0" w:line="240" w:lineRule="auto"/>
              <w:jc w:val="center"/>
              <w:rPr>
                <w:rFonts w:ascii="Verdana" w:hAnsi="Verdana" w:cs="Times New Roman"/>
                <w:color w:val="000000"/>
                <w:sz w:val="16"/>
                <w:lang w:eastAsia="es-EC"/>
              </w:rPr>
            </w:pPr>
            <w:r w:rsidRPr="0019331A">
              <w:rPr>
                <w:rFonts w:ascii="Verdana" w:hAnsi="Verdana" w:cs="Times New Roman"/>
                <w:color w:val="000000"/>
                <w:sz w:val="16"/>
                <w:lang w:eastAsia="es-EC"/>
              </w:rPr>
              <w:t>59%</w:t>
            </w:r>
          </w:p>
        </w:tc>
      </w:tr>
    </w:tbl>
    <w:p w:rsidR="00BB07EF" w:rsidRPr="00EE4D50" w:rsidRDefault="00ED08AE" w:rsidP="00EC63DA">
      <w:pPr>
        <w:spacing w:after="0" w:line="240" w:lineRule="auto"/>
        <w:jc w:val="both"/>
        <w:rPr>
          <w:rFonts w:ascii="Verdana" w:hAnsi="Verdana" w:cs="Times New Roman"/>
          <w:sz w:val="20"/>
        </w:rPr>
      </w:pPr>
      <w:r>
        <w:rPr>
          <w:rFonts w:ascii="Verdana" w:hAnsi="Verdana" w:cs="Times New Roman"/>
          <w:bCs/>
        </w:rPr>
        <w:t xml:space="preserve">               </w:t>
      </w:r>
      <w:r w:rsidR="00BB07EF" w:rsidRPr="00EE4D50">
        <w:rPr>
          <w:rFonts w:ascii="Verdana" w:hAnsi="Verdana" w:cs="Times New Roman"/>
          <w:bCs/>
          <w:sz w:val="20"/>
        </w:rPr>
        <w:t>Fuente:</w:t>
      </w:r>
      <w:r w:rsidR="001F10CC" w:rsidRPr="00EE4D50">
        <w:rPr>
          <w:rFonts w:ascii="Verdana" w:hAnsi="Verdana" w:cs="Times New Roman"/>
          <w:bCs/>
          <w:sz w:val="20"/>
        </w:rPr>
        <w:t xml:space="preserve"> </w:t>
      </w:r>
      <w:r w:rsidR="00BB07EF" w:rsidRPr="00EE4D50">
        <w:rPr>
          <w:rFonts w:ascii="Verdana" w:hAnsi="Verdana" w:cs="Times New Roman"/>
          <w:sz w:val="20"/>
        </w:rPr>
        <w:t>Kleparnik (1996)</w:t>
      </w:r>
    </w:p>
    <w:p w:rsidR="00BB07EF" w:rsidRPr="00EE4D50" w:rsidRDefault="00ED08AE" w:rsidP="00EC63DA">
      <w:pPr>
        <w:spacing w:after="0" w:line="240" w:lineRule="auto"/>
        <w:jc w:val="both"/>
        <w:rPr>
          <w:rFonts w:ascii="Verdana" w:hAnsi="Verdana" w:cs="Times New Roman"/>
          <w:sz w:val="20"/>
        </w:rPr>
      </w:pPr>
      <w:r>
        <w:rPr>
          <w:rFonts w:ascii="Verdana" w:hAnsi="Verdana" w:cs="Times New Roman"/>
          <w:bCs/>
          <w:sz w:val="20"/>
        </w:rPr>
        <w:t xml:space="preserve">              </w:t>
      </w:r>
      <w:r w:rsidR="001F10CC" w:rsidRPr="00EE4D50">
        <w:rPr>
          <w:rFonts w:ascii="Verdana" w:hAnsi="Verdana" w:cs="Times New Roman"/>
          <w:bCs/>
          <w:sz w:val="20"/>
        </w:rPr>
        <w:t xml:space="preserve"> </w:t>
      </w:r>
      <w:r w:rsidR="00BB07EF" w:rsidRPr="00EE4D50">
        <w:rPr>
          <w:rFonts w:ascii="Verdana" w:hAnsi="Verdana" w:cs="Times New Roman"/>
          <w:bCs/>
          <w:sz w:val="20"/>
        </w:rPr>
        <w:t>Elaboración:</w:t>
      </w:r>
      <w:r w:rsidR="00BB07EF" w:rsidRPr="00EE4D50">
        <w:rPr>
          <w:rFonts w:ascii="Verdana" w:hAnsi="Verdana" w:cs="Times New Roman"/>
          <w:sz w:val="20"/>
        </w:rPr>
        <w:t xml:space="preserve"> Autor</w:t>
      </w:r>
      <w:r>
        <w:rPr>
          <w:rFonts w:ascii="Verdana" w:hAnsi="Verdana" w:cs="Times New Roman"/>
          <w:sz w:val="20"/>
        </w:rPr>
        <w:t>a</w:t>
      </w:r>
    </w:p>
    <w:p w:rsidR="00BB07EF" w:rsidRPr="00EE4D50" w:rsidRDefault="00BB07EF" w:rsidP="00EC63DA">
      <w:pPr>
        <w:jc w:val="both"/>
        <w:rPr>
          <w:rFonts w:ascii="Verdana" w:hAnsi="Verdana" w:cs="Times New Roman"/>
        </w:rPr>
      </w:pPr>
    </w:p>
    <w:p w:rsidR="00BB07EF" w:rsidRPr="00EE4D50" w:rsidRDefault="00CF4FE1" w:rsidP="00EC63DA">
      <w:pPr>
        <w:spacing w:after="60"/>
        <w:jc w:val="both"/>
        <w:rPr>
          <w:rFonts w:ascii="Verdana" w:hAnsi="Verdana" w:cs="Times New Roman"/>
        </w:rPr>
      </w:pPr>
      <w:r w:rsidRPr="00EE4D50">
        <w:rPr>
          <w:rFonts w:ascii="Verdana" w:hAnsi="Verdana" w:cs="Times New Roman"/>
        </w:rPr>
        <w:t>La tabla No. 5,</w:t>
      </w:r>
      <w:r w:rsidR="00BB07EF" w:rsidRPr="00EE4D50">
        <w:rPr>
          <w:rFonts w:ascii="Verdana" w:hAnsi="Verdana" w:cs="Times New Roman"/>
        </w:rPr>
        <w:t xml:space="preserve"> muestra que casi los primeros años de la creación de las ensambladoras, la demanda aparente ha mostrado un crecimiento constante. En 1988 la demanda fue de 16.351 unidades, hasta llegar a 1994 con 64.571 unidades, lo que significó que en 8 años alcanzó un 294,91% de crecimiento.</w:t>
      </w:r>
    </w:p>
    <w:p w:rsidR="001A51BB" w:rsidRPr="00EE4D50" w:rsidRDefault="001A51BB" w:rsidP="00EC63DA">
      <w:pPr>
        <w:spacing w:after="60"/>
        <w:jc w:val="both"/>
        <w:rPr>
          <w:rFonts w:ascii="Verdana" w:hAnsi="Verdana" w:cs="Times New Roman"/>
        </w:rPr>
      </w:pPr>
    </w:p>
    <w:p w:rsidR="00BB07EF" w:rsidRPr="00EE4D50" w:rsidRDefault="00337B4C" w:rsidP="00EC63DA">
      <w:pPr>
        <w:spacing w:after="60"/>
        <w:jc w:val="both"/>
        <w:rPr>
          <w:rFonts w:ascii="Verdana" w:hAnsi="Verdana" w:cs="Times New Roman"/>
        </w:rPr>
      </w:pPr>
      <w:r w:rsidRPr="00EE4D50">
        <w:rPr>
          <w:rFonts w:ascii="Verdana" w:hAnsi="Verdana" w:cs="Times New Roman"/>
        </w:rPr>
        <w:t>Las cifras muestran como antes de las reducciones del arancel de vehículos, el mercado loc</w:t>
      </w:r>
      <w:r>
        <w:rPr>
          <w:rFonts w:ascii="Verdana" w:hAnsi="Verdana" w:cs="Times New Roman"/>
        </w:rPr>
        <w:t>al acaparaba gran parte de la</w:t>
      </w:r>
      <w:r w:rsidRPr="00EE4D50">
        <w:rPr>
          <w:rFonts w:ascii="Verdana" w:hAnsi="Verdana" w:cs="Times New Roman"/>
        </w:rPr>
        <w:t xml:space="preserve"> totalidad de vehículos de ensamblaje nacional, ya que ocupaban un 75% de la demanda frente a un 25%.</w:t>
      </w:r>
    </w:p>
    <w:p w:rsidR="0020035A" w:rsidRPr="00EE4D50" w:rsidRDefault="0020035A"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En 1992 la tendencia del mercado superaba a las importaciones con un 4%, para el año 1994 la participación de las importaciones superaba a las de producción local por un 18%.</w:t>
      </w:r>
    </w:p>
    <w:p w:rsidR="0020035A" w:rsidRDefault="0020035A" w:rsidP="00EC63DA">
      <w:pPr>
        <w:spacing w:after="60"/>
        <w:jc w:val="both"/>
        <w:rPr>
          <w:rFonts w:ascii="Verdana" w:hAnsi="Verdana" w:cs="Times New Roman"/>
        </w:rPr>
      </w:pPr>
    </w:p>
    <w:p w:rsidR="001A1E18" w:rsidRDefault="001A1E18" w:rsidP="00EC63DA">
      <w:pPr>
        <w:spacing w:after="60"/>
        <w:jc w:val="both"/>
        <w:rPr>
          <w:rFonts w:ascii="Verdana" w:hAnsi="Verdana" w:cs="Times New Roman"/>
        </w:rPr>
      </w:pPr>
    </w:p>
    <w:p w:rsidR="001A1E18" w:rsidRDefault="001A1E18" w:rsidP="00EC63DA">
      <w:pPr>
        <w:spacing w:after="60"/>
        <w:jc w:val="both"/>
        <w:rPr>
          <w:rFonts w:ascii="Verdana" w:hAnsi="Verdana" w:cs="Times New Roman"/>
        </w:rPr>
      </w:pPr>
    </w:p>
    <w:p w:rsidR="001A1E18" w:rsidRDefault="001A1E18" w:rsidP="00EC63DA">
      <w:pPr>
        <w:spacing w:after="60"/>
        <w:jc w:val="both"/>
        <w:rPr>
          <w:rFonts w:ascii="Verdana" w:hAnsi="Verdana" w:cs="Times New Roman"/>
        </w:rPr>
      </w:pPr>
    </w:p>
    <w:p w:rsidR="001A1E18" w:rsidRDefault="001A1E18" w:rsidP="00EC63DA">
      <w:pPr>
        <w:spacing w:after="60"/>
        <w:jc w:val="both"/>
        <w:rPr>
          <w:rFonts w:ascii="Verdana" w:hAnsi="Verdana" w:cs="Times New Roman"/>
        </w:rPr>
      </w:pPr>
    </w:p>
    <w:p w:rsidR="001A1E18" w:rsidRDefault="001A1E18" w:rsidP="00EC63DA">
      <w:pPr>
        <w:spacing w:after="60"/>
        <w:jc w:val="both"/>
        <w:rPr>
          <w:rFonts w:ascii="Verdana" w:hAnsi="Verdana" w:cs="Times New Roman"/>
        </w:rPr>
      </w:pPr>
    </w:p>
    <w:p w:rsidR="001A1E18" w:rsidRDefault="001A1E18" w:rsidP="00EC63DA">
      <w:pPr>
        <w:spacing w:after="60"/>
        <w:jc w:val="both"/>
        <w:rPr>
          <w:rFonts w:ascii="Verdana" w:hAnsi="Verdana" w:cs="Times New Roman"/>
        </w:rPr>
      </w:pPr>
    </w:p>
    <w:p w:rsidR="001A1E18" w:rsidRPr="00EE4D50" w:rsidRDefault="001A1E18" w:rsidP="00EC63DA">
      <w:pPr>
        <w:spacing w:after="60"/>
        <w:jc w:val="both"/>
        <w:rPr>
          <w:rFonts w:ascii="Verdana" w:hAnsi="Verdana" w:cs="Times New Roman"/>
        </w:rPr>
      </w:pPr>
    </w:p>
    <w:p w:rsidR="001052DA" w:rsidRPr="00EE4D50" w:rsidRDefault="001052DA" w:rsidP="00EC63DA">
      <w:pPr>
        <w:pStyle w:val="Epgrafe"/>
        <w:spacing w:after="0"/>
        <w:jc w:val="center"/>
        <w:rPr>
          <w:rFonts w:ascii="Verdana" w:hAnsi="Verdana" w:cs="Times New Roman"/>
          <w:b w:val="0"/>
          <w:color w:val="auto"/>
          <w:szCs w:val="20"/>
        </w:rPr>
      </w:pPr>
      <w:bookmarkStart w:id="55" w:name="_Toc473640078"/>
      <w:r w:rsidRPr="00EE4D50">
        <w:rPr>
          <w:rFonts w:ascii="Verdana" w:hAnsi="Verdana" w:cs="Times New Roman"/>
          <w:color w:val="auto"/>
          <w:sz w:val="20"/>
          <w:szCs w:val="20"/>
        </w:rPr>
        <w:lastRenderedPageBreak/>
        <w:t xml:space="preserve">Gráfico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Gráfico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2</w:t>
      </w:r>
      <w:r w:rsidRPr="00EE4D50">
        <w:rPr>
          <w:rFonts w:ascii="Verdana" w:hAnsi="Verdana" w:cs="Times New Roman"/>
          <w:color w:val="auto"/>
          <w:sz w:val="20"/>
          <w:szCs w:val="20"/>
        </w:rPr>
        <w:fldChar w:fldCharType="end"/>
      </w:r>
      <w:r w:rsidR="007B7AFB" w:rsidRPr="00EE4D50">
        <w:rPr>
          <w:rFonts w:ascii="Verdana" w:hAnsi="Verdana" w:cs="Times New Roman"/>
          <w:b w:val="0"/>
          <w:color w:val="auto"/>
          <w:sz w:val="20"/>
          <w:szCs w:val="20"/>
        </w:rPr>
        <w:t xml:space="preserve">: </w:t>
      </w:r>
      <w:r w:rsidR="007B7AFB" w:rsidRPr="00EE4D50">
        <w:rPr>
          <w:rFonts w:ascii="Verdana" w:hAnsi="Verdana" w:cs="Times New Roman"/>
          <w:b w:val="0"/>
          <w:color w:val="auto"/>
          <w:szCs w:val="20"/>
        </w:rPr>
        <w:t>Ecuador: % Participación por e</w:t>
      </w:r>
      <w:r w:rsidR="00BB07EF" w:rsidRPr="00EE4D50">
        <w:rPr>
          <w:rFonts w:ascii="Verdana" w:hAnsi="Verdana" w:cs="Times New Roman"/>
          <w:b w:val="0"/>
          <w:color w:val="auto"/>
          <w:szCs w:val="20"/>
        </w:rPr>
        <w:t>nsambladora e</w:t>
      </w:r>
      <w:r w:rsidR="007B7AFB" w:rsidRPr="00EE4D50">
        <w:rPr>
          <w:rFonts w:ascii="Verdana" w:hAnsi="Verdana" w:cs="Times New Roman"/>
          <w:b w:val="0"/>
          <w:color w:val="auto"/>
          <w:szCs w:val="20"/>
        </w:rPr>
        <w:t>n el t</w:t>
      </w:r>
      <w:r w:rsidRPr="00EE4D50">
        <w:rPr>
          <w:rFonts w:ascii="Verdana" w:hAnsi="Verdana" w:cs="Times New Roman"/>
          <w:b w:val="0"/>
          <w:color w:val="auto"/>
          <w:szCs w:val="20"/>
        </w:rPr>
        <w:t>otal</w:t>
      </w:r>
      <w:r w:rsidR="007B7AFB" w:rsidRPr="00EE4D50">
        <w:rPr>
          <w:rFonts w:ascii="Verdana" w:hAnsi="Verdana" w:cs="Times New Roman"/>
          <w:b w:val="0"/>
          <w:color w:val="auto"/>
          <w:szCs w:val="20"/>
        </w:rPr>
        <w:t xml:space="preserve"> p</w:t>
      </w:r>
      <w:r w:rsidRPr="00EE4D50">
        <w:rPr>
          <w:rFonts w:ascii="Verdana" w:hAnsi="Verdana" w:cs="Times New Roman"/>
          <w:b w:val="0"/>
          <w:color w:val="auto"/>
          <w:szCs w:val="20"/>
        </w:rPr>
        <w:t xml:space="preserve">roducido en dólares </w:t>
      </w:r>
      <w:r w:rsidR="00BB07EF" w:rsidRPr="00EE4D50">
        <w:rPr>
          <w:rFonts w:ascii="Verdana" w:hAnsi="Verdana" w:cs="Times New Roman"/>
          <w:b w:val="0"/>
          <w:color w:val="auto"/>
          <w:szCs w:val="20"/>
        </w:rPr>
        <w:t>en 1994</w:t>
      </w:r>
      <w:bookmarkEnd w:id="55"/>
    </w:p>
    <w:p w:rsidR="00BB07EF" w:rsidRPr="00EE4D50" w:rsidRDefault="00BB07EF" w:rsidP="00EC63DA">
      <w:pPr>
        <w:pStyle w:val="Epgrafe"/>
        <w:spacing w:after="0"/>
        <w:jc w:val="center"/>
        <w:rPr>
          <w:rFonts w:ascii="Verdana" w:hAnsi="Verdana" w:cs="Times New Roman"/>
        </w:rPr>
      </w:pPr>
      <w:r w:rsidRPr="00EE4D50">
        <w:rPr>
          <w:rFonts w:ascii="Verdana" w:hAnsi="Verdana" w:cs="Times New Roman"/>
          <w:noProof/>
          <w:sz w:val="20"/>
          <w:szCs w:val="20"/>
          <w:lang w:eastAsia="es-EC"/>
        </w:rPr>
        <w:drawing>
          <wp:inline distT="0" distB="0" distL="0" distR="0" wp14:anchorId="37AA221D" wp14:editId="14EB7BE5">
            <wp:extent cx="4591050" cy="2314575"/>
            <wp:effectExtent l="0" t="0" r="0" b="9525"/>
            <wp:docPr id="11" name="Gráfico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9"/>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91050" cy="2314575"/>
                    </a:xfrm>
                    <a:prstGeom prst="rect">
                      <a:avLst/>
                    </a:prstGeom>
                    <a:noFill/>
                    <a:ln>
                      <a:noFill/>
                    </a:ln>
                  </pic:spPr>
                </pic:pic>
              </a:graphicData>
            </a:graphic>
          </wp:inline>
        </w:drawing>
      </w:r>
    </w:p>
    <w:p w:rsidR="00BB07EF" w:rsidRPr="00EE4D50" w:rsidRDefault="001F10CC" w:rsidP="00EC63DA">
      <w:pPr>
        <w:spacing w:after="0" w:line="240" w:lineRule="auto"/>
        <w:jc w:val="both"/>
        <w:rPr>
          <w:rFonts w:ascii="Verdana" w:hAnsi="Verdana" w:cs="Times New Roman"/>
          <w:sz w:val="20"/>
        </w:rPr>
      </w:pPr>
      <w:r w:rsidRPr="00EE4D50">
        <w:rPr>
          <w:rFonts w:ascii="Verdana" w:hAnsi="Verdana" w:cs="Times New Roman"/>
        </w:rPr>
        <w:t xml:space="preserve">            </w:t>
      </w:r>
      <w:r w:rsidR="00BB07EF" w:rsidRPr="00EE4D50">
        <w:rPr>
          <w:rFonts w:ascii="Verdana" w:hAnsi="Verdana" w:cs="Times New Roman"/>
          <w:sz w:val="20"/>
        </w:rPr>
        <w:t>Fuente: CINAE, revista #12</w:t>
      </w:r>
    </w:p>
    <w:p w:rsidR="00BB07EF" w:rsidRPr="00EE4D50" w:rsidRDefault="001F10CC" w:rsidP="00EC63DA">
      <w:pPr>
        <w:spacing w:after="0" w:line="240" w:lineRule="auto"/>
        <w:jc w:val="both"/>
        <w:rPr>
          <w:rFonts w:ascii="Verdana" w:hAnsi="Verdana" w:cs="Times New Roman"/>
          <w:sz w:val="20"/>
        </w:rPr>
      </w:pPr>
      <w:r w:rsidRPr="00EE4D50">
        <w:rPr>
          <w:rFonts w:ascii="Verdana" w:hAnsi="Verdana" w:cs="Times New Roman"/>
          <w:sz w:val="20"/>
        </w:rPr>
        <w:t xml:space="preserve">            </w:t>
      </w:r>
      <w:r w:rsidR="00BB07EF" w:rsidRPr="00EE4D50">
        <w:rPr>
          <w:rFonts w:ascii="Verdana" w:hAnsi="Verdana" w:cs="Times New Roman"/>
          <w:sz w:val="20"/>
        </w:rPr>
        <w:t>Elaboración: Autor</w:t>
      </w:r>
      <w:r w:rsidR="00ED08AE">
        <w:rPr>
          <w:rFonts w:ascii="Verdana" w:hAnsi="Verdana" w:cs="Times New Roman"/>
          <w:sz w:val="20"/>
        </w:rPr>
        <w:t>a</w:t>
      </w:r>
    </w:p>
    <w:p w:rsidR="00BB07EF" w:rsidRPr="00EE4D50" w:rsidRDefault="00BB07EF" w:rsidP="00EC63DA">
      <w:pPr>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En cuanto a la participación por ensambladora, se observó que para 1994, las cuatro ensambladoras que operaban en ese entonces tienen participaciones casi igualitarias. Liderando esa lista estuvo Omnibus B.B. con un 29%, muy cerca con un 28% le siguió Aymesa, en tercer lugar Maresa con un 24% y finalmente la ensambladora Coenanza con un 19%, la cual ya cerró sus puertas pero demostró estar bien acoplada con las otras ensambladoras que lideraron en el año 1994.</w:t>
      </w:r>
    </w:p>
    <w:p w:rsidR="001A51BB" w:rsidRPr="00EE4D50" w:rsidRDefault="001A51BB" w:rsidP="00EC63DA">
      <w:pPr>
        <w:spacing w:after="60"/>
        <w:jc w:val="both"/>
        <w:rPr>
          <w:rFonts w:ascii="Verdana" w:hAnsi="Verdana" w:cs="Times New Roman"/>
        </w:rPr>
      </w:pPr>
    </w:p>
    <w:p w:rsidR="001052DA" w:rsidRPr="00EE4D50" w:rsidRDefault="001052DA" w:rsidP="00EC63DA">
      <w:pPr>
        <w:pStyle w:val="Epgrafe"/>
        <w:spacing w:after="0"/>
        <w:jc w:val="center"/>
        <w:rPr>
          <w:rFonts w:ascii="Verdana" w:hAnsi="Verdana" w:cs="Times New Roman"/>
          <w:b w:val="0"/>
          <w:color w:val="auto"/>
          <w:szCs w:val="20"/>
        </w:rPr>
      </w:pPr>
      <w:bookmarkStart w:id="56" w:name="_Toc473640079"/>
      <w:r w:rsidRPr="00EE4D50">
        <w:rPr>
          <w:rFonts w:ascii="Verdana" w:hAnsi="Verdana" w:cs="Times New Roman"/>
          <w:color w:val="auto"/>
          <w:sz w:val="20"/>
          <w:szCs w:val="20"/>
        </w:rPr>
        <w:t xml:space="preserve">Gráfico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Gráfico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3</w:t>
      </w:r>
      <w:r w:rsidRPr="00EE4D50">
        <w:rPr>
          <w:rFonts w:ascii="Verdana" w:hAnsi="Verdana" w:cs="Times New Roman"/>
          <w:color w:val="auto"/>
          <w:sz w:val="20"/>
          <w:szCs w:val="20"/>
        </w:rPr>
        <w:fldChar w:fldCharType="end"/>
      </w:r>
      <w:r w:rsidR="00BB07EF" w:rsidRPr="00EE4D50">
        <w:rPr>
          <w:rFonts w:ascii="Verdana" w:hAnsi="Verdana" w:cs="Times New Roman"/>
          <w:b w:val="0"/>
          <w:color w:val="auto"/>
          <w:sz w:val="20"/>
          <w:szCs w:val="20"/>
        </w:rPr>
        <w:t xml:space="preserve">: </w:t>
      </w:r>
      <w:r w:rsidR="00BB07EF" w:rsidRPr="00EE4D50">
        <w:rPr>
          <w:rFonts w:ascii="Verdana" w:hAnsi="Verdana" w:cs="Times New Roman"/>
          <w:b w:val="0"/>
          <w:color w:val="auto"/>
          <w:szCs w:val="20"/>
        </w:rPr>
        <w:t>Ecuador: %</w:t>
      </w:r>
      <w:r w:rsidR="007B7AFB" w:rsidRPr="00EE4D50">
        <w:rPr>
          <w:rFonts w:ascii="Verdana" w:hAnsi="Verdana" w:cs="Times New Roman"/>
          <w:b w:val="0"/>
          <w:color w:val="auto"/>
          <w:szCs w:val="20"/>
        </w:rPr>
        <w:t xml:space="preserve"> Participación por ensambladora en el total p</w:t>
      </w:r>
      <w:r w:rsidR="00BB07EF" w:rsidRPr="00EE4D50">
        <w:rPr>
          <w:rFonts w:ascii="Verdana" w:hAnsi="Verdana" w:cs="Times New Roman"/>
          <w:b w:val="0"/>
          <w:color w:val="auto"/>
          <w:szCs w:val="20"/>
        </w:rPr>
        <w:t>roducido en dólares en</w:t>
      </w:r>
      <w:r w:rsidR="001F10CC" w:rsidRPr="00EE4D50">
        <w:rPr>
          <w:rFonts w:ascii="Verdana" w:hAnsi="Verdana" w:cs="Times New Roman"/>
          <w:b w:val="0"/>
          <w:color w:val="auto"/>
          <w:szCs w:val="20"/>
        </w:rPr>
        <w:t xml:space="preserve"> </w:t>
      </w:r>
      <w:r w:rsidR="00BB07EF" w:rsidRPr="00EE4D50">
        <w:rPr>
          <w:rFonts w:ascii="Verdana" w:hAnsi="Verdana" w:cs="Times New Roman"/>
          <w:b w:val="0"/>
          <w:color w:val="auto"/>
          <w:szCs w:val="20"/>
        </w:rPr>
        <w:t>el 2002</w:t>
      </w:r>
      <w:bookmarkEnd w:id="56"/>
    </w:p>
    <w:p w:rsidR="00BB07EF" w:rsidRPr="00EE4D50" w:rsidRDefault="00BB07EF" w:rsidP="00EC63DA">
      <w:pPr>
        <w:pStyle w:val="Epgrafe"/>
        <w:spacing w:after="0"/>
        <w:jc w:val="center"/>
        <w:rPr>
          <w:rFonts w:ascii="Verdana" w:hAnsi="Verdana" w:cs="Times New Roman"/>
        </w:rPr>
      </w:pPr>
      <w:r w:rsidRPr="00EE4D50">
        <w:rPr>
          <w:rFonts w:ascii="Verdana" w:hAnsi="Verdana" w:cs="Times New Roman"/>
          <w:noProof/>
          <w:sz w:val="20"/>
          <w:szCs w:val="20"/>
          <w:lang w:eastAsia="es-EC"/>
        </w:rPr>
        <w:drawing>
          <wp:inline distT="0" distB="0" distL="0" distR="0" wp14:anchorId="28FCAD00" wp14:editId="0085A44F">
            <wp:extent cx="5534025" cy="2752725"/>
            <wp:effectExtent l="0" t="0" r="9525" b="9525"/>
            <wp:docPr id="12" name="Gráfico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8"/>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34025" cy="2752725"/>
                    </a:xfrm>
                    <a:prstGeom prst="rect">
                      <a:avLst/>
                    </a:prstGeom>
                    <a:noFill/>
                    <a:ln>
                      <a:noFill/>
                    </a:ln>
                  </pic:spPr>
                </pic:pic>
              </a:graphicData>
            </a:graphic>
          </wp:inline>
        </w:drawing>
      </w:r>
    </w:p>
    <w:p w:rsidR="00BB07EF" w:rsidRPr="00EE4D50" w:rsidRDefault="00ED08AE" w:rsidP="00EC63DA">
      <w:pPr>
        <w:spacing w:after="0" w:line="240" w:lineRule="auto"/>
        <w:jc w:val="both"/>
        <w:rPr>
          <w:rFonts w:ascii="Verdana" w:hAnsi="Verdana" w:cs="Times New Roman"/>
          <w:sz w:val="20"/>
        </w:rPr>
      </w:pPr>
      <w:r>
        <w:rPr>
          <w:rFonts w:ascii="Verdana" w:hAnsi="Verdana" w:cs="Times New Roman"/>
          <w:sz w:val="20"/>
        </w:rPr>
        <w:t xml:space="preserve">   </w:t>
      </w:r>
      <w:r w:rsidR="00BB07EF" w:rsidRPr="00EE4D50">
        <w:rPr>
          <w:rFonts w:ascii="Verdana" w:hAnsi="Verdana" w:cs="Times New Roman"/>
          <w:sz w:val="20"/>
        </w:rPr>
        <w:t xml:space="preserve">Fuente: CINAE y Ensambladoras </w:t>
      </w:r>
    </w:p>
    <w:p w:rsidR="00250095" w:rsidRDefault="00ED08AE" w:rsidP="00EC63DA">
      <w:pPr>
        <w:spacing w:after="60" w:line="240" w:lineRule="auto"/>
        <w:jc w:val="both"/>
        <w:rPr>
          <w:rFonts w:ascii="Verdana" w:hAnsi="Verdana" w:cs="Times New Roman"/>
          <w:sz w:val="20"/>
        </w:rPr>
      </w:pPr>
      <w:r>
        <w:rPr>
          <w:rFonts w:ascii="Verdana" w:hAnsi="Verdana" w:cs="Times New Roman"/>
          <w:sz w:val="20"/>
        </w:rPr>
        <w:t xml:space="preserve">   </w:t>
      </w:r>
      <w:r w:rsidR="00BB07EF" w:rsidRPr="00EE4D50">
        <w:rPr>
          <w:rFonts w:ascii="Verdana" w:hAnsi="Verdana" w:cs="Times New Roman"/>
          <w:sz w:val="20"/>
        </w:rPr>
        <w:t>Elaboración: Autor</w:t>
      </w:r>
      <w:r w:rsidR="00824DBB">
        <w:rPr>
          <w:rFonts w:ascii="Verdana" w:hAnsi="Verdana" w:cs="Times New Roman"/>
          <w:sz w:val="20"/>
        </w:rPr>
        <w:t>a</w:t>
      </w:r>
    </w:p>
    <w:p w:rsidR="00462D4D" w:rsidRPr="00EE4D50" w:rsidRDefault="00462D4D" w:rsidP="00EC63DA">
      <w:pPr>
        <w:spacing w:after="60" w:line="240" w:lineRule="auto"/>
        <w:jc w:val="both"/>
        <w:rPr>
          <w:rFonts w:ascii="Verdana" w:hAnsi="Verdana" w:cs="Times New Roman"/>
          <w:sz w:val="20"/>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Para el 2002, el porcentaje de participación por ensambladora en la producción de vehículos ha cambiado considerablemente con relación al año 1994, donde se observa que todavía lideró la lista Omnibus B.B. pero acaparando casi todo el </w:t>
      </w:r>
      <w:r w:rsidRPr="00EE4D50">
        <w:rPr>
          <w:rFonts w:ascii="Verdana" w:hAnsi="Verdana" w:cs="Times New Roman"/>
        </w:rPr>
        <w:lastRenderedPageBreak/>
        <w:t>mercado con un 81% de participación, le sigue Maresa con un 11% y Aymesa con un 8%, las cuales han tenido una producción baja ya que Omnibus B.B. se ha convertido en el preferido de sus consumidores por la facilidad, no solo en la adquisición de sus vehículos, sino en la adquisición de repuestos para su reparación. Coenanza no se encuentra en este cuadro ya que dejo de ope</w:t>
      </w:r>
      <w:r w:rsidR="001A51BB" w:rsidRPr="00EE4D50">
        <w:rPr>
          <w:rFonts w:ascii="Verdana" w:hAnsi="Verdana" w:cs="Times New Roman"/>
        </w:rPr>
        <w:t>rar en el año 1996.</w:t>
      </w:r>
    </w:p>
    <w:p w:rsidR="001A51BB" w:rsidRPr="00EE4D50" w:rsidRDefault="001A51BB" w:rsidP="00EC63DA">
      <w:pPr>
        <w:spacing w:after="60"/>
        <w:jc w:val="both"/>
        <w:rPr>
          <w:rFonts w:ascii="Verdana" w:hAnsi="Verdana" w:cs="Times New Roman"/>
        </w:rPr>
      </w:pPr>
    </w:p>
    <w:p w:rsidR="00BB07EF" w:rsidRPr="00EE4D50" w:rsidRDefault="00BB07EF" w:rsidP="00EC63DA">
      <w:pPr>
        <w:pStyle w:val="Ttulo2"/>
        <w:rPr>
          <w:rFonts w:cs="Times New Roman"/>
        </w:rPr>
      </w:pPr>
      <w:bookmarkStart w:id="57" w:name="_Toc459992046"/>
      <w:bookmarkStart w:id="58" w:name="_Toc485137208"/>
      <w:r w:rsidRPr="00EE4D50">
        <w:rPr>
          <w:rFonts w:cs="Times New Roman"/>
        </w:rPr>
        <w:t>Exportaciones de vehículos</w:t>
      </w:r>
      <w:bookmarkEnd w:id="57"/>
      <w:bookmarkEnd w:id="58"/>
    </w:p>
    <w:p w:rsidR="00BB07EF" w:rsidRPr="00EE4D50" w:rsidRDefault="00BB07EF" w:rsidP="00EC63DA">
      <w:pPr>
        <w:spacing w:after="60"/>
        <w:jc w:val="both"/>
        <w:rPr>
          <w:rFonts w:ascii="Verdana" w:hAnsi="Verdana" w:cs="Times New Roman"/>
        </w:rPr>
      </w:pPr>
    </w:p>
    <w:p w:rsidR="009B02A6" w:rsidRPr="00EE4D50" w:rsidRDefault="00BB07EF" w:rsidP="00EC63DA">
      <w:pPr>
        <w:spacing w:after="60"/>
        <w:jc w:val="both"/>
        <w:rPr>
          <w:rFonts w:ascii="Verdana" w:hAnsi="Verdana" w:cs="Times New Roman"/>
        </w:rPr>
      </w:pPr>
      <w:r w:rsidRPr="00EE4D50">
        <w:rPr>
          <w:rFonts w:ascii="Verdana" w:hAnsi="Verdana" w:cs="Times New Roman"/>
        </w:rPr>
        <w:t>Anteriormente se mencionó que los vehículos comenzaron a exportarse desde 1992, a Colombia, Venezuela y Perú, de los cuales los más demandados han sido automóvil</w:t>
      </w:r>
      <w:r w:rsidR="001A51BB" w:rsidRPr="00EE4D50">
        <w:rPr>
          <w:rFonts w:ascii="Verdana" w:hAnsi="Verdana" w:cs="Times New Roman"/>
        </w:rPr>
        <w:t>es, camionetas y vehículos 4x4.</w:t>
      </w:r>
    </w:p>
    <w:p w:rsidR="009B02A6" w:rsidRPr="00EE4D50" w:rsidRDefault="009B02A6" w:rsidP="00EC63DA">
      <w:pPr>
        <w:spacing w:after="60"/>
        <w:jc w:val="both"/>
        <w:rPr>
          <w:rFonts w:ascii="Verdana" w:hAnsi="Verdana" w:cs="Times New Roman"/>
        </w:rPr>
      </w:pPr>
    </w:p>
    <w:p w:rsidR="00BB07EF" w:rsidRPr="00EE4D50" w:rsidRDefault="001052DA" w:rsidP="00EC63DA">
      <w:pPr>
        <w:pStyle w:val="Epgrafe"/>
        <w:spacing w:after="0"/>
        <w:jc w:val="center"/>
        <w:rPr>
          <w:rFonts w:ascii="Verdana" w:hAnsi="Verdana" w:cs="Times New Roman"/>
          <w:color w:val="auto"/>
          <w:sz w:val="20"/>
          <w:szCs w:val="20"/>
        </w:rPr>
      </w:pPr>
      <w:bookmarkStart w:id="59" w:name="_Toc473640080"/>
      <w:r w:rsidRPr="00EE4D50">
        <w:rPr>
          <w:rFonts w:ascii="Verdana" w:hAnsi="Verdana" w:cs="Times New Roman"/>
          <w:color w:val="auto"/>
          <w:sz w:val="20"/>
          <w:szCs w:val="20"/>
        </w:rPr>
        <w:t xml:space="preserve">Gráfico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Gráfico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4</w:t>
      </w:r>
      <w:r w:rsidRPr="00EE4D50">
        <w:rPr>
          <w:rFonts w:ascii="Verdana" w:hAnsi="Verdana" w:cs="Times New Roman"/>
          <w:color w:val="auto"/>
          <w:sz w:val="20"/>
          <w:szCs w:val="20"/>
        </w:rPr>
        <w:fldChar w:fldCharType="end"/>
      </w:r>
      <w:r w:rsidR="00BB07EF" w:rsidRPr="00EE4D50">
        <w:rPr>
          <w:rFonts w:ascii="Verdana" w:hAnsi="Verdana" w:cs="Times New Roman"/>
          <w:b w:val="0"/>
          <w:bCs w:val="0"/>
          <w:color w:val="auto"/>
          <w:sz w:val="20"/>
          <w:szCs w:val="20"/>
        </w:rPr>
        <w:t>: Exportación de vehículos en Ecuador</w:t>
      </w:r>
      <w:bookmarkEnd w:id="59"/>
    </w:p>
    <w:p w:rsidR="00BB07EF" w:rsidRPr="00EE4D50" w:rsidRDefault="00BB07EF" w:rsidP="00EC63DA">
      <w:pPr>
        <w:spacing w:after="0" w:line="240" w:lineRule="auto"/>
        <w:jc w:val="center"/>
        <w:rPr>
          <w:rFonts w:ascii="Verdana" w:hAnsi="Verdana" w:cs="Times New Roman"/>
        </w:rPr>
      </w:pPr>
      <w:r w:rsidRPr="00EE4D50">
        <w:rPr>
          <w:rFonts w:ascii="Verdana" w:hAnsi="Verdana" w:cs="Times New Roman"/>
          <w:noProof/>
          <w:sz w:val="20"/>
          <w:szCs w:val="20"/>
          <w:lang w:eastAsia="es-EC"/>
        </w:rPr>
        <w:drawing>
          <wp:inline distT="0" distB="0" distL="0" distR="0" wp14:anchorId="21FD0CDE" wp14:editId="03E373E6">
            <wp:extent cx="5362575" cy="2752725"/>
            <wp:effectExtent l="0" t="0" r="9525" b="9525"/>
            <wp:docPr id="13" name="Gráfico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1"/>
                    <pic:cNvPicPr>
                      <a:picLocks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62575" cy="2752725"/>
                    </a:xfrm>
                    <a:prstGeom prst="rect">
                      <a:avLst/>
                    </a:prstGeom>
                    <a:noFill/>
                    <a:ln>
                      <a:noFill/>
                    </a:ln>
                  </pic:spPr>
                </pic:pic>
              </a:graphicData>
            </a:graphic>
          </wp:inline>
        </w:drawing>
      </w:r>
    </w:p>
    <w:p w:rsidR="00BB07EF" w:rsidRPr="00EE4D50" w:rsidRDefault="001F10CC" w:rsidP="00EC63DA">
      <w:pPr>
        <w:spacing w:after="0" w:line="240" w:lineRule="auto"/>
        <w:jc w:val="both"/>
        <w:rPr>
          <w:rFonts w:ascii="Verdana" w:hAnsi="Verdana" w:cs="Times New Roman"/>
          <w:sz w:val="20"/>
        </w:rPr>
      </w:pPr>
      <w:r w:rsidRPr="00EE4D50">
        <w:rPr>
          <w:rFonts w:ascii="Verdana" w:hAnsi="Verdana" w:cs="Times New Roman"/>
          <w:bCs/>
        </w:rPr>
        <w:t xml:space="preserve">    </w:t>
      </w:r>
      <w:r w:rsidR="00BB07EF" w:rsidRPr="00EE4D50">
        <w:rPr>
          <w:rFonts w:ascii="Verdana" w:hAnsi="Verdana" w:cs="Times New Roman"/>
          <w:bCs/>
          <w:sz w:val="20"/>
        </w:rPr>
        <w:t>Fuentes:</w:t>
      </w:r>
      <w:r w:rsidR="00BB07EF" w:rsidRPr="00EE4D50">
        <w:rPr>
          <w:rFonts w:ascii="Verdana" w:hAnsi="Verdana" w:cs="Times New Roman"/>
          <w:sz w:val="20"/>
        </w:rPr>
        <w:t xml:space="preserve"> *1988-1994</w:t>
      </w:r>
      <w:r w:rsidR="00337B4C" w:rsidRPr="00EE4D50">
        <w:rPr>
          <w:rFonts w:ascii="Verdana" w:hAnsi="Verdana" w:cs="Times New Roman"/>
          <w:sz w:val="20"/>
        </w:rPr>
        <w:t>: Kleparnik</w:t>
      </w:r>
      <w:r w:rsidR="00BB07EF" w:rsidRPr="00EE4D50">
        <w:rPr>
          <w:rFonts w:ascii="Verdana" w:hAnsi="Verdana" w:cs="Times New Roman"/>
          <w:sz w:val="20"/>
        </w:rPr>
        <w:t xml:space="preserve"> (1996) **1995-2002</w:t>
      </w:r>
      <w:r w:rsidR="00337B4C" w:rsidRPr="00EE4D50">
        <w:rPr>
          <w:rFonts w:ascii="Verdana" w:hAnsi="Verdana" w:cs="Times New Roman"/>
          <w:sz w:val="20"/>
        </w:rPr>
        <w:t>: Hidrobo</w:t>
      </w:r>
      <w:r w:rsidR="00BB07EF" w:rsidRPr="00EE4D50">
        <w:rPr>
          <w:rFonts w:ascii="Verdana" w:hAnsi="Verdana" w:cs="Times New Roman"/>
          <w:sz w:val="20"/>
        </w:rPr>
        <w:t xml:space="preserve"> (2004)</w:t>
      </w:r>
    </w:p>
    <w:p w:rsidR="00BB07EF" w:rsidRPr="00EE4D50" w:rsidRDefault="001F10CC" w:rsidP="00EC63DA">
      <w:pPr>
        <w:spacing w:after="0" w:line="240" w:lineRule="auto"/>
        <w:jc w:val="both"/>
        <w:rPr>
          <w:rFonts w:ascii="Verdana" w:hAnsi="Verdana" w:cs="Times New Roman"/>
          <w:sz w:val="20"/>
        </w:rPr>
      </w:pPr>
      <w:r w:rsidRPr="00EE4D50">
        <w:rPr>
          <w:rFonts w:ascii="Verdana" w:hAnsi="Verdana" w:cs="Times New Roman"/>
          <w:bCs/>
          <w:sz w:val="20"/>
        </w:rPr>
        <w:t xml:space="preserve">    </w:t>
      </w:r>
      <w:r w:rsidR="00BB07EF" w:rsidRPr="00EE4D50">
        <w:rPr>
          <w:rFonts w:ascii="Verdana" w:hAnsi="Verdana" w:cs="Times New Roman"/>
          <w:bCs/>
          <w:sz w:val="20"/>
        </w:rPr>
        <w:t>Elaboración:</w:t>
      </w:r>
      <w:r w:rsidR="00BB07EF" w:rsidRPr="00EE4D50">
        <w:rPr>
          <w:rFonts w:ascii="Verdana" w:hAnsi="Verdana" w:cs="Times New Roman"/>
          <w:sz w:val="20"/>
        </w:rPr>
        <w:t xml:space="preserve"> Autor</w:t>
      </w:r>
      <w:r w:rsidR="00824DBB">
        <w:rPr>
          <w:rFonts w:ascii="Verdana" w:hAnsi="Verdana" w:cs="Times New Roman"/>
          <w:sz w:val="20"/>
        </w:rPr>
        <w:t>a</w:t>
      </w:r>
    </w:p>
    <w:p w:rsidR="00BB07EF" w:rsidRPr="00EE4D50" w:rsidRDefault="00BB07EF" w:rsidP="00EC63DA">
      <w:pPr>
        <w:spacing w:after="60"/>
        <w:jc w:val="both"/>
        <w:rPr>
          <w:rFonts w:ascii="Verdana" w:hAnsi="Verdana" w:cs="Times New Roman"/>
        </w:rPr>
      </w:pPr>
    </w:p>
    <w:p w:rsidR="00BB07EF" w:rsidRDefault="00BB07EF" w:rsidP="00EC63DA">
      <w:pPr>
        <w:spacing w:after="60"/>
        <w:jc w:val="both"/>
        <w:rPr>
          <w:rFonts w:ascii="Verdana" w:hAnsi="Verdana" w:cs="Times New Roman"/>
        </w:rPr>
      </w:pPr>
      <w:r w:rsidRPr="00EE4D50">
        <w:rPr>
          <w:rFonts w:ascii="Verdana" w:hAnsi="Verdana" w:cs="Times New Roman"/>
        </w:rPr>
        <w:t>Las cifras de las exportaciones de vehículos muestran momentos tanto de crisis como de auge económico, como se puede observar en el año 1996, donde se exportó 5.079 vehículos con un decrecimiento en ventas de 4.931 y 2.792 de los años 1998 y 1999 respectivamente, mientras que en el año 2000 se registra exportaciones de 5.028 unidades; y de ahí se observa un crecimiento constante que para el 2001 es de 7.489 y en el 2002 5.175 unidades exportadas. Los vehículos que tienen más acogida en el exterior, son los vehículos de doble tracción (Hidrobo,</w:t>
      </w:r>
      <w:r w:rsidR="00CF4FE1" w:rsidRPr="00EE4D50">
        <w:rPr>
          <w:rFonts w:ascii="Verdana" w:hAnsi="Verdana" w:cs="Times New Roman"/>
        </w:rPr>
        <w:t xml:space="preserve"> </w:t>
      </w:r>
      <w:r w:rsidRPr="00EE4D50">
        <w:rPr>
          <w:rFonts w:ascii="Verdana" w:hAnsi="Verdana" w:cs="Times New Roman"/>
        </w:rPr>
        <w:t>2004</w:t>
      </w:r>
      <w:r w:rsidR="00ED08AE">
        <w:rPr>
          <w:rFonts w:ascii="Verdana" w:hAnsi="Verdana" w:cs="Times New Roman"/>
        </w:rPr>
        <w:t xml:space="preserve">: </w:t>
      </w:r>
      <w:r w:rsidR="001B1AE6">
        <w:rPr>
          <w:rFonts w:ascii="Verdana" w:hAnsi="Verdana" w:cs="Times New Roman"/>
        </w:rPr>
        <w:t>90</w:t>
      </w:r>
      <w:r w:rsidRPr="00EE4D50">
        <w:rPr>
          <w:rFonts w:ascii="Verdana" w:hAnsi="Verdana" w:cs="Times New Roman"/>
        </w:rPr>
        <w:t>).</w:t>
      </w:r>
    </w:p>
    <w:p w:rsidR="00462D4D" w:rsidRPr="00EE4D50" w:rsidRDefault="00462D4D" w:rsidP="00EC63DA">
      <w:pPr>
        <w:spacing w:after="60"/>
        <w:jc w:val="both"/>
        <w:rPr>
          <w:rFonts w:ascii="Verdana" w:hAnsi="Verdana" w:cs="Times New Roman"/>
        </w:rPr>
      </w:pPr>
    </w:p>
    <w:p w:rsidR="00BB07EF" w:rsidRDefault="00BB07EF" w:rsidP="00EC63DA">
      <w:pPr>
        <w:spacing w:after="60"/>
        <w:jc w:val="both"/>
        <w:rPr>
          <w:rFonts w:ascii="Verdana" w:hAnsi="Verdana" w:cs="Times New Roman"/>
        </w:rPr>
      </w:pPr>
      <w:r w:rsidRPr="00EE4D50">
        <w:rPr>
          <w:rFonts w:ascii="Verdana" w:hAnsi="Verdana" w:cs="Times New Roman"/>
        </w:rPr>
        <w:t>Según Hidrobo (2004</w:t>
      </w:r>
      <w:r w:rsidR="001B1AE6">
        <w:rPr>
          <w:rFonts w:ascii="Verdana" w:hAnsi="Verdana" w:cs="Times New Roman"/>
        </w:rPr>
        <w:t>: 87</w:t>
      </w:r>
      <w:r w:rsidRPr="00EE4D50">
        <w:rPr>
          <w:rFonts w:ascii="Verdana" w:hAnsi="Verdana" w:cs="Times New Roman"/>
        </w:rPr>
        <w:t>), la ensambladora que ac</w:t>
      </w:r>
      <w:r w:rsidR="001B1AE6">
        <w:rPr>
          <w:rFonts w:ascii="Verdana" w:hAnsi="Verdana" w:cs="Times New Roman"/>
        </w:rPr>
        <w:t xml:space="preserve">aparó mayor mercado exterior fue </w:t>
      </w:r>
      <w:r w:rsidRPr="00EE4D50">
        <w:rPr>
          <w:rFonts w:ascii="Verdana" w:hAnsi="Verdana" w:cs="Times New Roman"/>
        </w:rPr>
        <w:t xml:space="preserve">Omnibus BB, con una participación del 97% en el 2002, seguida por Aymesa con un 3% de las exportaciones. Este incremento se reforzó por </w:t>
      </w:r>
      <w:r w:rsidRPr="00EE4D50">
        <w:rPr>
          <w:rFonts w:ascii="Verdana" w:hAnsi="Verdana" w:cs="Times New Roman"/>
        </w:rPr>
        <w:lastRenderedPageBreak/>
        <w:t xml:space="preserve">incursión de nuevos mercados como son: Colombia, Venezuela y especialmente en Chile, Perú y Bolivia. </w:t>
      </w:r>
    </w:p>
    <w:p w:rsidR="00462D4D" w:rsidRPr="00EE4D50" w:rsidRDefault="00462D4D" w:rsidP="00EC63DA">
      <w:pPr>
        <w:spacing w:after="60"/>
        <w:jc w:val="both"/>
        <w:rPr>
          <w:rFonts w:ascii="Verdana" w:hAnsi="Verdana" w:cs="Times New Roman"/>
        </w:rPr>
      </w:pPr>
    </w:p>
    <w:p w:rsidR="00BB07EF" w:rsidRPr="00EE4D50" w:rsidRDefault="00BB07EF" w:rsidP="00EC63DA">
      <w:pPr>
        <w:pStyle w:val="Ttulo2"/>
        <w:rPr>
          <w:rFonts w:cs="Times New Roman"/>
        </w:rPr>
      </w:pPr>
      <w:bookmarkStart w:id="60" w:name="_Toc459992047"/>
      <w:bookmarkStart w:id="61" w:name="_Toc485137209"/>
      <w:r w:rsidRPr="00EE4D50">
        <w:rPr>
          <w:rFonts w:cs="Times New Roman"/>
        </w:rPr>
        <w:t>Importación de vehículos</w:t>
      </w:r>
      <w:bookmarkEnd w:id="60"/>
      <w:bookmarkEnd w:id="61"/>
    </w:p>
    <w:p w:rsidR="00BB07EF" w:rsidRPr="00EE4D50" w:rsidRDefault="00BB07EF"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En 1992, la importación de vehículos tuvo un comportamiento irregular que alcanzó 22.825 unidades. En 1994 las importaciones se reactivaron en 37.977 unidades, sin embargo, en los años 1995 y 1996 Ecuador sufrió conflictos bélicos con Perú conjuntamente con crisis política y energética lo que desencadenó en reducción del consumo; las importaciones de vehículos pasaron a 27.495 y luego a 12.060 respectivamente. Para 1998 se incrementó las importaciones que fue de 17.473 unidades respecto a 1996 (Hidrobo, 2004</w:t>
      </w:r>
      <w:r w:rsidR="006E418E">
        <w:rPr>
          <w:rFonts w:ascii="Verdana" w:hAnsi="Verdana" w:cs="Times New Roman"/>
        </w:rPr>
        <w:t>: 79-80</w:t>
      </w:r>
      <w:r w:rsidRPr="00EE4D50">
        <w:rPr>
          <w:rFonts w:ascii="Verdana" w:hAnsi="Verdana" w:cs="Times New Roman"/>
        </w:rPr>
        <w:t>).</w:t>
      </w:r>
    </w:p>
    <w:p w:rsidR="00BB07EF" w:rsidRPr="00EE4D50" w:rsidRDefault="00BB07EF" w:rsidP="00EC63DA">
      <w:pPr>
        <w:spacing w:after="60"/>
        <w:jc w:val="both"/>
        <w:rPr>
          <w:rFonts w:ascii="Verdana" w:hAnsi="Verdana" w:cs="Times New Roman"/>
          <w:sz w:val="20"/>
        </w:rPr>
      </w:pPr>
    </w:p>
    <w:p w:rsidR="00BB07EF" w:rsidRPr="00EE4D50" w:rsidRDefault="001052DA" w:rsidP="00EC63DA">
      <w:pPr>
        <w:pStyle w:val="Epgrafe"/>
        <w:spacing w:after="0"/>
        <w:jc w:val="center"/>
        <w:rPr>
          <w:rFonts w:ascii="Verdana" w:hAnsi="Verdana" w:cs="Times New Roman"/>
          <w:b w:val="0"/>
          <w:bCs w:val="0"/>
        </w:rPr>
      </w:pPr>
      <w:bookmarkStart w:id="62" w:name="_Toc473640081"/>
      <w:r w:rsidRPr="00EE4D50">
        <w:rPr>
          <w:rFonts w:ascii="Verdana" w:hAnsi="Verdana" w:cs="Times New Roman"/>
          <w:color w:val="auto"/>
          <w:sz w:val="20"/>
          <w:szCs w:val="20"/>
        </w:rPr>
        <w:t xml:space="preserve">Gráfico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Gráfico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5</w:t>
      </w:r>
      <w:r w:rsidRPr="00EE4D50">
        <w:rPr>
          <w:rFonts w:ascii="Verdana" w:hAnsi="Verdana" w:cs="Times New Roman"/>
          <w:color w:val="auto"/>
          <w:sz w:val="20"/>
          <w:szCs w:val="20"/>
        </w:rPr>
        <w:fldChar w:fldCharType="end"/>
      </w:r>
      <w:r w:rsidR="00BB07EF" w:rsidRPr="00EE4D50">
        <w:rPr>
          <w:rFonts w:ascii="Verdana" w:hAnsi="Verdana" w:cs="Times New Roman"/>
          <w:b w:val="0"/>
          <w:bCs w:val="0"/>
          <w:color w:val="auto"/>
          <w:sz w:val="20"/>
          <w:szCs w:val="20"/>
        </w:rPr>
        <w:t>: Importación de vehículos en Ecuador</w:t>
      </w:r>
      <w:r w:rsidR="00BB07EF" w:rsidRPr="00EE4D50">
        <w:rPr>
          <w:rFonts w:ascii="Verdana" w:hAnsi="Verdana" w:cs="Times New Roman"/>
          <w:noProof/>
          <w:sz w:val="20"/>
          <w:szCs w:val="20"/>
          <w:lang w:eastAsia="es-EC"/>
        </w:rPr>
        <w:drawing>
          <wp:inline distT="0" distB="0" distL="0" distR="0" wp14:anchorId="47E1F5F7" wp14:editId="42A5D7CA">
            <wp:extent cx="5600700" cy="2752725"/>
            <wp:effectExtent l="0" t="0" r="0" b="9525"/>
            <wp:docPr id="14" name="Gráfico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4"/>
                    <pic:cNvPicPr>
                      <a:picLocks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00700" cy="2752725"/>
                    </a:xfrm>
                    <a:prstGeom prst="rect">
                      <a:avLst/>
                    </a:prstGeom>
                    <a:noFill/>
                    <a:ln>
                      <a:noFill/>
                    </a:ln>
                  </pic:spPr>
                </pic:pic>
              </a:graphicData>
            </a:graphic>
          </wp:inline>
        </w:drawing>
      </w:r>
      <w:bookmarkEnd w:id="62"/>
    </w:p>
    <w:p w:rsidR="00BB07EF" w:rsidRPr="00EE4D50" w:rsidRDefault="001F10CC" w:rsidP="00EC63DA">
      <w:pPr>
        <w:spacing w:after="0" w:line="240" w:lineRule="auto"/>
        <w:jc w:val="both"/>
        <w:rPr>
          <w:rFonts w:ascii="Verdana" w:hAnsi="Verdana" w:cs="Times New Roman"/>
          <w:sz w:val="20"/>
        </w:rPr>
      </w:pPr>
      <w:r w:rsidRPr="00EE4D50">
        <w:rPr>
          <w:rFonts w:ascii="Verdana" w:hAnsi="Verdana" w:cs="Times New Roman"/>
          <w:bCs/>
        </w:rPr>
        <w:t xml:space="preserve">  </w:t>
      </w:r>
      <w:r w:rsidR="00BB07EF" w:rsidRPr="00EE4D50">
        <w:rPr>
          <w:rFonts w:ascii="Verdana" w:hAnsi="Verdana" w:cs="Times New Roman"/>
          <w:bCs/>
          <w:sz w:val="20"/>
        </w:rPr>
        <w:t>Fuentes:</w:t>
      </w:r>
      <w:r w:rsidR="00BB07EF" w:rsidRPr="00EE4D50">
        <w:rPr>
          <w:rFonts w:ascii="Verdana" w:hAnsi="Verdana" w:cs="Times New Roman"/>
          <w:sz w:val="20"/>
        </w:rPr>
        <w:t xml:space="preserve"> *1988-1994</w:t>
      </w:r>
      <w:r w:rsidR="00337B4C" w:rsidRPr="00EE4D50">
        <w:rPr>
          <w:rFonts w:ascii="Verdana" w:hAnsi="Verdana" w:cs="Times New Roman"/>
          <w:sz w:val="20"/>
        </w:rPr>
        <w:t>: Kleparnik</w:t>
      </w:r>
      <w:r w:rsidR="00BB07EF" w:rsidRPr="00EE4D50">
        <w:rPr>
          <w:rFonts w:ascii="Verdana" w:hAnsi="Verdana" w:cs="Times New Roman"/>
          <w:sz w:val="20"/>
        </w:rPr>
        <w:t xml:space="preserve"> (1996) **1995-2002</w:t>
      </w:r>
      <w:r w:rsidR="00337B4C" w:rsidRPr="00EE4D50">
        <w:rPr>
          <w:rFonts w:ascii="Verdana" w:hAnsi="Verdana" w:cs="Times New Roman"/>
          <w:sz w:val="20"/>
        </w:rPr>
        <w:t>: Hidrobo</w:t>
      </w:r>
      <w:r w:rsidR="00BB07EF" w:rsidRPr="00EE4D50">
        <w:rPr>
          <w:rFonts w:ascii="Verdana" w:hAnsi="Verdana" w:cs="Times New Roman"/>
          <w:sz w:val="20"/>
        </w:rPr>
        <w:t xml:space="preserve"> (2004)</w:t>
      </w:r>
    </w:p>
    <w:p w:rsidR="00BB07EF" w:rsidRPr="00EE4D50" w:rsidRDefault="001F10CC" w:rsidP="00EC63DA">
      <w:pPr>
        <w:spacing w:after="60" w:line="240" w:lineRule="auto"/>
        <w:jc w:val="both"/>
        <w:rPr>
          <w:rFonts w:ascii="Verdana" w:hAnsi="Verdana" w:cs="Times New Roman"/>
          <w:sz w:val="20"/>
        </w:rPr>
      </w:pPr>
      <w:r w:rsidRPr="00EE4D50">
        <w:rPr>
          <w:rFonts w:ascii="Verdana" w:hAnsi="Verdana" w:cs="Times New Roman"/>
          <w:bCs/>
          <w:sz w:val="20"/>
        </w:rPr>
        <w:t xml:space="preserve">  </w:t>
      </w:r>
      <w:r w:rsidR="00BB07EF" w:rsidRPr="00EE4D50">
        <w:rPr>
          <w:rFonts w:ascii="Verdana" w:hAnsi="Verdana" w:cs="Times New Roman"/>
          <w:bCs/>
          <w:sz w:val="20"/>
        </w:rPr>
        <w:t>Elaboración:</w:t>
      </w:r>
      <w:r w:rsidR="001A51BB" w:rsidRPr="00EE4D50">
        <w:rPr>
          <w:rFonts w:ascii="Verdana" w:hAnsi="Verdana" w:cs="Times New Roman"/>
          <w:sz w:val="20"/>
        </w:rPr>
        <w:t xml:space="preserve"> Autor</w:t>
      </w:r>
    </w:p>
    <w:p w:rsidR="001A51BB" w:rsidRPr="00EE4D50" w:rsidRDefault="001A51BB" w:rsidP="00EC63DA">
      <w:pPr>
        <w:spacing w:after="60"/>
        <w:jc w:val="both"/>
        <w:rPr>
          <w:rFonts w:ascii="Verdana" w:hAnsi="Verdana" w:cs="Times New Roman"/>
          <w:sz w:val="20"/>
        </w:rPr>
      </w:pPr>
    </w:p>
    <w:p w:rsidR="00BB07EF" w:rsidRDefault="00BB07EF" w:rsidP="00EC63DA">
      <w:pPr>
        <w:spacing w:after="60"/>
        <w:jc w:val="both"/>
        <w:rPr>
          <w:rFonts w:ascii="Verdana" w:hAnsi="Verdana" w:cs="Times New Roman"/>
        </w:rPr>
      </w:pPr>
      <w:r w:rsidRPr="00EE4D50">
        <w:rPr>
          <w:rFonts w:ascii="Verdana" w:hAnsi="Verdana" w:cs="Times New Roman"/>
        </w:rPr>
        <w:t>La crisis económica de 1999 manifestó desequilibrios e incertidumbres en las expectativas de los agentes económicos, tal es así, que las importaciones de vehículos fueron de tan solo 4.394 unidades (25.139 unidades menos que el año anterior). Después, el cambio de sistema monetario hacia la dolarización trajo estabilidad macroeconómica; mientras el sistema financiero nacional se recuperaba, para el año 2001 en que se incrementó las unidades importadas a 42.391, y en el 2002 continuó creciendo a 49.093 vehículos.</w:t>
      </w:r>
    </w:p>
    <w:p w:rsidR="00462D4D" w:rsidRPr="00EE4D50" w:rsidRDefault="00462D4D" w:rsidP="00EC63DA">
      <w:pPr>
        <w:spacing w:after="60"/>
        <w:jc w:val="both"/>
        <w:rPr>
          <w:rFonts w:ascii="Verdana" w:hAnsi="Verdana" w:cs="Times New Roman"/>
        </w:rPr>
      </w:pPr>
    </w:p>
    <w:p w:rsidR="00261705" w:rsidRPr="00EE4D50" w:rsidRDefault="00BB07EF" w:rsidP="00EC63DA">
      <w:pPr>
        <w:jc w:val="both"/>
        <w:rPr>
          <w:rFonts w:ascii="Verdana" w:hAnsi="Verdana" w:cs="Times New Roman"/>
        </w:rPr>
      </w:pPr>
      <w:r w:rsidRPr="00EE4D50">
        <w:rPr>
          <w:rFonts w:ascii="Verdana" w:hAnsi="Verdana" w:cs="Times New Roman"/>
        </w:rPr>
        <w:t>De acuerdo con Hidrobo (2004</w:t>
      </w:r>
      <w:r w:rsidR="006E418E">
        <w:rPr>
          <w:rFonts w:ascii="Verdana" w:hAnsi="Verdana" w:cs="Times New Roman"/>
        </w:rPr>
        <w:t>: 82</w:t>
      </w:r>
      <w:r w:rsidRPr="00EE4D50">
        <w:rPr>
          <w:rFonts w:ascii="Verdana" w:hAnsi="Verdana" w:cs="Times New Roman"/>
        </w:rPr>
        <w:t xml:space="preserve">), las importaciones por tipo de vehículo desde 1992 al 2001 representaron en promedio un 48% de automóviles, 18% buses y camiones, los doble tracción 16% (pero desde 1997 representaron alrededor del 20%), finalmente las camionetas y las stationwagon correspondió 12% y 4% </w:t>
      </w:r>
      <w:r w:rsidRPr="00EE4D50">
        <w:rPr>
          <w:rFonts w:ascii="Verdana" w:hAnsi="Verdana" w:cs="Times New Roman"/>
        </w:rPr>
        <w:lastRenderedPageBreak/>
        <w:t>respectivamente. Un dato importante fue el año 2002, en el cual el 50% de lo im</w:t>
      </w:r>
      <w:r w:rsidR="001A51BB" w:rsidRPr="00EE4D50">
        <w:rPr>
          <w:rFonts w:ascii="Verdana" w:hAnsi="Verdana" w:cs="Times New Roman"/>
        </w:rPr>
        <w:t>portado fueron los automóviles.</w:t>
      </w:r>
    </w:p>
    <w:p w:rsidR="00F737DC" w:rsidRDefault="00665EC5" w:rsidP="00665EC5">
      <w:pPr>
        <w:pStyle w:val="Ttulo2"/>
      </w:pPr>
      <w:bookmarkStart w:id="63" w:name="_Toc485137210"/>
      <w:r>
        <w:t xml:space="preserve">Conclusiones </w:t>
      </w:r>
      <w:r w:rsidR="00995D97">
        <w:t>capítulo</w:t>
      </w:r>
      <w:r>
        <w:t xml:space="preserve"> 1</w:t>
      </w:r>
      <w:bookmarkEnd w:id="63"/>
    </w:p>
    <w:p w:rsidR="00F737DC" w:rsidRPr="00B30129" w:rsidRDefault="00F737DC" w:rsidP="00F737DC">
      <w:pPr>
        <w:spacing w:after="60"/>
        <w:rPr>
          <w:rFonts w:ascii="Verdana" w:hAnsi="Verdana" w:cs="Times New Roman"/>
        </w:rPr>
      </w:pPr>
    </w:p>
    <w:p w:rsidR="00F737DC" w:rsidRDefault="00F737DC" w:rsidP="00AD45BA">
      <w:pPr>
        <w:spacing w:after="60"/>
        <w:jc w:val="both"/>
        <w:rPr>
          <w:rFonts w:ascii="Verdana" w:hAnsi="Verdana" w:cs="Times New Roman"/>
        </w:rPr>
      </w:pPr>
      <w:r w:rsidRPr="00B30129">
        <w:rPr>
          <w:rFonts w:ascii="Verdana" w:hAnsi="Verdana" w:cs="Times New Roman"/>
        </w:rPr>
        <w:t>El desarrollo del sector automotriz ecuatoriano tuvo sus primeros impulsos desde las políticas regionales de la Comunidad Andina a partir de 1977, época en la cual el estructuralismo cepalino pregonaba la sustitución de importaciones en los países de la región latinoamericana. Sin embargo, llegó la “década perdida” de  los años ochenta por las crisis económicas sufridas, y en respuesta, la mayoría de las naciones debieron abandonar sus modelos económicos de industrialización por sustitución de importaciones y adoptaron una estrategia de crecimiento orientada hacia las exportaciones. En consecuencia, se paralizó la iniciativa por el crecimiento del sector automotriz, lo cual afectó a la ensambladora Maresa que tuvo una producción de 0% durante 1983 a 1985.</w:t>
      </w:r>
    </w:p>
    <w:p w:rsidR="00AD45BA" w:rsidRPr="00B30129" w:rsidRDefault="00AD45BA" w:rsidP="00AD45BA">
      <w:pPr>
        <w:spacing w:after="60"/>
        <w:jc w:val="both"/>
        <w:rPr>
          <w:rFonts w:ascii="Verdana" w:hAnsi="Verdana" w:cs="Times New Roman"/>
        </w:rPr>
      </w:pPr>
    </w:p>
    <w:p w:rsidR="00F737DC" w:rsidRDefault="00F737DC" w:rsidP="00AD45BA">
      <w:pPr>
        <w:spacing w:after="60"/>
        <w:jc w:val="both"/>
        <w:rPr>
          <w:rFonts w:ascii="Verdana" w:hAnsi="Verdana" w:cs="Times New Roman"/>
        </w:rPr>
      </w:pPr>
      <w:r w:rsidRPr="00B30129">
        <w:rPr>
          <w:rFonts w:ascii="Verdana" w:hAnsi="Verdana" w:cs="Times New Roman"/>
        </w:rPr>
        <w:t>Luego, en la década de los noventa, con una economía más estable, la región andina pudo proponer un convenio regional en el sector automotriz en 1993, lo que dio paso a la producción industrial que se necesitaba. Esta situación fue beneficiosa para la economía porque el ensamblaje de vehículos acarrea una serie de vínculos con proveedores de autopartes y propició mayor potencial y expansión de este sector, pues aumentaron el número de empresas ecuatorianas y generación de empleo.</w:t>
      </w:r>
    </w:p>
    <w:p w:rsidR="00AD45BA" w:rsidRPr="00B30129" w:rsidRDefault="00AD45BA" w:rsidP="00AD45BA">
      <w:pPr>
        <w:spacing w:after="60"/>
        <w:jc w:val="both"/>
        <w:rPr>
          <w:rFonts w:ascii="Verdana" w:hAnsi="Verdana" w:cs="Times New Roman"/>
        </w:rPr>
      </w:pPr>
    </w:p>
    <w:p w:rsidR="00F737DC" w:rsidRDefault="00F737DC" w:rsidP="00AD45BA">
      <w:pPr>
        <w:spacing w:after="60"/>
        <w:jc w:val="both"/>
        <w:rPr>
          <w:rFonts w:ascii="Verdana" w:hAnsi="Verdana" w:cs="Times New Roman"/>
        </w:rPr>
      </w:pPr>
      <w:r w:rsidRPr="00B30129">
        <w:rPr>
          <w:rFonts w:ascii="Verdana" w:hAnsi="Verdana" w:cs="Times New Roman"/>
        </w:rPr>
        <w:t>El perfeccionamiento de la zona de libre comercio con Colombia y Venezuela que marcó el inicio de las exportaciones de vehículos ecuatorianos en 1992 más el Convenio de Complementación en el Sector Automotor de 1993 catapultaron el crecimiento del sector automotriz ecuatoriano. La producción y exportación de vehículos aumentaron significativamente, ya que durante los años difíciles de la década perdida durante 1980-1987 se produjeron en promedio 5.000 vehículos, pero ya para 1994 esa cifra pasó a 33.869 unidades; mientras que las exportaciones fueron de 7.275 unidades. El boom de las ventas de vehículos iniciada en 1993 tuvo un corto periodo pues otra vez el país recurría en crisis para finales de la década.</w:t>
      </w:r>
    </w:p>
    <w:p w:rsidR="00AD45BA" w:rsidRPr="00B30129" w:rsidRDefault="00AD45BA" w:rsidP="00AD45BA">
      <w:pPr>
        <w:spacing w:after="60"/>
        <w:jc w:val="both"/>
        <w:rPr>
          <w:rFonts w:ascii="Verdana" w:hAnsi="Verdana" w:cs="Times New Roman"/>
        </w:rPr>
      </w:pPr>
    </w:p>
    <w:p w:rsidR="00F737DC" w:rsidRDefault="00F737DC" w:rsidP="00AD45BA">
      <w:pPr>
        <w:spacing w:after="60"/>
        <w:jc w:val="both"/>
        <w:rPr>
          <w:rFonts w:ascii="Verdana" w:hAnsi="Verdana" w:cs="Times New Roman"/>
        </w:rPr>
      </w:pPr>
      <w:r w:rsidRPr="00B30129">
        <w:rPr>
          <w:rFonts w:ascii="Verdana" w:hAnsi="Verdana" w:cs="Times New Roman"/>
        </w:rPr>
        <w:t>La década de los noventa tuvo buen inicio en sus primeros cinco años reflejada en las ventas, producción y exportación; pero los indicadores macroeconómicos del país fueron variantes provocando inestabilidad y crisis para los años finales, lo que resultó en que el sector automotriz se vea afectado por su alta dependencia del funcionamiento de la economía del país y la capacidad adquisitiva de los consumidores. Esto se volvió una amenaza porque la ansiada estabilidad no llegaba.</w:t>
      </w:r>
    </w:p>
    <w:p w:rsidR="00AD45BA" w:rsidRPr="00B30129" w:rsidRDefault="00AD45BA" w:rsidP="00AD45BA">
      <w:pPr>
        <w:spacing w:after="60"/>
        <w:jc w:val="both"/>
        <w:rPr>
          <w:rFonts w:ascii="Verdana" w:hAnsi="Verdana" w:cs="Times New Roman"/>
        </w:rPr>
      </w:pPr>
    </w:p>
    <w:p w:rsidR="00F737DC" w:rsidRPr="00B30129" w:rsidRDefault="00F737DC" w:rsidP="00AD45BA">
      <w:pPr>
        <w:spacing w:after="60"/>
        <w:jc w:val="both"/>
        <w:rPr>
          <w:rFonts w:ascii="Verdana" w:hAnsi="Verdana" w:cs="Times New Roman"/>
        </w:rPr>
      </w:pPr>
      <w:r w:rsidRPr="00B30129">
        <w:rPr>
          <w:rFonts w:ascii="Verdana" w:hAnsi="Verdana" w:cs="Times New Roman"/>
        </w:rPr>
        <w:lastRenderedPageBreak/>
        <w:t>Lo positivo fue el arribo de multinacionales que apostaron por el país empleando su tiempo y recursos por sacar a flote al sector, y por ende el mayor número de empresas ecuatorianas que se anexaron a la cadena productiva. Y lo destacable fue el renuevo del convenio de complementación del sector automotriz en 1999, a pesar de la recesión económica de Ecuador, que sentó las bases de la política industrial para este importante sector que enfrentó retos para inicios del nuevo siglo.</w:t>
      </w:r>
    </w:p>
    <w:p w:rsidR="00F737DC" w:rsidRPr="00B30129" w:rsidRDefault="00F737DC" w:rsidP="00AD45BA">
      <w:pPr>
        <w:spacing w:after="60"/>
        <w:jc w:val="both"/>
        <w:rPr>
          <w:rFonts w:ascii="Verdana" w:hAnsi="Verdana" w:cs="Times New Roman"/>
        </w:rPr>
      </w:pPr>
    </w:p>
    <w:p w:rsidR="0020035A" w:rsidRPr="00EE4D50" w:rsidRDefault="0020035A" w:rsidP="00EC63DA">
      <w:pPr>
        <w:jc w:val="both"/>
        <w:rPr>
          <w:rFonts w:ascii="Verdana" w:hAnsi="Verdana" w:cs="Times New Roman"/>
        </w:rPr>
      </w:pPr>
    </w:p>
    <w:p w:rsidR="00BB07EF" w:rsidRPr="00EE4D50" w:rsidRDefault="00963D63" w:rsidP="00EC63DA">
      <w:pPr>
        <w:pStyle w:val="Ttulo1"/>
        <w:jc w:val="center"/>
        <w:rPr>
          <w:rFonts w:ascii="Verdana" w:hAnsi="Verdana" w:cs="Times New Roman"/>
          <w:i/>
          <w:color w:val="auto"/>
          <w:sz w:val="32"/>
        </w:rPr>
      </w:pPr>
      <w:bookmarkStart w:id="64" w:name="_Toc485137211"/>
      <w:r w:rsidRPr="00EE4D50">
        <w:rPr>
          <w:rFonts w:ascii="Verdana" w:hAnsi="Verdana" w:cs="Times New Roman"/>
          <w:i/>
          <w:color w:val="auto"/>
          <w:sz w:val="32"/>
        </w:rPr>
        <w:t>Capítulo 2</w:t>
      </w:r>
      <w:bookmarkEnd w:id="64"/>
    </w:p>
    <w:p w:rsidR="00963D63" w:rsidRPr="00EE4D50" w:rsidRDefault="00963D63" w:rsidP="00EC63DA">
      <w:pPr>
        <w:spacing w:after="60"/>
        <w:jc w:val="both"/>
        <w:rPr>
          <w:rFonts w:ascii="Verdana" w:hAnsi="Verdana" w:cs="Times New Roman"/>
          <w:lang w:val="es-MX"/>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presente capítulo tiene como fin abordar el desarrollo del sector automotriz en los aspectos de la producción nacional, exportación, importación y ventas de vehículos. Los vehículos se dividen en dos categorías: livianos y pesados</w:t>
      </w:r>
      <w:r w:rsidRPr="00EE4D50">
        <w:rPr>
          <w:rStyle w:val="Refdenotaalpie"/>
          <w:rFonts w:ascii="Verdana" w:hAnsi="Verdana" w:cs="Times New Roman"/>
        </w:rPr>
        <w:footnoteReference w:id="10"/>
      </w:r>
      <w:r w:rsidRPr="00EE4D50">
        <w:rPr>
          <w:rFonts w:ascii="Verdana" w:hAnsi="Verdana" w:cs="Times New Roman"/>
        </w:rPr>
        <w:t>. Los tipos de vehículos que se analizarán a continuación son los livianos, los cuales s</w:t>
      </w:r>
      <w:r w:rsidR="006516D0" w:rsidRPr="00EE4D50">
        <w:rPr>
          <w:rFonts w:ascii="Verdana" w:hAnsi="Verdana" w:cs="Times New Roman"/>
        </w:rPr>
        <w:t>on: automóviles, camionetas, suv´s y van</w:t>
      </w:r>
      <w:r w:rsidRPr="00EE4D50">
        <w:rPr>
          <w:rFonts w:ascii="Verdana" w:hAnsi="Verdana" w:cs="Times New Roman"/>
        </w:rPr>
        <w:t>´s. Estos vehículos son producidos por la industria del ensamblaje nacional; y según los datos de la AEADE, los vehículos livianos comprenden entre el 80% y el 90% del total de las ventas entre los años 2003 y 2015. Y en la composición de la comercialización de automotores en Ecuador, el ensamblaje local fue del 54% en el 2015, lo cual evidencia que esta industria ha ganado relevancia en la economía durante el quindenio de los 2000.</w:t>
      </w:r>
    </w:p>
    <w:p w:rsidR="001A51BB" w:rsidRPr="00EE4D50" w:rsidRDefault="001A51BB" w:rsidP="00EC63DA">
      <w:pPr>
        <w:spacing w:after="60"/>
        <w:jc w:val="both"/>
        <w:rPr>
          <w:rFonts w:ascii="Verdana" w:hAnsi="Verdana" w:cs="Times New Roman"/>
        </w:rPr>
      </w:pPr>
    </w:p>
    <w:p w:rsidR="001A51BB" w:rsidRPr="00EE4D50" w:rsidRDefault="00BB07EF" w:rsidP="00EC63DA">
      <w:pPr>
        <w:spacing w:after="60"/>
        <w:jc w:val="both"/>
        <w:rPr>
          <w:rFonts w:ascii="Verdana" w:hAnsi="Verdana" w:cs="Times New Roman"/>
        </w:rPr>
      </w:pPr>
      <w:r w:rsidRPr="00EE4D50">
        <w:rPr>
          <w:rFonts w:ascii="Verdana" w:hAnsi="Verdana" w:cs="Times New Roman"/>
        </w:rPr>
        <w:t>Se tomará en cuenta los años siguientes a la dolarización, puesto que el sector automotriz se fortaleció en el año 2002 y con especial énfasis se analizará al periodo 2011-2015 porque se dio el más importante auge para esta industria, pero lue</w:t>
      </w:r>
      <w:r w:rsidR="001A51BB" w:rsidRPr="00EE4D50">
        <w:rPr>
          <w:rFonts w:ascii="Verdana" w:hAnsi="Verdana" w:cs="Times New Roman"/>
        </w:rPr>
        <w:t>go se dio un ciclo de recesión.</w:t>
      </w:r>
    </w:p>
    <w:p w:rsidR="001A51BB" w:rsidRPr="00EE4D50" w:rsidRDefault="001A51BB" w:rsidP="00EC63DA">
      <w:pPr>
        <w:spacing w:after="60"/>
        <w:jc w:val="both"/>
        <w:rPr>
          <w:rFonts w:ascii="Verdana" w:hAnsi="Verdana" w:cs="Times New Roman"/>
        </w:rPr>
      </w:pPr>
    </w:p>
    <w:p w:rsidR="00BB07EF" w:rsidRPr="00EE4D50" w:rsidRDefault="00963D63" w:rsidP="00EC63DA">
      <w:pPr>
        <w:pStyle w:val="Ttulo2"/>
        <w:rPr>
          <w:rFonts w:cs="Times New Roman"/>
        </w:rPr>
      </w:pPr>
      <w:bookmarkStart w:id="65" w:name="_Toc485137212"/>
      <w:r w:rsidRPr="00EE4D50">
        <w:rPr>
          <w:rFonts w:cs="Times New Roman"/>
        </w:rPr>
        <w:t>El S</w:t>
      </w:r>
      <w:r w:rsidR="00BB07EF" w:rsidRPr="00EE4D50">
        <w:rPr>
          <w:rFonts w:cs="Times New Roman"/>
        </w:rPr>
        <w:t>ector</w:t>
      </w:r>
      <w:bookmarkEnd w:id="65"/>
      <w:r w:rsidR="00BB07EF" w:rsidRPr="00EE4D50">
        <w:rPr>
          <w:rFonts w:cs="Times New Roman"/>
        </w:rPr>
        <w:t xml:space="preserve"> </w:t>
      </w:r>
    </w:p>
    <w:p w:rsidR="001A51BB" w:rsidRPr="00EE4D50" w:rsidRDefault="001A51BB" w:rsidP="00EC63DA">
      <w:pPr>
        <w:spacing w:after="60"/>
        <w:jc w:val="both"/>
        <w:rPr>
          <w:rFonts w:ascii="Verdana" w:hAnsi="Verdana" w:cs="Times New Roman"/>
          <w:lang w:val="es-MX"/>
        </w:rPr>
      </w:pPr>
    </w:p>
    <w:p w:rsidR="00BB07EF" w:rsidRPr="00EE4D50" w:rsidRDefault="00BB07EF" w:rsidP="00EC63DA">
      <w:pPr>
        <w:spacing w:after="60"/>
        <w:jc w:val="both"/>
        <w:rPr>
          <w:rFonts w:ascii="Verdana" w:hAnsi="Verdana" w:cs="Times New Roman"/>
        </w:rPr>
      </w:pPr>
      <w:r w:rsidRPr="00EE4D50">
        <w:rPr>
          <w:rFonts w:ascii="Verdana" w:hAnsi="Verdana" w:cs="Times New Roman"/>
        </w:rPr>
        <w:t>De acuerdo a la información del Censo Nacional Económico 2010, existen 29.068 establecimientos económicos dedicados al sector automotriz. “El 70% corresponden a establecimientos que realizan mantenimiento y reparación de vehículos automotores, mientras que el 30% restante se dedica a la venta de partes y accesorios de vehículos automotores; venta al por menor de combustibles y venta de vehículos” (</w:t>
      </w:r>
      <w:r w:rsidR="00CB068A">
        <w:rPr>
          <w:rFonts w:ascii="Verdana" w:hAnsi="Verdana" w:cs="Times New Roman"/>
        </w:rPr>
        <w:t xml:space="preserve">INEN, 2010, citado en </w:t>
      </w:r>
      <w:r w:rsidRPr="00EE4D50">
        <w:rPr>
          <w:rFonts w:ascii="Verdana" w:hAnsi="Verdana" w:cs="Times New Roman"/>
        </w:rPr>
        <w:t>Proecuador, 2013</w:t>
      </w:r>
      <w:r w:rsidR="00CB068A">
        <w:rPr>
          <w:rFonts w:ascii="Verdana" w:hAnsi="Verdana" w:cs="Times New Roman"/>
        </w:rPr>
        <w:t>: 2</w:t>
      </w:r>
      <w:r w:rsidRPr="00EE4D50">
        <w:rPr>
          <w:rFonts w:ascii="Verdana" w:hAnsi="Verdana" w:cs="Times New Roman"/>
        </w:rPr>
        <w:t>).</w:t>
      </w:r>
    </w:p>
    <w:p w:rsidR="001A51BB" w:rsidRPr="00EE4D50" w:rsidRDefault="001A51BB"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De acuerdo con Business Cost Management (2016), específicamente, existen tres tipos de actividades económicas que se realizan en el sector automotriz: la </w:t>
      </w:r>
      <w:r w:rsidRPr="00EE4D50">
        <w:rPr>
          <w:rFonts w:ascii="Verdana" w:hAnsi="Verdana" w:cs="Times New Roman"/>
        </w:rPr>
        <w:lastRenderedPageBreak/>
        <w:t>comercialización, manufactura y servicios. La comercialización participa con el 98,24% de establecimientos en el sector, los cuales son “concesionarios, talleres automotrices, establecimientos de venta de repuestos, llanteras, establecimientos de compra venta de vehículos nuevos y usados, entre otros, manufactura y servicios”. La manufactura participa con 1,36%, los cuales son las ensambladoras y las empresas de autopartes. Y la actividad de servicios participa con el 0,40% que son los establecimientos de servicios de alquiler de vehículos.</w:t>
      </w:r>
    </w:p>
    <w:p w:rsidR="001A51BB" w:rsidRPr="00EE4D50" w:rsidRDefault="001A51BB"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sector automotriz ecuatoriano está compuesto más por importadores que por productores nacionales. Con productores nacionales se refiere a las empresas ensambladoras de vehículos. La industria del ensamblaje ha direccionado a ciertas firmas nacionales hacia la producción local de componentes, subsector que es el autopartista dedicada a partes, piezas e insumos en general. Esto genera a su vez un encadenamiento productivo en la fabricación de productos relacionados a los automotores. En fin, este sector integra a varios agentes económicos, tanto para las firmas autopartistas como para las ensambladoras, y éstas últimas son quienes imponen los estándares productivos de la cadena (Proecuador, 2013</w:t>
      </w:r>
      <w:r w:rsidR="000835B8">
        <w:rPr>
          <w:rFonts w:ascii="Verdana" w:hAnsi="Verdana" w:cs="Times New Roman"/>
        </w:rPr>
        <w:t>: 1</w:t>
      </w:r>
      <w:r w:rsidRPr="00EE4D50">
        <w:rPr>
          <w:rFonts w:ascii="Verdana" w:hAnsi="Verdana" w:cs="Times New Roman"/>
        </w:rPr>
        <w:t>).</w:t>
      </w:r>
    </w:p>
    <w:p w:rsidR="001A51BB" w:rsidRPr="00EE4D50" w:rsidRDefault="001A51BB"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ensamblaje de vehículos se concentra en la región sierra norte de Ecuador, y está conformado principalmente por 3 ensambladoras: AYMESA, OMNIBUS BB y MARESA. Éstas producen automóviles, camionetas y todo terreno, los cuales están clasificados como vehículos destinados al transporte de personas y mercancías. Estas empresas tienen sus plantas de ensamblaje en la ciudad de Quito.</w:t>
      </w:r>
    </w:p>
    <w:p w:rsidR="001A51BB" w:rsidRPr="00EE4D50" w:rsidRDefault="001A51BB"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Asimismo, las empresas de autopartes están localizadas en la provincia de Pichincha, concentradas en su mayoría, en la ciudad de Quito alrededor de las tres plantas ensambladoras. La ubicación estratégica tanto de las ensambladoras como de las autopartistas se debe básicamente a la reducción en los costos de logística.</w:t>
      </w:r>
    </w:p>
    <w:p w:rsidR="001A51BB" w:rsidRPr="00EE4D50" w:rsidRDefault="001A51BB"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En cuanto a las marcas de vehículos de las ensambladoras se encuentran: General Motors-Omnibus BB produce la marca Chevrolet, Maresa con Mazda, Aymesa con Kia y Ciauto que ingresó al mercado ecuatoriano en el 2013 con su marca Great Wall. Algunas marcas se exportan a destinos como Colombia, Venezuela, Perú, Centro América y el Caribe.</w:t>
      </w:r>
    </w:p>
    <w:p w:rsidR="001A51BB" w:rsidRPr="00EE4D50" w:rsidRDefault="001A51BB"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La cuarta ensambladora del país es Ciauto, la cual  arrancó sus operaciones con camionetas y suv´s. Ciauto significa “la ciudad del auto”, y a diferencia de las otras tres ensambladoras, su ubicación geográfica es en la ciudad de Ambato, provincia de Tungurahua. Su idea fue construir un parque industrial autopartista, cuyas empresas proveedoras ocupen sus plantas alrededor de la ensambladora. </w:t>
      </w:r>
      <w:r w:rsidRPr="00EE4D50">
        <w:rPr>
          <w:rFonts w:ascii="Verdana" w:hAnsi="Verdana" w:cs="Times New Roman"/>
        </w:rPr>
        <w:lastRenderedPageBreak/>
        <w:t>Según Ambacar (2016), Ciauto es “la primera ensambladora de Great Wall en Latinoamérica, es el primer parque industrial autopartista en su estilo en todo el Ecuador”. En el 2013 se inauguró con la planta ensambladora de chasis y componentes, y su objetivo es “generar encadenamientos productivos en las industrias de autopartes del país, con nuevas plazas de trabajo y grandes oportunidades para las pequeñas y medianas industrias”.</w:t>
      </w:r>
    </w:p>
    <w:p w:rsidR="001A51BB" w:rsidRPr="00EE4D50" w:rsidRDefault="001A51BB"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parque automotor ecuatoriano tiene dos orígenes: 1) los vehículos completamente armados en sus fábricas de origen, los cuales se denominan CBU (Completely Built Up); y 2) en partes para ser ensamblados o CKD</w:t>
      </w:r>
      <w:r w:rsidRPr="00EE4D50">
        <w:rPr>
          <w:rStyle w:val="Refdenotaalpie"/>
          <w:rFonts w:ascii="Verdana" w:hAnsi="Verdana" w:cs="Times New Roman"/>
        </w:rPr>
        <w:footnoteReference w:id="11"/>
      </w:r>
      <w:r w:rsidRPr="00EE4D50">
        <w:rPr>
          <w:rFonts w:ascii="Verdana" w:hAnsi="Verdana" w:cs="Times New Roman"/>
        </w:rPr>
        <w:t xml:space="preserve"> (Completely Knock Down). </w:t>
      </w:r>
    </w:p>
    <w:p w:rsidR="001A51BB" w:rsidRPr="00EE4D50" w:rsidRDefault="001A51BB"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Según Proecuador (2013</w:t>
      </w:r>
      <w:r w:rsidR="000835B8">
        <w:rPr>
          <w:rFonts w:ascii="Verdana" w:hAnsi="Verdana" w:cs="Times New Roman"/>
        </w:rPr>
        <w:t>: 3</w:t>
      </w:r>
      <w:r w:rsidRPr="00EE4D50">
        <w:rPr>
          <w:rFonts w:ascii="Verdana" w:hAnsi="Verdana" w:cs="Times New Roman"/>
        </w:rPr>
        <w:t xml:space="preserve">) el sector produce los siguientes vehículos: </w:t>
      </w:r>
    </w:p>
    <w:p w:rsidR="001A51BB" w:rsidRPr="00EE4D50" w:rsidRDefault="001A51BB" w:rsidP="00EC63DA">
      <w:pPr>
        <w:spacing w:after="60"/>
        <w:jc w:val="both"/>
        <w:rPr>
          <w:rFonts w:ascii="Verdana" w:hAnsi="Verdana" w:cs="Times New Roman"/>
        </w:rPr>
      </w:pPr>
    </w:p>
    <w:p w:rsidR="00BB07EF" w:rsidRPr="00EE4D50" w:rsidRDefault="00BB07EF" w:rsidP="00EC63DA">
      <w:pPr>
        <w:pStyle w:val="Prrafodelista"/>
        <w:numPr>
          <w:ilvl w:val="0"/>
          <w:numId w:val="19"/>
        </w:numPr>
        <w:jc w:val="both"/>
        <w:rPr>
          <w:rFonts w:ascii="Verdana" w:hAnsi="Verdana" w:cs="Times New Roman"/>
        </w:rPr>
      </w:pPr>
      <w:r w:rsidRPr="00EE4D50">
        <w:rPr>
          <w:rFonts w:ascii="Verdana" w:hAnsi="Verdana" w:cs="Times New Roman"/>
        </w:rPr>
        <w:t xml:space="preserve">Automóviles tipo </w:t>
      </w:r>
      <w:r w:rsidR="00337B4C" w:rsidRPr="00EE4D50">
        <w:rPr>
          <w:rFonts w:ascii="Verdana" w:hAnsi="Verdana" w:cs="Times New Roman"/>
        </w:rPr>
        <w:t>sedán</w:t>
      </w:r>
      <w:r w:rsidRPr="00EE4D50">
        <w:rPr>
          <w:rFonts w:ascii="Verdana" w:hAnsi="Verdana" w:cs="Times New Roman"/>
        </w:rPr>
        <w:t xml:space="preserve"> con motor a gasolina, T/M, de 4 puertas. </w:t>
      </w:r>
    </w:p>
    <w:p w:rsidR="001F10CC" w:rsidRPr="00EE4D50" w:rsidRDefault="00BB07EF" w:rsidP="00EC63DA">
      <w:pPr>
        <w:pStyle w:val="Prrafodelista"/>
        <w:numPr>
          <w:ilvl w:val="0"/>
          <w:numId w:val="19"/>
        </w:numPr>
        <w:jc w:val="both"/>
        <w:rPr>
          <w:rFonts w:ascii="Verdana" w:hAnsi="Verdana" w:cs="Times New Roman"/>
        </w:rPr>
      </w:pPr>
      <w:r w:rsidRPr="00EE4D50">
        <w:rPr>
          <w:rFonts w:ascii="Verdana" w:hAnsi="Verdana" w:cs="Times New Roman"/>
        </w:rPr>
        <w:t>Automóviles tipo hatchback con motor</w:t>
      </w:r>
      <w:r w:rsidR="001F10CC" w:rsidRPr="00EE4D50">
        <w:rPr>
          <w:rFonts w:ascii="Verdana" w:hAnsi="Verdana" w:cs="Times New Roman"/>
        </w:rPr>
        <w:t xml:space="preserve"> a gasolina, T/M, de 5 puertas.</w:t>
      </w:r>
    </w:p>
    <w:p w:rsidR="005A299A" w:rsidRPr="00EE4D50" w:rsidRDefault="00BB07EF" w:rsidP="00EC63DA">
      <w:pPr>
        <w:pStyle w:val="Prrafodelista"/>
        <w:numPr>
          <w:ilvl w:val="0"/>
          <w:numId w:val="19"/>
        </w:numPr>
        <w:jc w:val="both"/>
        <w:rPr>
          <w:rFonts w:ascii="Verdana" w:hAnsi="Verdana" w:cs="Times New Roman"/>
        </w:rPr>
      </w:pPr>
      <w:r w:rsidRPr="00EE4D50">
        <w:rPr>
          <w:rFonts w:ascii="Verdana" w:hAnsi="Verdana" w:cs="Times New Roman"/>
        </w:rPr>
        <w:t xml:space="preserve">Vehículos utilitarios tipo jeep 4x4 y 4x2 con </w:t>
      </w:r>
      <w:r w:rsidR="005A299A" w:rsidRPr="00EE4D50">
        <w:rPr>
          <w:rFonts w:ascii="Verdana" w:hAnsi="Verdana" w:cs="Times New Roman"/>
        </w:rPr>
        <w:t>motor a gasolina, T/M y T/A.</w:t>
      </w:r>
    </w:p>
    <w:p w:rsidR="005A299A" w:rsidRPr="00EE4D50" w:rsidRDefault="00BB07EF" w:rsidP="00EC63DA">
      <w:pPr>
        <w:pStyle w:val="Prrafodelista"/>
        <w:numPr>
          <w:ilvl w:val="0"/>
          <w:numId w:val="19"/>
        </w:numPr>
        <w:jc w:val="both"/>
        <w:rPr>
          <w:rFonts w:ascii="Verdana" w:hAnsi="Verdana" w:cs="Times New Roman"/>
        </w:rPr>
      </w:pPr>
      <w:r w:rsidRPr="00EE4D50">
        <w:rPr>
          <w:rFonts w:ascii="Verdana" w:hAnsi="Verdana" w:cs="Times New Roman"/>
        </w:rPr>
        <w:t xml:space="preserve">Camionetas con motor a gasolina y/o diesel, de cabina simple y/o doble, 4x4 y 4x2, T/M y T/A. </w:t>
      </w:r>
    </w:p>
    <w:p w:rsidR="00BB07EF" w:rsidRPr="00EE4D50" w:rsidRDefault="00BB07EF" w:rsidP="00EC63DA">
      <w:pPr>
        <w:pStyle w:val="Prrafodelista"/>
        <w:numPr>
          <w:ilvl w:val="0"/>
          <w:numId w:val="19"/>
        </w:numPr>
        <w:jc w:val="both"/>
        <w:rPr>
          <w:rFonts w:ascii="Verdana" w:hAnsi="Verdana" w:cs="Times New Roman"/>
        </w:rPr>
      </w:pPr>
      <w:r w:rsidRPr="00EE4D50">
        <w:rPr>
          <w:rFonts w:ascii="Verdana" w:hAnsi="Verdana" w:cs="Times New Roman"/>
        </w:rPr>
        <w:t>Vehículos para transporte de pasajeros tipo busetas, con motor a diesel, T/M.</w:t>
      </w:r>
    </w:p>
    <w:p w:rsidR="005A299A" w:rsidRPr="00EE4D50" w:rsidRDefault="00BB07EF" w:rsidP="00EC63DA">
      <w:pPr>
        <w:spacing w:after="60"/>
        <w:jc w:val="both"/>
        <w:rPr>
          <w:rFonts w:ascii="Verdana" w:hAnsi="Verdana" w:cs="Times New Roman"/>
        </w:rPr>
      </w:pPr>
      <w:r w:rsidRPr="00EE4D50">
        <w:rPr>
          <w:rFonts w:ascii="Verdana" w:hAnsi="Verdana" w:cs="Times New Roman"/>
        </w:rPr>
        <w:t>Mientras que las empresas de autopartes ofrecen:</w:t>
      </w:r>
      <w:r w:rsidR="005A299A" w:rsidRPr="00EE4D50">
        <w:rPr>
          <w:rFonts w:ascii="Verdana" w:hAnsi="Verdana" w:cs="Times New Roman"/>
        </w:rPr>
        <w:t xml:space="preserve"> </w:t>
      </w:r>
    </w:p>
    <w:p w:rsidR="00FD4AB4" w:rsidRPr="00EE4D50" w:rsidRDefault="00FD4AB4" w:rsidP="00EC63DA">
      <w:pPr>
        <w:spacing w:after="60"/>
        <w:jc w:val="both"/>
        <w:rPr>
          <w:rFonts w:ascii="Verdana" w:hAnsi="Verdana" w:cs="Times New Roman"/>
        </w:rPr>
      </w:pPr>
    </w:p>
    <w:p w:rsidR="005A299A" w:rsidRPr="00EE4D50" w:rsidRDefault="00BB07EF" w:rsidP="00EC63DA">
      <w:pPr>
        <w:pStyle w:val="Prrafodelista"/>
        <w:numPr>
          <w:ilvl w:val="0"/>
          <w:numId w:val="20"/>
        </w:numPr>
        <w:jc w:val="both"/>
        <w:rPr>
          <w:rFonts w:ascii="Verdana" w:hAnsi="Verdana" w:cs="Times New Roman"/>
        </w:rPr>
      </w:pPr>
      <w:r w:rsidRPr="00EE4D50">
        <w:rPr>
          <w:rFonts w:ascii="Verdana" w:hAnsi="Verdana" w:cs="Times New Roman"/>
        </w:rPr>
        <w:t xml:space="preserve">Llantas y neumáticos para auto, camioneta y camión, tanto radial como convencional. </w:t>
      </w:r>
    </w:p>
    <w:p w:rsidR="005A299A" w:rsidRPr="00EE4D50" w:rsidRDefault="00BB07EF" w:rsidP="00EC63DA">
      <w:pPr>
        <w:pStyle w:val="Prrafodelista"/>
        <w:numPr>
          <w:ilvl w:val="0"/>
          <w:numId w:val="20"/>
        </w:numPr>
        <w:jc w:val="both"/>
        <w:rPr>
          <w:rFonts w:ascii="Verdana" w:hAnsi="Verdana" w:cs="Times New Roman"/>
        </w:rPr>
      </w:pPr>
      <w:r w:rsidRPr="00EE4D50">
        <w:rPr>
          <w:rFonts w:ascii="Verdana" w:hAnsi="Verdana" w:cs="Times New Roman"/>
        </w:rPr>
        <w:t xml:space="preserve">Alfombras </w:t>
      </w:r>
      <w:r w:rsidR="00337B4C" w:rsidRPr="00EE4D50">
        <w:rPr>
          <w:rFonts w:ascii="Verdana" w:hAnsi="Verdana" w:cs="Times New Roman"/>
        </w:rPr>
        <w:t>termo formadas</w:t>
      </w:r>
      <w:r w:rsidRPr="00EE4D50">
        <w:rPr>
          <w:rFonts w:ascii="Verdana" w:hAnsi="Verdana" w:cs="Times New Roman"/>
        </w:rPr>
        <w:t xml:space="preserve"> y planas, insonorizantes para piso, techo, motor y capot. </w:t>
      </w:r>
    </w:p>
    <w:p w:rsidR="005A299A" w:rsidRPr="00EE4D50" w:rsidRDefault="00BB07EF" w:rsidP="00EC63DA">
      <w:pPr>
        <w:pStyle w:val="Prrafodelista"/>
        <w:numPr>
          <w:ilvl w:val="0"/>
          <w:numId w:val="20"/>
        </w:numPr>
        <w:jc w:val="both"/>
        <w:rPr>
          <w:rFonts w:ascii="Verdana" w:hAnsi="Verdana" w:cs="Times New Roman"/>
        </w:rPr>
      </w:pPr>
      <w:r w:rsidRPr="00EE4D50">
        <w:rPr>
          <w:rFonts w:ascii="Verdana" w:hAnsi="Verdana" w:cs="Times New Roman"/>
        </w:rPr>
        <w:t xml:space="preserve">Asientos para vehículos: individuales, delanteros y posteriores. </w:t>
      </w:r>
    </w:p>
    <w:p w:rsidR="005A299A" w:rsidRPr="00EE4D50" w:rsidRDefault="00BB07EF" w:rsidP="00EC63DA">
      <w:pPr>
        <w:pStyle w:val="Prrafodelista"/>
        <w:numPr>
          <w:ilvl w:val="0"/>
          <w:numId w:val="20"/>
        </w:numPr>
        <w:jc w:val="both"/>
        <w:rPr>
          <w:rFonts w:ascii="Verdana" w:hAnsi="Verdana" w:cs="Times New Roman"/>
        </w:rPr>
      </w:pPr>
      <w:r w:rsidRPr="00EE4D50">
        <w:rPr>
          <w:rFonts w:ascii="Verdana" w:hAnsi="Verdana" w:cs="Times New Roman"/>
        </w:rPr>
        <w:t xml:space="preserve">Forros para asientos de vehículos y tapicería. </w:t>
      </w:r>
    </w:p>
    <w:p w:rsidR="005A299A" w:rsidRPr="00EE4D50" w:rsidRDefault="00BB07EF" w:rsidP="00EC63DA">
      <w:pPr>
        <w:pStyle w:val="Prrafodelista"/>
        <w:numPr>
          <w:ilvl w:val="0"/>
          <w:numId w:val="20"/>
        </w:numPr>
        <w:jc w:val="both"/>
        <w:rPr>
          <w:rFonts w:ascii="Verdana" w:hAnsi="Verdana" w:cs="Times New Roman"/>
        </w:rPr>
      </w:pPr>
      <w:r w:rsidRPr="00EE4D50">
        <w:rPr>
          <w:rFonts w:ascii="Verdana" w:hAnsi="Verdana" w:cs="Times New Roman"/>
        </w:rPr>
        <w:t xml:space="preserve">Materiales de fricción para frenos automotrices y productos relacionados con el sistema de frenos y embragues. </w:t>
      </w:r>
    </w:p>
    <w:p w:rsidR="005A299A" w:rsidRPr="00EE4D50" w:rsidRDefault="00BB07EF" w:rsidP="00EC63DA">
      <w:pPr>
        <w:pStyle w:val="Prrafodelista"/>
        <w:numPr>
          <w:ilvl w:val="0"/>
          <w:numId w:val="20"/>
        </w:numPr>
        <w:jc w:val="both"/>
        <w:rPr>
          <w:rFonts w:ascii="Verdana" w:hAnsi="Verdana" w:cs="Times New Roman"/>
        </w:rPr>
      </w:pPr>
      <w:r w:rsidRPr="00EE4D50">
        <w:rPr>
          <w:rFonts w:ascii="Verdana" w:hAnsi="Verdana" w:cs="Times New Roman"/>
        </w:rPr>
        <w:t xml:space="preserve">Silenciadores y sistemas de escape automotriz, </w:t>
      </w:r>
    </w:p>
    <w:p w:rsidR="005A299A" w:rsidRPr="00EE4D50" w:rsidRDefault="00BB07EF" w:rsidP="00EC63DA">
      <w:pPr>
        <w:pStyle w:val="Prrafodelista"/>
        <w:numPr>
          <w:ilvl w:val="0"/>
          <w:numId w:val="20"/>
        </w:numPr>
        <w:jc w:val="both"/>
        <w:rPr>
          <w:rFonts w:ascii="Verdana" w:hAnsi="Verdana" w:cs="Times New Roman"/>
        </w:rPr>
      </w:pPr>
      <w:r w:rsidRPr="00EE4D50">
        <w:rPr>
          <w:rFonts w:ascii="Verdana" w:hAnsi="Verdana" w:cs="Times New Roman"/>
        </w:rPr>
        <w:t xml:space="preserve">Vidrios y parabrisas para automóviles. </w:t>
      </w:r>
    </w:p>
    <w:p w:rsidR="005A299A" w:rsidRPr="00EE4D50" w:rsidRDefault="00BB07EF" w:rsidP="00EC63DA">
      <w:pPr>
        <w:pStyle w:val="Prrafodelista"/>
        <w:numPr>
          <w:ilvl w:val="0"/>
          <w:numId w:val="20"/>
        </w:numPr>
        <w:jc w:val="both"/>
        <w:rPr>
          <w:rFonts w:ascii="Verdana" w:hAnsi="Verdana" w:cs="Times New Roman"/>
        </w:rPr>
      </w:pPr>
      <w:r w:rsidRPr="00EE4D50">
        <w:rPr>
          <w:rFonts w:ascii="Verdana" w:hAnsi="Verdana" w:cs="Times New Roman"/>
        </w:rPr>
        <w:t xml:space="preserve">Hojas y paquetes de resortes o muelles de ballestas. </w:t>
      </w:r>
    </w:p>
    <w:p w:rsidR="005A299A" w:rsidRPr="00EE4D50" w:rsidRDefault="00BB07EF" w:rsidP="00EC63DA">
      <w:pPr>
        <w:pStyle w:val="Prrafodelista"/>
        <w:numPr>
          <w:ilvl w:val="0"/>
          <w:numId w:val="20"/>
        </w:numPr>
        <w:jc w:val="both"/>
        <w:rPr>
          <w:rFonts w:ascii="Verdana" w:hAnsi="Verdana" w:cs="Times New Roman"/>
        </w:rPr>
      </w:pPr>
      <w:r w:rsidRPr="00EE4D50">
        <w:rPr>
          <w:rFonts w:ascii="Verdana" w:hAnsi="Verdana" w:cs="Times New Roman"/>
        </w:rPr>
        <w:t xml:space="preserve">Filtros de combustible para línea automotriz. </w:t>
      </w:r>
    </w:p>
    <w:p w:rsidR="005A299A" w:rsidRPr="00EE4D50" w:rsidRDefault="00BB07EF" w:rsidP="00EC63DA">
      <w:pPr>
        <w:pStyle w:val="Prrafodelista"/>
        <w:numPr>
          <w:ilvl w:val="0"/>
          <w:numId w:val="20"/>
        </w:numPr>
        <w:jc w:val="both"/>
        <w:rPr>
          <w:rFonts w:ascii="Verdana" w:hAnsi="Verdana" w:cs="Times New Roman"/>
        </w:rPr>
      </w:pPr>
      <w:r w:rsidRPr="00EE4D50">
        <w:rPr>
          <w:rFonts w:ascii="Verdana" w:hAnsi="Verdana" w:cs="Times New Roman"/>
        </w:rPr>
        <w:t xml:space="preserve">Ensamble da auto radios y fabricación de arneses de cables para sistemas de audio. </w:t>
      </w:r>
    </w:p>
    <w:p w:rsidR="00462D4D" w:rsidRPr="00B160A0" w:rsidRDefault="00BB07EF" w:rsidP="00B160A0">
      <w:pPr>
        <w:pStyle w:val="Prrafodelista"/>
        <w:numPr>
          <w:ilvl w:val="0"/>
          <w:numId w:val="20"/>
        </w:numPr>
        <w:spacing w:after="60"/>
        <w:ind w:left="714" w:hanging="357"/>
        <w:jc w:val="both"/>
        <w:rPr>
          <w:rFonts w:ascii="Verdana" w:hAnsi="Verdana" w:cs="Times New Roman"/>
        </w:rPr>
      </w:pPr>
      <w:r w:rsidRPr="00EE4D50">
        <w:rPr>
          <w:rFonts w:ascii="Verdana" w:hAnsi="Verdana" w:cs="Times New Roman"/>
        </w:rPr>
        <w:t>Acumuladores de batería</w:t>
      </w:r>
    </w:p>
    <w:p w:rsidR="00BB07EF" w:rsidRPr="00EE4D50" w:rsidRDefault="00BB07EF" w:rsidP="00EC63DA">
      <w:pPr>
        <w:spacing w:after="60"/>
        <w:jc w:val="both"/>
        <w:rPr>
          <w:rFonts w:ascii="Verdana" w:hAnsi="Verdana" w:cs="Times New Roman"/>
        </w:rPr>
      </w:pPr>
      <w:r w:rsidRPr="00EE4D50">
        <w:rPr>
          <w:rFonts w:ascii="Verdana" w:hAnsi="Verdana" w:cs="Times New Roman"/>
        </w:rPr>
        <w:lastRenderedPageBreak/>
        <w:t>El ensamblaje de vehículos en el país ha impulsado el crecimiento y diversificación  de la industria local con producción de componentes, partes, piezas y acumulación de tecnología que concierne a este sector. Es por esto, que “la calidad de los automotores nacionales tienen altas normas de seguridad, también es fundamental la existencia de empresas multinacionales en el país, ya que han liderado la transferencia y el aprovechamiento de tecnología en empresas autopartistas” (CINAE,  2013).</w:t>
      </w:r>
    </w:p>
    <w:p w:rsidR="00FD4AB4" w:rsidRPr="00EE4D50" w:rsidRDefault="00FD4AB4" w:rsidP="00EC63DA">
      <w:pPr>
        <w:spacing w:after="60"/>
        <w:jc w:val="both"/>
        <w:rPr>
          <w:rFonts w:ascii="Verdana" w:hAnsi="Verdana" w:cs="Times New Roman"/>
        </w:rPr>
      </w:pPr>
    </w:p>
    <w:p w:rsidR="001052DA" w:rsidRPr="00EE4D50" w:rsidRDefault="00BB07EF" w:rsidP="00EC63DA">
      <w:pPr>
        <w:spacing w:after="60"/>
        <w:jc w:val="both"/>
        <w:rPr>
          <w:rFonts w:ascii="Verdana" w:hAnsi="Verdana" w:cs="Times New Roman"/>
        </w:rPr>
      </w:pPr>
      <w:r w:rsidRPr="00EE4D50">
        <w:rPr>
          <w:rFonts w:ascii="Verdana" w:hAnsi="Verdana" w:cs="Times New Roman"/>
        </w:rPr>
        <w:t>Existe un gran número de actividades económicas directas e indirectas que se involucran en el encadenamiento del sector automotor, lo cual es relevante porque impulsa a otras áreas del sector productivo.</w:t>
      </w:r>
    </w:p>
    <w:p w:rsidR="00FD4AB4" w:rsidRPr="00EE4D50" w:rsidRDefault="00FD4AB4" w:rsidP="00EC63DA">
      <w:pPr>
        <w:spacing w:after="60"/>
        <w:jc w:val="both"/>
        <w:rPr>
          <w:rFonts w:ascii="Verdana" w:hAnsi="Verdana" w:cs="Times New Roman"/>
        </w:rPr>
      </w:pPr>
    </w:p>
    <w:p w:rsidR="00BB07EF" w:rsidRPr="00EE4D50" w:rsidRDefault="001052DA" w:rsidP="00EC63DA">
      <w:pPr>
        <w:pStyle w:val="Epgrafe"/>
        <w:spacing w:after="0"/>
        <w:jc w:val="center"/>
        <w:rPr>
          <w:rFonts w:ascii="Verdana" w:hAnsi="Verdana" w:cs="Times New Roman"/>
          <w:b w:val="0"/>
          <w:color w:val="auto"/>
          <w:sz w:val="20"/>
          <w:szCs w:val="20"/>
        </w:rPr>
      </w:pPr>
      <w:bookmarkStart w:id="66" w:name="_Toc473640035"/>
      <w:r w:rsidRPr="00EE4D50">
        <w:rPr>
          <w:rFonts w:ascii="Verdana" w:hAnsi="Verdana" w:cs="Times New Roman"/>
          <w:color w:val="auto"/>
          <w:sz w:val="20"/>
          <w:szCs w:val="20"/>
        </w:rPr>
        <w:t xml:space="preserve">Figura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Figura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10</w:t>
      </w:r>
      <w:r w:rsidRPr="00EE4D50">
        <w:rPr>
          <w:rFonts w:ascii="Verdana" w:hAnsi="Verdana" w:cs="Times New Roman"/>
          <w:color w:val="auto"/>
          <w:sz w:val="20"/>
          <w:szCs w:val="20"/>
        </w:rPr>
        <w:fldChar w:fldCharType="end"/>
      </w:r>
      <w:r w:rsidR="007B53F9" w:rsidRPr="00EE4D50">
        <w:rPr>
          <w:rFonts w:ascii="Verdana" w:hAnsi="Verdana" w:cs="Times New Roman"/>
          <w:b w:val="0"/>
          <w:color w:val="auto"/>
          <w:sz w:val="20"/>
          <w:szCs w:val="20"/>
        </w:rPr>
        <w:t xml:space="preserve">: </w:t>
      </w:r>
      <w:r w:rsidR="00BB07EF" w:rsidRPr="00EE4D50">
        <w:rPr>
          <w:rFonts w:ascii="Verdana" w:hAnsi="Verdana" w:cs="Times New Roman"/>
          <w:b w:val="0"/>
          <w:color w:val="auto"/>
          <w:sz w:val="20"/>
          <w:szCs w:val="20"/>
        </w:rPr>
        <w:t>Encadenamiento del sector automotriz</w:t>
      </w:r>
      <w:bookmarkEnd w:id="66"/>
    </w:p>
    <w:p w:rsidR="00BB07EF" w:rsidRPr="00EE4D50" w:rsidRDefault="00BB07EF" w:rsidP="00EC63DA">
      <w:pPr>
        <w:spacing w:after="0" w:line="240" w:lineRule="auto"/>
        <w:jc w:val="center"/>
        <w:rPr>
          <w:rFonts w:ascii="Verdana" w:hAnsi="Verdana" w:cs="Times New Roman"/>
        </w:rPr>
      </w:pPr>
      <w:r w:rsidRPr="00EE4D50">
        <w:rPr>
          <w:rFonts w:ascii="Verdana" w:hAnsi="Verdana" w:cs="Times New Roman"/>
          <w:noProof/>
          <w:sz w:val="20"/>
          <w:szCs w:val="20"/>
          <w:lang w:eastAsia="es-EC"/>
        </w:rPr>
        <w:drawing>
          <wp:inline distT="0" distB="0" distL="0" distR="0" wp14:anchorId="6F543473" wp14:editId="0C6D1857">
            <wp:extent cx="5086350" cy="426720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088932" cy="4269366"/>
                    </a:xfrm>
                    <a:prstGeom prst="rect">
                      <a:avLst/>
                    </a:prstGeom>
                    <a:noFill/>
                    <a:ln>
                      <a:noFill/>
                    </a:ln>
                  </pic:spPr>
                </pic:pic>
              </a:graphicData>
            </a:graphic>
          </wp:inline>
        </w:drawing>
      </w:r>
    </w:p>
    <w:p w:rsidR="00BB07EF" w:rsidRPr="00A02E7C" w:rsidRDefault="00C44099" w:rsidP="00EC63DA">
      <w:pPr>
        <w:spacing w:after="0" w:line="240" w:lineRule="auto"/>
        <w:jc w:val="both"/>
        <w:rPr>
          <w:rFonts w:ascii="Verdana" w:hAnsi="Verdana" w:cs="Times New Roman"/>
          <w:sz w:val="20"/>
        </w:rPr>
      </w:pPr>
      <w:r>
        <w:rPr>
          <w:rFonts w:ascii="Verdana" w:hAnsi="Verdana" w:cs="Times New Roman"/>
        </w:rPr>
        <w:t xml:space="preserve">       </w:t>
      </w:r>
      <w:r w:rsidR="00A02E7C">
        <w:rPr>
          <w:rFonts w:ascii="Verdana" w:hAnsi="Verdana" w:cs="Times New Roman"/>
          <w:sz w:val="20"/>
        </w:rPr>
        <w:t>Fuente: Ekos (2016</w:t>
      </w:r>
      <w:r w:rsidR="005A299A" w:rsidRPr="00EE4D50">
        <w:rPr>
          <w:rFonts w:ascii="Verdana" w:hAnsi="Verdana" w:cs="Times New Roman"/>
          <w:sz w:val="20"/>
        </w:rPr>
        <w:t>)</w:t>
      </w:r>
    </w:p>
    <w:p w:rsidR="00BB07EF" w:rsidRPr="00EE4D50" w:rsidRDefault="00BB07EF" w:rsidP="00EC63DA">
      <w:pPr>
        <w:jc w:val="both"/>
        <w:rPr>
          <w:rFonts w:ascii="Verdana" w:hAnsi="Verdana" w:cs="Times New Roman"/>
        </w:rPr>
      </w:pPr>
    </w:p>
    <w:p w:rsidR="0020035A" w:rsidRPr="00EE4D50" w:rsidRDefault="00BB07EF" w:rsidP="00EC63DA">
      <w:pPr>
        <w:spacing w:after="60"/>
        <w:jc w:val="both"/>
        <w:rPr>
          <w:rFonts w:ascii="Verdana" w:hAnsi="Verdana" w:cs="Times New Roman"/>
        </w:rPr>
      </w:pPr>
      <w:r w:rsidRPr="00EE4D50">
        <w:rPr>
          <w:rFonts w:ascii="Verdana" w:hAnsi="Verdana" w:cs="Times New Roman"/>
        </w:rPr>
        <w:t xml:space="preserve">La industria automotriz ha enfrentado altibajos en el Ecuador. Después de la dolarización, el mercado de vehículos se recuperó después de la crisis económica de 1999 y tuvo un importante crecimiento en el 2002. Según las estadísticas de la AEADE, el incremento de las ventas de vehículos, tanto importados como ensamblados en el país, se inició con 18.983 unidades en el año 2000 a 69.372 unidades en el 2002, lo cual fue un crecimiento del 265,4%. Es importante destacar que en este último año, las ventas de vehículos del ensamblaje local </w:t>
      </w:r>
      <w:r w:rsidRPr="00EE4D50">
        <w:rPr>
          <w:rFonts w:ascii="Verdana" w:hAnsi="Verdana" w:cs="Times New Roman"/>
        </w:rPr>
        <w:lastRenderedPageBreak/>
        <w:t>representaron un 30,3% con respecto al total de vehículos vendidos, mientras que el 69,7% restante correspond</w:t>
      </w:r>
      <w:r w:rsidR="00FD4AB4" w:rsidRPr="00EE4D50">
        <w:rPr>
          <w:rFonts w:ascii="Verdana" w:hAnsi="Verdana" w:cs="Times New Roman"/>
        </w:rPr>
        <w:t>ió a los vehículos importados.</w:t>
      </w:r>
    </w:p>
    <w:p w:rsidR="00BB07EF" w:rsidRPr="00EE4D50" w:rsidRDefault="00BB07EF" w:rsidP="00EC63DA">
      <w:pPr>
        <w:pStyle w:val="Ttulo3"/>
        <w:rPr>
          <w:rFonts w:ascii="Verdana" w:hAnsi="Verdana" w:cs="Times New Roman"/>
          <w:i/>
          <w:color w:val="auto"/>
          <w:sz w:val="28"/>
          <w:szCs w:val="28"/>
        </w:rPr>
      </w:pPr>
      <w:bookmarkStart w:id="67" w:name="_Toc485137213"/>
      <w:r w:rsidRPr="00EE4D50">
        <w:rPr>
          <w:rFonts w:ascii="Verdana" w:hAnsi="Verdana" w:cs="Times New Roman"/>
          <w:i/>
          <w:color w:val="auto"/>
          <w:sz w:val="28"/>
          <w:szCs w:val="28"/>
        </w:rPr>
        <w:t>Periodo 2003-2010</w:t>
      </w:r>
      <w:bookmarkEnd w:id="67"/>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Las ventas de vehículos en Ecuador durante el periodo 2003-2010 aumentaron significativamente, tanto en la producción nacional como en las importaciones; lo que nos dice que este sector se ha consolidado en la economía nacional. Las ventas de vehículos en Ecuador, según datos de la AEADE para el año 2003 fueron 58.095 unidades. Al 2005, año excelente para el sector, se vendieron 80.410 unidades, de las cuales el 36,7% fueron ensamblados en el país, es decir 29.528 unidades; de esa cantidad, la ensambladora Omnibus BB tuvo el nivel más alto de participación en la oferta nacional al llegar al 48,8%. Al respecto, la AEADE (2015) dijo que “la actividad del sector superó las expectativas y fue un año récord de ventas”. En ese entonces, la economía creció al 3,3% y la inflación fue de 2,02%.</w:t>
      </w:r>
    </w:p>
    <w:p w:rsidR="00FD4AB4" w:rsidRPr="00EE4D50" w:rsidRDefault="00FD4AB4" w:rsidP="00EC63DA">
      <w:pPr>
        <w:spacing w:after="60"/>
        <w:jc w:val="both"/>
        <w:rPr>
          <w:rFonts w:ascii="Verdana" w:hAnsi="Verdana" w:cs="Times New Roman"/>
        </w:rPr>
      </w:pPr>
    </w:p>
    <w:p w:rsidR="009B02A6" w:rsidRPr="00EE4D50" w:rsidRDefault="00BB07EF" w:rsidP="00EC63DA">
      <w:pPr>
        <w:spacing w:after="60"/>
        <w:jc w:val="both"/>
        <w:rPr>
          <w:rFonts w:ascii="Verdana" w:hAnsi="Verdana" w:cs="Times New Roman"/>
        </w:rPr>
      </w:pPr>
      <w:r w:rsidRPr="00EE4D50">
        <w:rPr>
          <w:rFonts w:ascii="Verdana" w:hAnsi="Verdana" w:cs="Times New Roman"/>
        </w:rPr>
        <w:t>Las ventas de los vehículos de categoría livianos son los que provienen de la oferta nacional, los cuales son los más vendidos en el mercado ecuatoriano porque representaron en promedio el 90% del total de las ventas de vehículos entre 2003 y 2010. Dentro de esta categoría, los automóviles fueron los que más se vendieron, que en promedio representaron el 45%, seguidos por las camionetas con un 25%, las suv`s con 20% y van`s con el 10%.  Según datos de la AEADE, del total de vehículos vendidos en el 2003, los livianos se despacharon en un 92,4%, mientras que para el 2010 del total de ventas el 90% fueron livianos. Esta mejora en las ventas provocó que el ensamblaje local aumente su participación dentro de la composición de las ventas de vehículos.</w:t>
      </w:r>
    </w:p>
    <w:p w:rsidR="0020035A" w:rsidRPr="00EE4D50" w:rsidRDefault="0020035A" w:rsidP="00EC63DA">
      <w:pPr>
        <w:spacing w:after="60"/>
        <w:jc w:val="both"/>
        <w:rPr>
          <w:rFonts w:ascii="Verdana" w:hAnsi="Verdana" w:cs="Times New Roman"/>
        </w:rPr>
      </w:pPr>
    </w:p>
    <w:p w:rsidR="005A299A" w:rsidRPr="00EE4D50" w:rsidRDefault="001052DA" w:rsidP="00EC63DA">
      <w:pPr>
        <w:pStyle w:val="Epgrafe"/>
        <w:spacing w:after="0"/>
        <w:jc w:val="center"/>
        <w:rPr>
          <w:rFonts w:ascii="Verdana" w:eastAsia="Times New Roman" w:hAnsi="Verdana" w:cs="Times New Roman"/>
          <w:color w:val="auto"/>
          <w:sz w:val="20"/>
          <w:szCs w:val="20"/>
          <w:lang w:val="es-ES" w:eastAsia="es-ES"/>
        </w:rPr>
      </w:pPr>
      <w:bookmarkStart w:id="68" w:name="_Toc473640121"/>
      <w:r w:rsidRPr="00EE4D50">
        <w:rPr>
          <w:rFonts w:ascii="Verdana" w:hAnsi="Verdana" w:cs="Times New Roman"/>
          <w:color w:val="auto"/>
          <w:sz w:val="20"/>
          <w:szCs w:val="20"/>
        </w:rPr>
        <w:t xml:space="preserve">Tabla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Tabla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6</w:t>
      </w:r>
      <w:r w:rsidRPr="00EE4D50">
        <w:rPr>
          <w:rFonts w:ascii="Verdana" w:hAnsi="Verdana" w:cs="Times New Roman"/>
          <w:color w:val="auto"/>
          <w:sz w:val="20"/>
          <w:szCs w:val="20"/>
        </w:rPr>
        <w:fldChar w:fldCharType="end"/>
      </w:r>
      <w:r w:rsidR="007B53F9" w:rsidRPr="00EE4D50">
        <w:rPr>
          <w:rFonts w:ascii="Verdana" w:eastAsia="Times New Roman" w:hAnsi="Verdana" w:cs="Times New Roman"/>
          <w:b w:val="0"/>
          <w:color w:val="auto"/>
          <w:sz w:val="20"/>
          <w:szCs w:val="20"/>
          <w:lang w:val="es-ES" w:eastAsia="es-ES"/>
        </w:rPr>
        <w:t xml:space="preserve">: </w:t>
      </w:r>
      <w:r w:rsidR="005A299A" w:rsidRPr="00EE4D50">
        <w:rPr>
          <w:rFonts w:ascii="Verdana" w:eastAsia="Times New Roman" w:hAnsi="Verdana" w:cs="Times New Roman"/>
          <w:b w:val="0"/>
          <w:color w:val="auto"/>
          <w:sz w:val="20"/>
          <w:szCs w:val="20"/>
          <w:lang w:val="es-ES" w:eastAsia="es-ES"/>
        </w:rPr>
        <w:t>Composición de las ventas de vehículos en Ecuador: 2003-2010 (en unidades)</w:t>
      </w:r>
      <w:bookmarkEnd w:id="68"/>
    </w:p>
    <w:tbl>
      <w:tblPr>
        <w:tblW w:w="7603" w:type="dxa"/>
        <w:jc w:val="center"/>
        <w:tblInd w:w="55" w:type="dxa"/>
        <w:tblCellMar>
          <w:left w:w="70" w:type="dxa"/>
          <w:right w:w="70" w:type="dxa"/>
        </w:tblCellMar>
        <w:tblLook w:val="04A0" w:firstRow="1" w:lastRow="0" w:firstColumn="1" w:lastColumn="0" w:noHBand="0" w:noVBand="1"/>
      </w:tblPr>
      <w:tblGrid>
        <w:gridCol w:w="884"/>
        <w:gridCol w:w="1870"/>
        <w:gridCol w:w="971"/>
        <w:gridCol w:w="1667"/>
        <w:gridCol w:w="971"/>
        <w:gridCol w:w="1240"/>
      </w:tblGrid>
      <w:tr w:rsidR="00BB07EF" w:rsidRPr="00EE4D50" w:rsidTr="005A299A">
        <w:trPr>
          <w:trHeight w:val="772"/>
          <w:jc w:val="center"/>
        </w:trPr>
        <w:tc>
          <w:tcPr>
            <w:tcW w:w="8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color w:val="000000"/>
                <w:sz w:val="20"/>
                <w:szCs w:val="20"/>
                <w:lang w:val="es-ES" w:eastAsia="es-ES"/>
              </w:rPr>
            </w:pPr>
            <w:r w:rsidRPr="00EE4D50">
              <w:rPr>
                <w:rFonts w:ascii="Verdana" w:eastAsia="Times New Roman" w:hAnsi="Verdana" w:cs="Times New Roman"/>
                <w:b/>
                <w:color w:val="000000"/>
                <w:sz w:val="20"/>
                <w:szCs w:val="20"/>
                <w:lang w:val="es-ES" w:eastAsia="es-ES"/>
              </w:rPr>
              <w:t>Año</w:t>
            </w:r>
          </w:p>
        </w:tc>
        <w:tc>
          <w:tcPr>
            <w:tcW w:w="1870" w:type="dxa"/>
            <w:tcBorders>
              <w:top w:val="single" w:sz="4" w:space="0" w:color="auto"/>
              <w:left w:val="nil"/>
              <w:bottom w:val="single" w:sz="4" w:space="0" w:color="auto"/>
              <w:right w:val="single" w:sz="4" w:space="0" w:color="auto"/>
            </w:tcBorders>
            <w:shd w:val="clear" w:color="auto" w:fill="auto"/>
            <w:vAlign w:val="center"/>
            <w:hideMark/>
          </w:tcPr>
          <w:p w:rsidR="00BB07EF" w:rsidRPr="00EE4D50" w:rsidRDefault="00BB07EF" w:rsidP="00EC63DA">
            <w:pPr>
              <w:spacing w:after="0" w:line="240" w:lineRule="auto"/>
              <w:jc w:val="center"/>
              <w:rPr>
                <w:rFonts w:ascii="Verdana" w:eastAsia="Times New Roman" w:hAnsi="Verdana" w:cs="Times New Roman"/>
                <w:b/>
                <w:color w:val="000000"/>
                <w:sz w:val="20"/>
                <w:szCs w:val="20"/>
                <w:lang w:val="es-ES" w:eastAsia="es-ES"/>
              </w:rPr>
            </w:pPr>
            <w:r w:rsidRPr="00EE4D50">
              <w:rPr>
                <w:rFonts w:ascii="Verdana" w:eastAsia="Times New Roman" w:hAnsi="Verdana" w:cs="Times New Roman"/>
                <w:b/>
                <w:color w:val="000000"/>
                <w:sz w:val="20"/>
                <w:szCs w:val="20"/>
                <w:lang w:val="es-ES" w:eastAsia="es-ES"/>
              </w:rPr>
              <w:t>Ensamblaje Local</w:t>
            </w:r>
          </w:p>
        </w:tc>
        <w:tc>
          <w:tcPr>
            <w:tcW w:w="971"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color w:val="000000"/>
                <w:sz w:val="20"/>
                <w:szCs w:val="20"/>
                <w:lang w:val="es-ES" w:eastAsia="es-ES"/>
              </w:rPr>
            </w:pPr>
            <w:r w:rsidRPr="00EE4D50">
              <w:rPr>
                <w:rFonts w:ascii="Verdana" w:eastAsia="Times New Roman" w:hAnsi="Verdana" w:cs="Times New Roman"/>
                <w:b/>
                <w:color w:val="000000"/>
                <w:sz w:val="20"/>
                <w:szCs w:val="20"/>
                <w:lang w:val="es-ES" w:eastAsia="es-ES"/>
              </w:rPr>
              <w:t>%</w:t>
            </w:r>
          </w:p>
        </w:tc>
        <w:tc>
          <w:tcPr>
            <w:tcW w:w="1667"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color w:val="000000"/>
                <w:sz w:val="20"/>
                <w:szCs w:val="20"/>
                <w:lang w:val="es-ES" w:eastAsia="es-ES"/>
              </w:rPr>
            </w:pPr>
            <w:r w:rsidRPr="00EE4D50">
              <w:rPr>
                <w:rFonts w:ascii="Verdana" w:eastAsia="Times New Roman" w:hAnsi="Verdana" w:cs="Times New Roman"/>
                <w:b/>
                <w:color w:val="000000"/>
                <w:sz w:val="20"/>
                <w:szCs w:val="20"/>
                <w:lang w:val="es-ES" w:eastAsia="es-ES"/>
              </w:rPr>
              <w:t>Importación</w:t>
            </w:r>
          </w:p>
        </w:tc>
        <w:tc>
          <w:tcPr>
            <w:tcW w:w="971"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color w:val="000000"/>
                <w:sz w:val="20"/>
                <w:szCs w:val="20"/>
                <w:lang w:val="es-ES" w:eastAsia="es-ES"/>
              </w:rPr>
            </w:pPr>
            <w:r w:rsidRPr="00EE4D50">
              <w:rPr>
                <w:rFonts w:ascii="Verdana" w:eastAsia="Times New Roman" w:hAnsi="Verdana" w:cs="Times New Roman"/>
                <w:b/>
                <w:color w:val="000000"/>
                <w:sz w:val="20"/>
                <w:szCs w:val="20"/>
                <w:lang w:val="es-ES" w:eastAsia="es-ES"/>
              </w:rPr>
              <w:t>%</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Total</w:t>
            </w:r>
          </w:p>
        </w:tc>
      </w:tr>
      <w:tr w:rsidR="00BB07EF" w:rsidRPr="00EE4D50" w:rsidTr="005A299A">
        <w:trPr>
          <w:trHeight w:val="412"/>
          <w:jc w:val="center"/>
        </w:trPr>
        <w:tc>
          <w:tcPr>
            <w:tcW w:w="884"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2003</w:t>
            </w:r>
          </w:p>
        </w:tc>
        <w:tc>
          <w:tcPr>
            <w:tcW w:w="1870"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22.768</w:t>
            </w:r>
          </w:p>
        </w:tc>
        <w:tc>
          <w:tcPr>
            <w:tcW w:w="971"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39,2%</w:t>
            </w:r>
          </w:p>
        </w:tc>
        <w:tc>
          <w:tcPr>
            <w:tcW w:w="1667"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35.327</w:t>
            </w:r>
          </w:p>
        </w:tc>
        <w:tc>
          <w:tcPr>
            <w:tcW w:w="971"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60,8%</w:t>
            </w:r>
          </w:p>
        </w:tc>
        <w:tc>
          <w:tcPr>
            <w:tcW w:w="1240" w:type="dxa"/>
            <w:tcBorders>
              <w:top w:val="single" w:sz="4" w:space="0" w:color="auto"/>
              <w:left w:val="nil"/>
              <w:bottom w:val="single" w:sz="4" w:space="0" w:color="auto"/>
              <w:right w:val="single" w:sz="8"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58.095</w:t>
            </w:r>
          </w:p>
        </w:tc>
      </w:tr>
      <w:tr w:rsidR="00BB07EF" w:rsidRPr="00EE4D50" w:rsidTr="005A299A">
        <w:trPr>
          <w:trHeight w:val="412"/>
          <w:jc w:val="center"/>
        </w:trPr>
        <w:tc>
          <w:tcPr>
            <w:tcW w:w="884" w:type="dxa"/>
            <w:tcBorders>
              <w:top w:val="nil"/>
              <w:left w:val="single" w:sz="8"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2004</w:t>
            </w:r>
          </w:p>
        </w:tc>
        <w:tc>
          <w:tcPr>
            <w:tcW w:w="187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22.230</w:t>
            </w:r>
          </w:p>
        </w:tc>
        <w:tc>
          <w:tcPr>
            <w:tcW w:w="97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37,9%</w:t>
            </w:r>
          </w:p>
        </w:tc>
        <w:tc>
          <w:tcPr>
            <w:tcW w:w="166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36.921</w:t>
            </w:r>
          </w:p>
        </w:tc>
        <w:tc>
          <w:tcPr>
            <w:tcW w:w="97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62,4%</w:t>
            </w:r>
          </w:p>
        </w:tc>
        <w:tc>
          <w:tcPr>
            <w:tcW w:w="1240" w:type="dxa"/>
            <w:tcBorders>
              <w:top w:val="nil"/>
              <w:left w:val="nil"/>
              <w:bottom w:val="single" w:sz="4" w:space="0" w:color="auto"/>
              <w:right w:val="single" w:sz="8"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59.151</w:t>
            </w:r>
          </w:p>
        </w:tc>
      </w:tr>
      <w:tr w:rsidR="00BB07EF" w:rsidRPr="00EE4D50" w:rsidTr="005A299A">
        <w:trPr>
          <w:trHeight w:val="412"/>
          <w:jc w:val="center"/>
        </w:trPr>
        <w:tc>
          <w:tcPr>
            <w:tcW w:w="884" w:type="dxa"/>
            <w:tcBorders>
              <w:top w:val="nil"/>
              <w:left w:val="single" w:sz="8"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2005</w:t>
            </w:r>
          </w:p>
        </w:tc>
        <w:tc>
          <w:tcPr>
            <w:tcW w:w="187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29.528</w:t>
            </w:r>
          </w:p>
        </w:tc>
        <w:tc>
          <w:tcPr>
            <w:tcW w:w="97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36,7%</w:t>
            </w:r>
          </w:p>
        </w:tc>
        <w:tc>
          <w:tcPr>
            <w:tcW w:w="166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50.882</w:t>
            </w:r>
          </w:p>
        </w:tc>
        <w:tc>
          <w:tcPr>
            <w:tcW w:w="97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63,3%</w:t>
            </w:r>
          </w:p>
        </w:tc>
        <w:tc>
          <w:tcPr>
            <w:tcW w:w="1240" w:type="dxa"/>
            <w:tcBorders>
              <w:top w:val="nil"/>
              <w:left w:val="nil"/>
              <w:bottom w:val="single" w:sz="4" w:space="0" w:color="auto"/>
              <w:right w:val="single" w:sz="8"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80.410</w:t>
            </w:r>
          </w:p>
        </w:tc>
      </w:tr>
      <w:tr w:rsidR="00BB07EF" w:rsidRPr="00EE4D50" w:rsidTr="005A299A">
        <w:trPr>
          <w:trHeight w:val="412"/>
          <w:jc w:val="center"/>
        </w:trPr>
        <w:tc>
          <w:tcPr>
            <w:tcW w:w="884" w:type="dxa"/>
            <w:tcBorders>
              <w:top w:val="nil"/>
              <w:left w:val="single" w:sz="8"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2006</w:t>
            </w:r>
          </w:p>
        </w:tc>
        <w:tc>
          <w:tcPr>
            <w:tcW w:w="187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31.496</w:t>
            </w:r>
          </w:p>
        </w:tc>
        <w:tc>
          <w:tcPr>
            <w:tcW w:w="97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35,2%</w:t>
            </w:r>
          </w:p>
        </w:tc>
        <w:tc>
          <w:tcPr>
            <w:tcW w:w="166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58.062</w:t>
            </w:r>
          </w:p>
        </w:tc>
        <w:tc>
          <w:tcPr>
            <w:tcW w:w="97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64,8%</w:t>
            </w:r>
          </w:p>
        </w:tc>
        <w:tc>
          <w:tcPr>
            <w:tcW w:w="1240" w:type="dxa"/>
            <w:tcBorders>
              <w:top w:val="nil"/>
              <w:left w:val="nil"/>
              <w:bottom w:val="single" w:sz="4" w:space="0" w:color="auto"/>
              <w:right w:val="single" w:sz="8"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89.558</w:t>
            </w:r>
          </w:p>
        </w:tc>
      </w:tr>
      <w:tr w:rsidR="00BB07EF" w:rsidRPr="00EE4D50" w:rsidTr="005A299A">
        <w:trPr>
          <w:trHeight w:val="412"/>
          <w:jc w:val="center"/>
        </w:trPr>
        <w:tc>
          <w:tcPr>
            <w:tcW w:w="884" w:type="dxa"/>
            <w:tcBorders>
              <w:top w:val="nil"/>
              <w:left w:val="single" w:sz="8"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2007</w:t>
            </w:r>
          </w:p>
        </w:tc>
        <w:tc>
          <w:tcPr>
            <w:tcW w:w="187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32.591</w:t>
            </w:r>
          </w:p>
        </w:tc>
        <w:tc>
          <w:tcPr>
            <w:tcW w:w="97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35,5%</w:t>
            </w:r>
          </w:p>
        </w:tc>
        <w:tc>
          <w:tcPr>
            <w:tcW w:w="166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59.187</w:t>
            </w:r>
          </w:p>
        </w:tc>
        <w:tc>
          <w:tcPr>
            <w:tcW w:w="97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64,5%</w:t>
            </w:r>
          </w:p>
        </w:tc>
        <w:tc>
          <w:tcPr>
            <w:tcW w:w="1240" w:type="dxa"/>
            <w:tcBorders>
              <w:top w:val="nil"/>
              <w:left w:val="nil"/>
              <w:bottom w:val="single" w:sz="4" w:space="0" w:color="auto"/>
              <w:right w:val="single" w:sz="8"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91.778</w:t>
            </w:r>
          </w:p>
        </w:tc>
      </w:tr>
      <w:tr w:rsidR="00BB07EF" w:rsidRPr="00EE4D50" w:rsidTr="005A299A">
        <w:trPr>
          <w:trHeight w:val="412"/>
          <w:jc w:val="center"/>
        </w:trPr>
        <w:tc>
          <w:tcPr>
            <w:tcW w:w="884" w:type="dxa"/>
            <w:tcBorders>
              <w:top w:val="nil"/>
              <w:left w:val="single" w:sz="8"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2008</w:t>
            </w:r>
          </w:p>
        </w:tc>
        <w:tc>
          <w:tcPr>
            <w:tcW w:w="187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46.782</w:t>
            </w:r>
          </w:p>
        </w:tc>
        <w:tc>
          <w:tcPr>
            <w:tcW w:w="97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41,5%</w:t>
            </w:r>
          </w:p>
        </w:tc>
        <w:tc>
          <w:tcPr>
            <w:tcW w:w="166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65.902</w:t>
            </w:r>
          </w:p>
        </w:tc>
        <w:tc>
          <w:tcPr>
            <w:tcW w:w="97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58,9%</w:t>
            </w:r>
          </w:p>
        </w:tc>
        <w:tc>
          <w:tcPr>
            <w:tcW w:w="1240" w:type="dxa"/>
            <w:tcBorders>
              <w:top w:val="nil"/>
              <w:left w:val="nil"/>
              <w:bottom w:val="single" w:sz="4" w:space="0" w:color="auto"/>
              <w:right w:val="single" w:sz="8"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112.684</w:t>
            </w:r>
          </w:p>
        </w:tc>
      </w:tr>
      <w:tr w:rsidR="00BB07EF" w:rsidRPr="00EE4D50" w:rsidTr="005A299A">
        <w:trPr>
          <w:trHeight w:val="412"/>
          <w:jc w:val="center"/>
        </w:trPr>
        <w:tc>
          <w:tcPr>
            <w:tcW w:w="884" w:type="dxa"/>
            <w:tcBorders>
              <w:top w:val="nil"/>
              <w:left w:val="single" w:sz="8"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2009</w:t>
            </w:r>
          </w:p>
        </w:tc>
        <w:tc>
          <w:tcPr>
            <w:tcW w:w="187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43.077</w:t>
            </w:r>
          </w:p>
        </w:tc>
        <w:tc>
          <w:tcPr>
            <w:tcW w:w="97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46,4%</w:t>
            </w:r>
          </w:p>
        </w:tc>
        <w:tc>
          <w:tcPr>
            <w:tcW w:w="166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49.687</w:t>
            </w:r>
          </w:p>
        </w:tc>
        <w:tc>
          <w:tcPr>
            <w:tcW w:w="97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53,6%</w:t>
            </w:r>
          </w:p>
        </w:tc>
        <w:tc>
          <w:tcPr>
            <w:tcW w:w="1240" w:type="dxa"/>
            <w:tcBorders>
              <w:top w:val="nil"/>
              <w:left w:val="nil"/>
              <w:bottom w:val="single" w:sz="4" w:space="0" w:color="auto"/>
              <w:right w:val="single" w:sz="8"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92.764</w:t>
            </w:r>
          </w:p>
        </w:tc>
      </w:tr>
      <w:tr w:rsidR="00BB07EF" w:rsidRPr="00EE4D50" w:rsidTr="005A299A">
        <w:trPr>
          <w:trHeight w:val="412"/>
          <w:jc w:val="center"/>
        </w:trPr>
        <w:tc>
          <w:tcPr>
            <w:tcW w:w="884" w:type="dxa"/>
            <w:tcBorders>
              <w:top w:val="nil"/>
              <w:left w:val="single" w:sz="8"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2010</w:t>
            </w:r>
          </w:p>
        </w:tc>
        <w:tc>
          <w:tcPr>
            <w:tcW w:w="187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55.683</w:t>
            </w:r>
          </w:p>
        </w:tc>
        <w:tc>
          <w:tcPr>
            <w:tcW w:w="97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42,1%</w:t>
            </w:r>
          </w:p>
        </w:tc>
        <w:tc>
          <w:tcPr>
            <w:tcW w:w="166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76.489</w:t>
            </w:r>
          </w:p>
        </w:tc>
        <w:tc>
          <w:tcPr>
            <w:tcW w:w="97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57,9%</w:t>
            </w:r>
          </w:p>
        </w:tc>
        <w:tc>
          <w:tcPr>
            <w:tcW w:w="1240" w:type="dxa"/>
            <w:tcBorders>
              <w:top w:val="nil"/>
              <w:left w:val="nil"/>
              <w:bottom w:val="single" w:sz="4" w:space="0" w:color="auto"/>
              <w:right w:val="single" w:sz="8"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132.172</w:t>
            </w:r>
          </w:p>
        </w:tc>
      </w:tr>
    </w:tbl>
    <w:p w:rsidR="00BB07EF" w:rsidRPr="00EE4D50" w:rsidRDefault="005A299A" w:rsidP="00EC63DA">
      <w:pPr>
        <w:spacing w:after="0" w:line="240" w:lineRule="auto"/>
        <w:jc w:val="both"/>
        <w:rPr>
          <w:rFonts w:ascii="Verdana" w:hAnsi="Verdana" w:cs="Times New Roman"/>
          <w:sz w:val="20"/>
        </w:rPr>
      </w:pPr>
      <w:r w:rsidRPr="00EE4D50">
        <w:rPr>
          <w:rFonts w:ascii="Verdana" w:hAnsi="Verdana" w:cs="Times New Roman"/>
        </w:rPr>
        <w:t xml:space="preserve">         </w:t>
      </w:r>
      <w:r w:rsidR="00BB07EF" w:rsidRPr="00EE4D50">
        <w:rPr>
          <w:rFonts w:ascii="Verdana" w:hAnsi="Verdana" w:cs="Times New Roman"/>
          <w:sz w:val="20"/>
        </w:rPr>
        <w:t>Fuente: AEADE</w:t>
      </w:r>
    </w:p>
    <w:p w:rsidR="005A299A" w:rsidRPr="00B160A0" w:rsidRDefault="005A299A" w:rsidP="00B160A0">
      <w:pPr>
        <w:spacing w:after="0" w:line="240" w:lineRule="auto"/>
        <w:jc w:val="both"/>
        <w:rPr>
          <w:rFonts w:ascii="Verdana" w:hAnsi="Verdana" w:cs="Times New Roman"/>
          <w:sz w:val="20"/>
        </w:rPr>
      </w:pPr>
      <w:r w:rsidRPr="00EE4D50">
        <w:rPr>
          <w:rFonts w:ascii="Verdana" w:hAnsi="Verdana" w:cs="Times New Roman"/>
          <w:sz w:val="20"/>
        </w:rPr>
        <w:t xml:space="preserve">         Elaboración: A</w:t>
      </w:r>
      <w:r w:rsidR="00BB07EF" w:rsidRPr="00EE4D50">
        <w:rPr>
          <w:rFonts w:ascii="Verdana" w:hAnsi="Verdana" w:cs="Times New Roman"/>
          <w:sz w:val="20"/>
        </w:rPr>
        <w:t>utora</w:t>
      </w:r>
    </w:p>
    <w:p w:rsidR="00BB07EF" w:rsidRPr="00EE4D50" w:rsidRDefault="00CF4FE1" w:rsidP="00EC63DA">
      <w:pPr>
        <w:spacing w:after="60"/>
        <w:jc w:val="both"/>
        <w:rPr>
          <w:rFonts w:ascii="Verdana" w:hAnsi="Verdana" w:cs="Times New Roman"/>
        </w:rPr>
      </w:pPr>
      <w:r w:rsidRPr="00EE4D50">
        <w:rPr>
          <w:rFonts w:ascii="Verdana" w:hAnsi="Verdana" w:cs="Times New Roman"/>
        </w:rPr>
        <w:lastRenderedPageBreak/>
        <w:t>Como se observa en la tabla No.6</w:t>
      </w:r>
      <w:r w:rsidR="00BB07EF" w:rsidRPr="00EE4D50">
        <w:rPr>
          <w:rFonts w:ascii="Verdana" w:hAnsi="Verdana" w:cs="Times New Roman"/>
        </w:rPr>
        <w:t xml:space="preserve"> el ensamblaje local aumentó su participación en las ventas totales durante el periodo 2003-2010, esto significó un despegue para la industria del sector automotriz ecuatoriano y reducir las importaciones de vehículos completamente armados en sus fábricas de origen. Al año 2003 los vehículos ensamblados en el país correspondieron al 39,2% del total de ventas, mientras que para el 2005 su participación se redujo en casi tres puntos porcentuales al pasar a 36,7%. Sin embargo, la cantidad de ventas no se redujo, ya que aumentaron en 6.760 unidades ensambladas, lo que representó un crecimiento del 29,7%.</w:t>
      </w:r>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Un dato curioso se dio en 2009 al presentarse la mayor participación del ensamblaje de vehículos locales en las ventas totales del mercado ecuatoriano (46,4%). Sin embargo, esto se debió a que la cantidad de unidades importadas disminuyeron drásticamente con respecto al año anterior en 16.215, mientras que los de fabricación nacional se redujeron en 3.705.</w:t>
      </w:r>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Por lo expuesto, se desprende que las ventas de vehículos en el año 2003 fueron 58.095 unidades, y en el año 2010 fueron 132.172, lo que significó un crecimiento de 127,5%. El tope máximo de ventas del año 2003 al 2008 llegó a 112.684 unidades en este último año, mientras que para el 2009, el mercado no funcionó en condiciones normales debido a factores como la crisis financiera internacional y salvaguardias cambiarias del país; por tanto, las ventas decrecieron en -17,7% con respecto al año anterior. En promedio, las ventas entre 2003 y 2010 crecieron un 10,8% por ciento cada año.</w:t>
      </w:r>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2010 fue otro año exitoso en ventas (año de las ventas más altas de la última década), una de las principales razones fue porque la economía ecuatoriana tuvo la tasa de crecimiento más elevada (3,6%) desde el comienzo de la crisis financiera internacional de 2008; lo que significó un aumento en el agregado de consumo y gasto de gobierno para que exista una demanda efectiva de automotores en el mercado nacional. Los vehículos de fabricación nacional atendieron al 42,1% (55.683 unidades) de la demanda local en 2010. Conjuntamente con el crecimiento del mercado se evacuó parte de la demanda represada en el 2009. Además, el sistema financiero tuvo abundante liquidez y aumentó su oferta crediticia que empujó al comercio.</w:t>
      </w:r>
    </w:p>
    <w:p w:rsidR="00FD4AB4" w:rsidRPr="00EE4D50" w:rsidRDefault="00FD4AB4" w:rsidP="00EC63DA">
      <w:pPr>
        <w:spacing w:after="60"/>
        <w:jc w:val="both"/>
        <w:rPr>
          <w:rFonts w:ascii="Verdana" w:hAnsi="Verdana" w:cs="Times New Roman"/>
        </w:rPr>
      </w:pPr>
    </w:p>
    <w:p w:rsidR="005F5350" w:rsidRPr="00EE4D50" w:rsidRDefault="00BB07EF" w:rsidP="00EC63DA">
      <w:pPr>
        <w:jc w:val="both"/>
        <w:rPr>
          <w:rFonts w:ascii="Verdana" w:hAnsi="Verdana" w:cs="Times New Roman"/>
        </w:rPr>
      </w:pPr>
      <w:r w:rsidRPr="00EE4D50">
        <w:rPr>
          <w:rFonts w:ascii="Verdana" w:hAnsi="Verdana" w:cs="Times New Roman"/>
        </w:rPr>
        <w:t>Es importante analizar el crecimiento del sector automotriz a través de la producción nacional y su oferta local y exportable, así como también la importación de vehículos. Esto es para verificar si el ensamblaje provocó que las importaciones disminuyan para abastecer al mercado ecuatoriano.</w:t>
      </w:r>
    </w:p>
    <w:p w:rsidR="00261705" w:rsidRPr="00EE4D50" w:rsidRDefault="00261705" w:rsidP="00EC63DA">
      <w:pPr>
        <w:jc w:val="both"/>
        <w:rPr>
          <w:rFonts w:ascii="Verdana" w:hAnsi="Verdana" w:cs="Times New Roman"/>
        </w:rPr>
      </w:pPr>
    </w:p>
    <w:p w:rsidR="00261705" w:rsidRPr="00EE4D50" w:rsidRDefault="00261705" w:rsidP="00EC63DA">
      <w:pPr>
        <w:jc w:val="both"/>
        <w:rPr>
          <w:rFonts w:ascii="Verdana" w:hAnsi="Verdana" w:cs="Times New Roman"/>
        </w:rPr>
      </w:pPr>
    </w:p>
    <w:p w:rsidR="005A299A" w:rsidRPr="00EE4D50" w:rsidRDefault="001052DA" w:rsidP="00EC63DA">
      <w:pPr>
        <w:pStyle w:val="Epgrafe"/>
        <w:spacing w:after="0"/>
        <w:jc w:val="center"/>
        <w:rPr>
          <w:rFonts w:ascii="Verdana" w:hAnsi="Verdana" w:cs="Times New Roman"/>
          <w:b w:val="0"/>
          <w:color w:val="auto"/>
          <w:sz w:val="20"/>
          <w:szCs w:val="20"/>
        </w:rPr>
      </w:pPr>
      <w:bookmarkStart w:id="69" w:name="_Toc473640122"/>
      <w:r w:rsidRPr="00EE4D50">
        <w:rPr>
          <w:rFonts w:ascii="Verdana" w:hAnsi="Verdana" w:cs="Times New Roman"/>
          <w:color w:val="auto"/>
          <w:sz w:val="20"/>
          <w:szCs w:val="20"/>
        </w:rPr>
        <w:lastRenderedPageBreak/>
        <w:t xml:space="preserve">Tabla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Tabla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7</w:t>
      </w:r>
      <w:r w:rsidRPr="00EE4D50">
        <w:rPr>
          <w:rFonts w:ascii="Verdana" w:hAnsi="Verdana" w:cs="Times New Roman"/>
          <w:color w:val="auto"/>
          <w:sz w:val="20"/>
          <w:szCs w:val="20"/>
        </w:rPr>
        <w:fldChar w:fldCharType="end"/>
      </w:r>
      <w:r w:rsidR="007B53F9" w:rsidRPr="00EE4D50">
        <w:rPr>
          <w:rFonts w:ascii="Verdana" w:eastAsia="Times New Roman" w:hAnsi="Verdana" w:cs="Times New Roman"/>
          <w:b w:val="0"/>
          <w:color w:val="auto"/>
          <w:sz w:val="20"/>
          <w:szCs w:val="20"/>
          <w:lang w:val="es-ES" w:eastAsia="es-ES"/>
        </w:rPr>
        <w:t>:</w:t>
      </w:r>
      <w:r w:rsidRPr="00EE4D50">
        <w:rPr>
          <w:rFonts w:ascii="Verdana" w:eastAsia="Times New Roman" w:hAnsi="Verdana" w:cs="Times New Roman"/>
          <w:b w:val="0"/>
          <w:color w:val="auto"/>
          <w:sz w:val="20"/>
          <w:szCs w:val="20"/>
          <w:lang w:val="es-ES" w:eastAsia="es-ES"/>
        </w:rPr>
        <w:t xml:space="preserve"> </w:t>
      </w:r>
      <w:r w:rsidR="005A299A" w:rsidRPr="00EE4D50">
        <w:rPr>
          <w:rFonts w:ascii="Verdana" w:eastAsia="Times New Roman" w:hAnsi="Verdana" w:cs="Times New Roman"/>
          <w:b w:val="0"/>
          <w:color w:val="auto"/>
          <w:sz w:val="20"/>
          <w:szCs w:val="20"/>
          <w:lang w:val="es-ES" w:eastAsia="es-ES"/>
        </w:rPr>
        <w:t>Resumen de la industria automotriz (en unidades)</w:t>
      </w:r>
      <w:bookmarkEnd w:id="69"/>
    </w:p>
    <w:tbl>
      <w:tblPr>
        <w:tblW w:w="8663" w:type="dxa"/>
        <w:jc w:val="center"/>
        <w:tblInd w:w="55" w:type="dxa"/>
        <w:tblLayout w:type="fixed"/>
        <w:tblCellMar>
          <w:left w:w="70" w:type="dxa"/>
          <w:right w:w="70" w:type="dxa"/>
        </w:tblCellMar>
        <w:tblLook w:val="04A0" w:firstRow="1" w:lastRow="0" w:firstColumn="1" w:lastColumn="0" w:noHBand="0" w:noVBand="1"/>
      </w:tblPr>
      <w:tblGrid>
        <w:gridCol w:w="649"/>
        <w:gridCol w:w="1068"/>
        <w:gridCol w:w="1418"/>
        <w:gridCol w:w="1134"/>
        <w:gridCol w:w="1276"/>
        <w:gridCol w:w="1134"/>
        <w:gridCol w:w="1134"/>
        <w:gridCol w:w="850"/>
      </w:tblGrid>
      <w:tr w:rsidR="005A299A" w:rsidRPr="00EE4D50" w:rsidTr="007B53F9">
        <w:trPr>
          <w:trHeight w:val="1089"/>
          <w:jc w:val="center"/>
        </w:trPr>
        <w:tc>
          <w:tcPr>
            <w:tcW w:w="6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Año</w:t>
            </w:r>
          </w:p>
        </w:tc>
        <w:tc>
          <w:tcPr>
            <w:tcW w:w="1068" w:type="dxa"/>
            <w:tcBorders>
              <w:top w:val="single" w:sz="4" w:space="0" w:color="auto"/>
              <w:left w:val="nil"/>
              <w:bottom w:val="single" w:sz="4" w:space="0" w:color="auto"/>
              <w:right w:val="single" w:sz="4" w:space="0" w:color="auto"/>
            </w:tcBorders>
            <w:shd w:val="clear" w:color="auto" w:fill="auto"/>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Producción nacional</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Exportaciones</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Oferta producción nacional</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Importación</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Venta de producción nacional</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Venta de vehículos importados</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Ventas totales</w:t>
            </w:r>
          </w:p>
        </w:tc>
      </w:tr>
      <w:tr w:rsidR="005A299A" w:rsidRPr="00EE4D50" w:rsidTr="007B53F9">
        <w:trPr>
          <w:trHeight w:val="364"/>
          <w:jc w:val="center"/>
        </w:trPr>
        <w:tc>
          <w:tcPr>
            <w:tcW w:w="649" w:type="dxa"/>
            <w:tcBorders>
              <w:top w:val="nil"/>
              <w:left w:val="single" w:sz="4" w:space="0" w:color="auto"/>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2003</w:t>
            </w:r>
          </w:p>
        </w:tc>
        <w:tc>
          <w:tcPr>
            <w:tcW w:w="106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31.201</w:t>
            </w:r>
          </w:p>
        </w:tc>
        <w:tc>
          <w:tcPr>
            <w:tcW w:w="141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8.574</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22.627</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30.956</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22.768</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35.327</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58.095</w:t>
            </w:r>
          </w:p>
        </w:tc>
      </w:tr>
      <w:tr w:rsidR="005A299A" w:rsidRPr="00EE4D50" w:rsidTr="007B53F9">
        <w:trPr>
          <w:trHeight w:val="364"/>
          <w:jc w:val="center"/>
        </w:trPr>
        <w:tc>
          <w:tcPr>
            <w:tcW w:w="649" w:type="dxa"/>
            <w:tcBorders>
              <w:top w:val="nil"/>
              <w:left w:val="single" w:sz="4" w:space="0" w:color="auto"/>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2004</w:t>
            </w:r>
          </w:p>
        </w:tc>
        <w:tc>
          <w:tcPr>
            <w:tcW w:w="106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31.085</w:t>
            </w:r>
          </w:p>
        </w:tc>
        <w:tc>
          <w:tcPr>
            <w:tcW w:w="141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9.308</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21.777</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38.248</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22.230</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36.921</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59.151</w:t>
            </w:r>
          </w:p>
        </w:tc>
      </w:tr>
      <w:tr w:rsidR="005A299A" w:rsidRPr="00EE4D50" w:rsidTr="007B53F9">
        <w:trPr>
          <w:trHeight w:val="364"/>
          <w:jc w:val="center"/>
        </w:trPr>
        <w:tc>
          <w:tcPr>
            <w:tcW w:w="649" w:type="dxa"/>
            <w:tcBorders>
              <w:top w:val="nil"/>
              <w:left w:val="single" w:sz="4" w:space="0" w:color="auto"/>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2005</w:t>
            </w:r>
          </w:p>
        </w:tc>
        <w:tc>
          <w:tcPr>
            <w:tcW w:w="106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43.393</w:t>
            </w:r>
          </w:p>
        </w:tc>
        <w:tc>
          <w:tcPr>
            <w:tcW w:w="141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13.481</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29.912</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55.310</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29.528</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50.882</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80.410</w:t>
            </w:r>
          </w:p>
        </w:tc>
      </w:tr>
      <w:tr w:rsidR="005A299A" w:rsidRPr="00EE4D50" w:rsidTr="007B53F9">
        <w:trPr>
          <w:trHeight w:val="364"/>
          <w:jc w:val="center"/>
        </w:trPr>
        <w:tc>
          <w:tcPr>
            <w:tcW w:w="649" w:type="dxa"/>
            <w:tcBorders>
              <w:top w:val="nil"/>
              <w:left w:val="single" w:sz="4" w:space="0" w:color="auto"/>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2006</w:t>
            </w:r>
          </w:p>
        </w:tc>
        <w:tc>
          <w:tcPr>
            <w:tcW w:w="106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51.763</w:t>
            </w:r>
          </w:p>
        </w:tc>
        <w:tc>
          <w:tcPr>
            <w:tcW w:w="141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20.283</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31.480</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57.476</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31.496</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58.062</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89.558</w:t>
            </w:r>
          </w:p>
        </w:tc>
      </w:tr>
      <w:tr w:rsidR="005A299A" w:rsidRPr="00EE4D50" w:rsidTr="007B53F9">
        <w:trPr>
          <w:trHeight w:val="364"/>
          <w:jc w:val="center"/>
        </w:trPr>
        <w:tc>
          <w:tcPr>
            <w:tcW w:w="649" w:type="dxa"/>
            <w:tcBorders>
              <w:top w:val="nil"/>
              <w:left w:val="single" w:sz="4" w:space="0" w:color="auto"/>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2007</w:t>
            </w:r>
          </w:p>
        </w:tc>
        <w:tc>
          <w:tcPr>
            <w:tcW w:w="106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59.290</w:t>
            </w:r>
          </w:p>
        </w:tc>
        <w:tc>
          <w:tcPr>
            <w:tcW w:w="141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25.916</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33.374</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54.104</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32.591</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59.187</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91.778</w:t>
            </w:r>
          </w:p>
        </w:tc>
      </w:tr>
      <w:tr w:rsidR="005A299A" w:rsidRPr="00EE4D50" w:rsidTr="007B53F9">
        <w:trPr>
          <w:trHeight w:val="364"/>
          <w:jc w:val="center"/>
        </w:trPr>
        <w:tc>
          <w:tcPr>
            <w:tcW w:w="649" w:type="dxa"/>
            <w:tcBorders>
              <w:top w:val="nil"/>
              <w:left w:val="single" w:sz="4" w:space="0" w:color="auto"/>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2008</w:t>
            </w:r>
          </w:p>
        </w:tc>
        <w:tc>
          <w:tcPr>
            <w:tcW w:w="106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71.210</w:t>
            </w:r>
          </w:p>
        </w:tc>
        <w:tc>
          <w:tcPr>
            <w:tcW w:w="141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22.774</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48.436</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70.322</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46.782</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65.902</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112.684</w:t>
            </w:r>
          </w:p>
        </w:tc>
      </w:tr>
      <w:tr w:rsidR="005A299A" w:rsidRPr="00EE4D50" w:rsidTr="007B53F9">
        <w:trPr>
          <w:trHeight w:val="364"/>
          <w:jc w:val="center"/>
        </w:trPr>
        <w:tc>
          <w:tcPr>
            <w:tcW w:w="649" w:type="dxa"/>
            <w:tcBorders>
              <w:top w:val="nil"/>
              <w:left w:val="single" w:sz="4" w:space="0" w:color="auto"/>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2009</w:t>
            </w:r>
          </w:p>
        </w:tc>
        <w:tc>
          <w:tcPr>
            <w:tcW w:w="106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55.561</w:t>
            </w:r>
          </w:p>
        </w:tc>
        <w:tc>
          <w:tcPr>
            <w:tcW w:w="141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13.844</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41.717</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40.649</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43.077</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49.687</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92.764</w:t>
            </w:r>
          </w:p>
        </w:tc>
      </w:tr>
      <w:tr w:rsidR="005A299A" w:rsidRPr="00EE4D50" w:rsidTr="007B53F9">
        <w:trPr>
          <w:trHeight w:val="364"/>
          <w:jc w:val="center"/>
        </w:trPr>
        <w:tc>
          <w:tcPr>
            <w:tcW w:w="649" w:type="dxa"/>
            <w:tcBorders>
              <w:top w:val="nil"/>
              <w:left w:val="single" w:sz="4" w:space="0" w:color="auto"/>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2010</w:t>
            </w:r>
          </w:p>
        </w:tc>
        <w:tc>
          <w:tcPr>
            <w:tcW w:w="106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76.252</w:t>
            </w:r>
          </w:p>
        </w:tc>
        <w:tc>
          <w:tcPr>
            <w:tcW w:w="141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19.736</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56.516</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79.685</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55.683</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76.489</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132.172</w:t>
            </w:r>
          </w:p>
        </w:tc>
      </w:tr>
    </w:tbl>
    <w:p w:rsidR="00BB07EF" w:rsidRPr="00EE4D50" w:rsidRDefault="00C44099" w:rsidP="00EC63DA">
      <w:pPr>
        <w:spacing w:after="0" w:line="240" w:lineRule="auto"/>
        <w:jc w:val="both"/>
        <w:rPr>
          <w:rFonts w:ascii="Verdana" w:hAnsi="Verdana" w:cs="Times New Roman"/>
          <w:sz w:val="20"/>
        </w:rPr>
      </w:pPr>
      <w:r>
        <w:rPr>
          <w:rFonts w:ascii="Verdana" w:hAnsi="Verdana" w:cs="Times New Roman"/>
          <w:sz w:val="20"/>
        </w:rPr>
        <w:t xml:space="preserve">   </w:t>
      </w:r>
      <w:r w:rsidR="00BB07EF" w:rsidRPr="00EE4D50">
        <w:rPr>
          <w:rFonts w:ascii="Verdana" w:hAnsi="Verdana" w:cs="Times New Roman"/>
          <w:sz w:val="20"/>
        </w:rPr>
        <w:t>Fuente: AEADE (2015)</w:t>
      </w:r>
    </w:p>
    <w:p w:rsidR="005A299A" w:rsidRPr="00EE4D50" w:rsidRDefault="00C44099" w:rsidP="00EC63DA">
      <w:pPr>
        <w:spacing w:after="60" w:line="240" w:lineRule="auto"/>
        <w:jc w:val="both"/>
        <w:rPr>
          <w:rFonts w:ascii="Verdana" w:hAnsi="Verdana" w:cs="Times New Roman"/>
          <w:sz w:val="20"/>
        </w:rPr>
      </w:pPr>
      <w:r>
        <w:rPr>
          <w:rFonts w:ascii="Verdana" w:hAnsi="Verdana" w:cs="Times New Roman"/>
          <w:sz w:val="20"/>
        </w:rPr>
        <w:t xml:space="preserve">   </w:t>
      </w:r>
      <w:r w:rsidR="005A299A" w:rsidRPr="00EE4D50">
        <w:rPr>
          <w:rFonts w:ascii="Verdana" w:hAnsi="Verdana" w:cs="Times New Roman"/>
          <w:sz w:val="20"/>
        </w:rPr>
        <w:t>Elaboración: Autora</w:t>
      </w:r>
    </w:p>
    <w:p w:rsidR="005A299A" w:rsidRPr="00EE4D50" w:rsidRDefault="005A299A" w:rsidP="00EC63DA">
      <w:pPr>
        <w:spacing w:after="60" w:line="240" w:lineRule="auto"/>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siguiente análisis se hace en base a los datos de la AEADE. Las ventas de vehículos importados disminuyeron ligeramente su participación en el total de ventas al pasar del 60,8% (35.327 unidades) en el año 2003 hasta descender al 57,9 % (76.489 unidades) en el año 2010, para beneficio de la producción nacional, cuya participación en las ventas subió de 39,2% al 42,1% durante esos años. Sin embargo, las unidades importadas aumentaron de manera sostenida, al pasar de 30.956 en el 2003 hasta 79.685 en el 2010, es decir un crecimiento del 157%, lo que confirma su liderazgo en la oferta total de vehículos (58,5% en el 2010) para los consumidores ecuatorianos. En promedio, las importaciones entre 2003 y 2010 crecieron un 12,5 % cada año. Según AEADE (2010</w:t>
      </w:r>
      <w:r w:rsidR="00F33635">
        <w:rPr>
          <w:rFonts w:ascii="Verdana" w:hAnsi="Verdana" w:cs="Times New Roman"/>
        </w:rPr>
        <w:t>: 4</w:t>
      </w:r>
      <w:r w:rsidRPr="00EE4D50">
        <w:rPr>
          <w:rFonts w:ascii="Verdana" w:hAnsi="Verdana" w:cs="Times New Roman"/>
        </w:rPr>
        <w:t>), los principales países que abastecieron vehículos al mercado ecuatoriano fueron Corea, Japón, Estados Unidos, Colombia y México.</w:t>
      </w:r>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Las unidades producidas en el país estuvieron entre 31.201 en el año 2003 y 76.252 en el año 2010, esto fue un crecimiento del 144,4%, teniendo en cuenta una caída en el 2009 al disminuir en 15.649 unidades respecto al año anterior que presentó la cifra de 71.210 vehículos. En el 2010, según segmento, los automóviles fueron los que más se fabricaron con el 35%, seguidos de las suv`s con el 32%, luego las camionetas con el 31% y las van`s con el 2%. La producción en ese último año (76.252 unidades) tuvo el liderazgo por parte de la ensambladora Omnibus BB que participó con el 71%, seguida por Aymesa con el 17% y Maresa con el 12%.</w:t>
      </w:r>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Cabe destacar que en los años 2006 y 2007 aumentó la oferta exportable con respecto a los años anteriores al sobrepasar las 30.000 unidades exportadas. La producción nacional exportó el 39,2% y 43,7% para dichos años. Las exportaciones de vehículos crecieron en un 130,2% entre 2003 y 2010, lo que </w:t>
      </w:r>
      <w:r w:rsidRPr="00EE4D50">
        <w:rPr>
          <w:rFonts w:ascii="Verdana" w:hAnsi="Verdana" w:cs="Times New Roman"/>
        </w:rPr>
        <w:lastRenderedPageBreak/>
        <w:t xml:space="preserve">representó un crecimiento promedio anual del 11%; teniendo en cuanta que hubo una caída en 2009 al reducirse en 8.930 unidades respecto al 2008 que presentó la cifra de  22.774 vehículos. </w:t>
      </w:r>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Al año 2010, se produjo localmente 76.252 vehículos, de los cuales 19.736 se destinaron a las exportaciones, y la diferencia de 56.516 unidades se destinaron para el mercado nacional más los 79.685 vehículos importados sumaron 136.201 vehículos disponible para la venta, y  de este valor 132.172 unidades se vendieron; lo que corresponde al 97%, la diferencia se destinó para el stock de los próximos años. La producción de 2010 tuvo el liderazgo por parte de la ensambladora Omnibus BB que participó con el 71%, seguida por Aymesa con el 17% y Maresa con el 12%. </w:t>
      </w:r>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El parque automotor ecuatoriano estuvo compuesto por 1.690.088 unidades, cuya edad promedio fue de 17,5 años en 2010. Y Las marcas más vendidas fueron: Chevrolet con el 40,4%, Hyundai 13,04%, Kia 8,25%, Nissan 7,12%, Toyota 6,6%, Mazda 6,5%, </w:t>
      </w:r>
      <w:r w:rsidR="00337B4C" w:rsidRPr="00EE4D50">
        <w:rPr>
          <w:rFonts w:ascii="Verdana" w:hAnsi="Verdana" w:cs="Times New Roman"/>
        </w:rPr>
        <w:t>Renault</w:t>
      </w:r>
      <w:r w:rsidR="00A02E7C">
        <w:rPr>
          <w:rFonts w:ascii="Verdana" w:hAnsi="Verdana" w:cs="Times New Roman"/>
        </w:rPr>
        <w:t xml:space="preserve"> 3,79% y Ford 3,09% (AEADE, 2010</w:t>
      </w:r>
      <w:r w:rsidR="001E6672">
        <w:rPr>
          <w:rFonts w:ascii="Verdana" w:hAnsi="Verdana" w:cs="Times New Roman"/>
        </w:rPr>
        <w:t>: 44</w:t>
      </w:r>
      <w:r w:rsidRPr="00EE4D50">
        <w:rPr>
          <w:rFonts w:ascii="Verdana" w:hAnsi="Verdana" w:cs="Times New Roman"/>
        </w:rPr>
        <w:t>).</w:t>
      </w:r>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Finalmente, el 2010 fue un año récord porque se comercializaron más de 125.000 unidades. Ese año tuvo una novedad: un comprador con mayor promedio de inversión (USD 20.000) y hubo interés por los autos híbridos (desde los USD 35.000 hasta USD 100.000). Se fortaleció las actividades autopartistas y ensambladoras, ya que el 14,9% de las partes de un vehículo ensamblado debió ser fabricado localmente (Ekos, 2011</w:t>
      </w:r>
      <w:r w:rsidR="001E6672">
        <w:rPr>
          <w:rFonts w:ascii="Verdana" w:hAnsi="Verdana" w:cs="Times New Roman"/>
        </w:rPr>
        <w:t>: 70</w:t>
      </w:r>
      <w:r w:rsidRPr="00EE4D50">
        <w:rPr>
          <w:rFonts w:ascii="Verdana" w:hAnsi="Verdana" w:cs="Times New Roman"/>
        </w:rPr>
        <w:t>).</w:t>
      </w:r>
    </w:p>
    <w:p w:rsidR="00BB07EF" w:rsidRPr="00EE4D50" w:rsidRDefault="00BB07EF" w:rsidP="00EC63DA">
      <w:pPr>
        <w:spacing w:after="60"/>
        <w:jc w:val="both"/>
        <w:rPr>
          <w:rFonts w:ascii="Verdana" w:hAnsi="Verdana" w:cs="Times New Roman"/>
          <w:b/>
        </w:rPr>
      </w:pPr>
    </w:p>
    <w:p w:rsidR="00BB07EF" w:rsidRPr="00EE4D50" w:rsidRDefault="00BB07EF" w:rsidP="00EC63DA">
      <w:pPr>
        <w:pStyle w:val="Ttulo3"/>
        <w:rPr>
          <w:rFonts w:ascii="Verdana" w:hAnsi="Verdana" w:cs="Times New Roman"/>
          <w:i/>
          <w:color w:val="auto"/>
          <w:sz w:val="28"/>
          <w:szCs w:val="28"/>
        </w:rPr>
      </w:pPr>
      <w:bookmarkStart w:id="70" w:name="_Toc485137214"/>
      <w:r w:rsidRPr="00EE4D50">
        <w:rPr>
          <w:rFonts w:ascii="Verdana" w:hAnsi="Verdana" w:cs="Times New Roman"/>
          <w:i/>
          <w:color w:val="auto"/>
          <w:sz w:val="28"/>
          <w:szCs w:val="28"/>
        </w:rPr>
        <w:t>Periodo 2011-2015</w:t>
      </w:r>
      <w:bookmarkEnd w:id="70"/>
    </w:p>
    <w:p w:rsidR="00FD4AB4" w:rsidRPr="00EE4D50" w:rsidRDefault="00FD4AB4" w:rsidP="00EC63DA">
      <w:pPr>
        <w:spacing w:after="60"/>
        <w:jc w:val="both"/>
        <w:rPr>
          <w:rFonts w:ascii="Verdana" w:hAnsi="Verdana" w:cs="Times New Roman"/>
        </w:rPr>
      </w:pPr>
    </w:p>
    <w:p w:rsidR="00BB07EF" w:rsidRPr="00EE4D50" w:rsidRDefault="00BB07EF" w:rsidP="00EC63DA">
      <w:pPr>
        <w:jc w:val="both"/>
        <w:rPr>
          <w:rFonts w:ascii="Verdana" w:hAnsi="Verdana" w:cs="Times New Roman"/>
        </w:rPr>
      </w:pPr>
      <w:r w:rsidRPr="00EE4D50">
        <w:rPr>
          <w:rFonts w:ascii="Verdana" w:hAnsi="Verdana" w:cs="Times New Roman"/>
        </w:rPr>
        <w:t>El crecimiento de la economía ecuatoriana para el año 2011 de acuerdo al Banco Central del Ecuador ascendió al 6,5%, y a pesar de las dificultades que se presentó para el sector automotriz, la comercialización de vehículos en el mercado nacional tuvo un desenvolvimiento cercano al de la economía registrando un crecimiento en unidades del 5,8% con relación al año 2010.</w:t>
      </w:r>
    </w:p>
    <w:p w:rsidR="009B02A6" w:rsidRPr="00EE4D50" w:rsidRDefault="009B02A6" w:rsidP="00EC63DA">
      <w:pPr>
        <w:pStyle w:val="Ttulo2"/>
        <w:rPr>
          <w:rFonts w:cs="Times New Roman"/>
        </w:rPr>
      </w:pPr>
    </w:p>
    <w:p w:rsidR="009B02A6" w:rsidRPr="00EE4D50" w:rsidRDefault="009B02A6" w:rsidP="00EC63DA">
      <w:pPr>
        <w:rPr>
          <w:rFonts w:ascii="Verdana" w:hAnsi="Verdana" w:cs="Times New Roman"/>
        </w:rPr>
      </w:pPr>
    </w:p>
    <w:p w:rsidR="009B02A6" w:rsidRPr="00EE4D50" w:rsidRDefault="009B02A6" w:rsidP="00EC63DA">
      <w:pPr>
        <w:rPr>
          <w:rFonts w:ascii="Verdana" w:hAnsi="Verdana" w:cs="Times New Roman"/>
        </w:rPr>
      </w:pPr>
    </w:p>
    <w:p w:rsidR="00261705" w:rsidRDefault="00261705" w:rsidP="00EC63DA">
      <w:pPr>
        <w:rPr>
          <w:rFonts w:ascii="Verdana" w:hAnsi="Verdana" w:cs="Times New Roman"/>
        </w:rPr>
      </w:pPr>
    </w:p>
    <w:p w:rsidR="007A782B" w:rsidRPr="00EE4D50" w:rsidRDefault="007A782B" w:rsidP="00EC63DA">
      <w:pPr>
        <w:rPr>
          <w:rFonts w:ascii="Verdana" w:hAnsi="Verdana" w:cs="Times New Roman"/>
        </w:rPr>
      </w:pPr>
    </w:p>
    <w:p w:rsidR="00261705" w:rsidRPr="00EE4D50" w:rsidRDefault="00261705" w:rsidP="00EC63DA">
      <w:pPr>
        <w:rPr>
          <w:rFonts w:ascii="Verdana" w:hAnsi="Verdana" w:cs="Times New Roman"/>
        </w:rPr>
      </w:pPr>
    </w:p>
    <w:p w:rsidR="005A299A" w:rsidRPr="00EE4D50" w:rsidRDefault="00BB07EF" w:rsidP="00EC63DA">
      <w:pPr>
        <w:pStyle w:val="Ttulo2"/>
        <w:rPr>
          <w:rFonts w:cs="Times New Roman"/>
        </w:rPr>
      </w:pPr>
      <w:bookmarkStart w:id="71" w:name="_Toc485137215"/>
      <w:r w:rsidRPr="00EE4D50">
        <w:rPr>
          <w:rFonts w:cs="Times New Roman"/>
        </w:rPr>
        <w:lastRenderedPageBreak/>
        <w:t>Producción de vehículos</w:t>
      </w:r>
      <w:bookmarkEnd w:id="71"/>
    </w:p>
    <w:p w:rsidR="001052DA" w:rsidRPr="00EE4D50" w:rsidRDefault="001052DA" w:rsidP="00EC63DA">
      <w:pPr>
        <w:spacing w:after="60"/>
        <w:jc w:val="both"/>
        <w:rPr>
          <w:rFonts w:ascii="Verdana" w:hAnsi="Verdana" w:cs="Times New Roman"/>
          <w:lang w:val="es-MX"/>
        </w:rPr>
      </w:pPr>
    </w:p>
    <w:p w:rsidR="00BB07EF" w:rsidRPr="00EE4D50" w:rsidRDefault="001052DA" w:rsidP="00EC63DA">
      <w:pPr>
        <w:pStyle w:val="Epgrafe"/>
        <w:spacing w:after="0"/>
        <w:jc w:val="center"/>
        <w:rPr>
          <w:rFonts w:ascii="Verdana" w:hAnsi="Verdana" w:cs="Times New Roman"/>
          <w:b w:val="0"/>
          <w:color w:val="auto"/>
          <w:sz w:val="20"/>
          <w:szCs w:val="20"/>
        </w:rPr>
      </w:pPr>
      <w:bookmarkStart w:id="72" w:name="_Toc473640082"/>
      <w:r w:rsidRPr="00EE4D50">
        <w:rPr>
          <w:rFonts w:ascii="Verdana" w:hAnsi="Verdana" w:cs="Times New Roman"/>
          <w:color w:val="auto"/>
          <w:sz w:val="20"/>
          <w:szCs w:val="20"/>
        </w:rPr>
        <w:t xml:space="preserve">Gráfico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Gráfico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6</w:t>
      </w:r>
      <w:r w:rsidRPr="00EE4D50">
        <w:rPr>
          <w:rFonts w:ascii="Verdana" w:hAnsi="Verdana" w:cs="Times New Roman"/>
          <w:color w:val="auto"/>
          <w:sz w:val="20"/>
          <w:szCs w:val="20"/>
        </w:rPr>
        <w:fldChar w:fldCharType="end"/>
      </w:r>
      <w:r w:rsidR="007B53F9" w:rsidRPr="00EE4D50">
        <w:rPr>
          <w:rFonts w:ascii="Verdana" w:hAnsi="Verdana" w:cs="Times New Roman"/>
          <w:b w:val="0"/>
          <w:color w:val="auto"/>
          <w:sz w:val="20"/>
          <w:szCs w:val="20"/>
        </w:rPr>
        <w:t xml:space="preserve">: </w:t>
      </w:r>
      <w:r w:rsidR="00BB07EF" w:rsidRPr="00EE4D50">
        <w:rPr>
          <w:rFonts w:ascii="Verdana" w:hAnsi="Verdana" w:cs="Times New Roman"/>
          <w:b w:val="0"/>
          <w:color w:val="auto"/>
          <w:sz w:val="20"/>
          <w:szCs w:val="20"/>
        </w:rPr>
        <w:t>Producción anual de vehículos por ensambladora (en unidades)</w:t>
      </w:r>
      <w:bookmarkEnd w:id="72"/>
    </w:p>
    <w:p w:rsidR="00BB07EF" w:rsidRPr="00EE4D50" w:rsidRDefault="00BB07EF" w:rsidP="00EC63DA">
      <w:pPr>
        <w:spacing w:after="0" w:line="240" w:lineRule="auto"/>
        <w:jc w:val="center"/>
        <w:rPr>
          <w:rFonts w:ascii="Verdana" w:hAnsi="Verdana" w:cs="Times New Roman"/>
        </w:rPr>
      </w:pPr>
      <w:r w:rsidRPr="00EE4D50">
        <w:rPr>
          <w:rFonts w:ascii="Verdana" w:hAnsi="Verdana" w:cs="Times New Roman"/>
          <w:noProof/>
          <w:lang w:eastAsia="es-EC"/>
        </w:rPr>
        <w:drawing>
          <wp:inline distT="0" distB="0" distL="0" distR="0" wp14:anchorId="504B7F1F" wp14:editId="7B58A6F8">
            <wp:extent cx="5612130" cy="3209290"/>
            <wp:effectExtent l="0" t="0" r="26670" b="1016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370BDA" w:rsidRPr="00EE4D50" w:rsidRDefault="00C44099" w:rsidP="00EC63DA">
      <w:pPr>
        <w:spacing w:after="0" w:line="240" w:lineRule="auto"/>
        <w:jc w:val="both"/>
        <w:rPr>
          <w:rFonts w:ascii="Verdana" w:hAnsi="Verdana" w:cs="Times New Roman"/>
          <w:sz w:val="20"/>
        </w:rPr>
      </w:pPr>
      <w:r>
        <w:rPr>
          <w:rFonts w:ascii="Verdana" w:hAnsi="Verdana" w:cs="Times New Roman"/>
          <w:sz w:val="20"/>
        </w:rPr>
        <w:t xml:space="preserve"> </w:t>
      </w:r>
      <w:r w:rsidR="00370BDA" w:rsidRPr="00EE4D50">
        <w:rPr>
          <w:rFonts w:ascii="Verdana" w:hAnsi="Verdana" w:cs="Times New Roman"/>
          <w:sz w:val="20"/>
        </w:rPr>
        <w:t>Fuente: AEADE (2015)</w:t>
      </w:r>
    </w:p>
    <w:p w:rsidR="00370BDA" w:rsidRPr="00EE4D50" w:rsidRDefault="00C44099" w:rsidP="00EC63DA">
      <w:pPr>
        <w:spacing w:after="0" w:line="240" w:lineRule="auto"/>
        <w:jc w:val="both"/>
        <w:rPr>
          <w:rFonts w:ascii="Verdana" w:hAnsi="Verdana" w:cs="Times New Roman"/>
          <w:sz w:val="20"/>
        </w:rPr>
      </w:pPr>
      <w:r>
        <w:rPr>
          <w:rFonts w:ascii="Verdana" w:hAnsi="Verdana" w:cs="Times New Roman"/>
          <w:sz w:val="20"/>
        </w:rPr>
        <w:t xml:space="preserve"> </w:t>
      </w:r>
      <w:r w:rsidR="00370BDA" w:rsidRPr="00EE4D50">
        <w:rPr>
          <w:rFonts w:ascii="Verdana" w:hAnsi="Verdana" w:cs="Times New Roman"/>
          <w:sz w:val="20"/>
        </w:rPr>
        <w:t>Elaboración: Autora</w:t>
      </w:r>
    </w:p>
    <w:p w:rsidR="005A299A" w:rsidRPr="00EE4D50" w:rsidRDefault="005A299A" w:rsidP="00EC63DA">
      <w:pPr>
        <w:jc w:val="center"/>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Entre los años 2010 y 2012 la industria automotriz tuvo importantes niveles de producción, pero a partir de 2013 la tendencia cambió. Los vehículos producidos en el país estuvieron entre 75.722 en el año 2011 y 50.732 en el año 2015, lo cual fue un decrecimiento del -33%, teniendo en cuenta un aumento en el 2012 por 3.894 unidades con respecto al año anterior. Después de 2012, la producción decreció en promedio -10,7% cada año.</w:t>
      </w:r>
    </w:p>
    <w:p w:rsidR="00FD4AB4" w:rsidRPr="00EE4D50" w:rsidRDefault="00FD4AB4" w:rsidP="00EC63DA">
      <w:pPr>
        <w:spacing w:after="60"/>
        <w:jc w:val="both"/>
        <w:rPr>
          <w:rFonts w:ascii="Verdana" w:hAnsi="Verdana" w:cs="Times New Roman"/>
          <w:b/>
        </w:rPr>
      </w:pPr>
    </w:p>
    <w:p w:rsidR="00BB07EF" w:rsidRPr="00EE4D50" w:rsidRDefault="00BB07EF" w:rsidP="00EC63DA">
      <w:pPr>
        <w:spacing w:after="60"/>
        <w:jc w:val="both"/>
        <w:rPr>
          <w:rFonts w:ascii="Verdana" w:hAnsi="Verdana" w:cs="Times New Roman"/>
        </w:rPr>
      </w:pPr>
      <w:r w:rsidRPr="00EE4D50">
        <w:rPr>
          <w:rFonts w:ascii="Verdana" w:hAnsi="Verdana" w:cs="Times New Roman"/>
        </w:rPr>
        <w:t>Del total de unidades producidas por las ensambladoras en el año 2011, la empresa Omnibus BB fue la que más unidades fabricó con 53.705 unidades (71%), luego Aymesa fabricó 13.888 unidades (18%) y Maresa fabricó 8.129 unidades (11%). Después en el 2012 la producción total fue de 79.616 vehículos, lo cual fue un crecimiento del 5% con respecto al año anterior. Omnibus BB disminuyó su producción al 67%, Aymesa subió su participación al 21% y Maresa participó con el 12%.</w:t>
      </w:r>
    </w:p>
    <w:p w:rsidR="00FD4AB4" w:rsidRPr="00EE4D50" w:rsidRDefault="00FD4AB4" w:rsidP="00EC63DA">
      <w:pPr>
        <w:spacing w:after="60"/>
        <w:jc w:val="both"/>
        <w:rPr>
          <w:rFonts w:ascii="Verdana" w:hAnsi="Verdana" w:cs="Times New Roman"/>
        </w:rPr>
      </w:pPr>
    </w:p>
    <w:p w:rsidR="00261705" w:rsidRPr="00EE4D50" w:rsidRDefault="00BB07EF" w:rsidP="00EC63DA">
      <w:pPr>
        <w:spacing w:after="60"/>
        <w:jc w:val="both"/>
        <w:rPr>
          <w:rFonts w:ascii="Verdana" w:hAnsi="Verdana" w:cs="Times New Roman"/>
        </w:rPr>
      </w:pPr>
      <w:r w:rsidRPr="00EE4D50">
        <w:rPr>
          <w:rFonts w:ascii="Verdana" w:hAnsi="Verdana" w:cs="Times New Roman"/>
        </w:rPr>
        <w:t>El año 2013 trajo dos novedades: la producción de vehículos disminuyó a 66.844 unidades, un decrecimiento significativo del -16% con respecto al año anterior. También entró al mercado la ensambladora Ciauto que produjo la modesta cantidad de 745 unidades (1,1% del total), mientras que Omnibus BB disminuyó en una buena cantidad su producción a 44.494 unidades (cantidad a penas mayor que la del año 2009 que fue de 42.149).</w:t>
      </w:r>
    </w:p>
    <w:p w:rsidR="00BB07EF" w:rsidRPr="00EE4D50" w:rsidRDefault="00BB07EF" w:rsidP="00EC63DA">
      <w:pPr>
        <w:spacing w:after="60"/>
        <w:jc w:val="both"/>
        <w:rPr>
          <w:rFonts w:ascii="Verdana" w:hAnsi="Verdana" w:cs="Times New Roman"/>
        </w:rPr>
      </w:pPr>
      <w:r w:rsidRPr="00EE4D50">
        <w:rPr>
          <w:rFonts w:ascii="Verdana" w:hAnsi="Verdana" w:cs="Times New Roman"/>
        </w:rPr>
        <w:lastRenderedPageBreak/>
        <w:t xml:space="preserve">En el año 2014 con respecto al 2013 la producción de las ensambladoras Aymesa y Maresa decreció significativamente en -28,7% y -19,9% respectivamente. Mientras que las ensambladoras Ciauto y Omnibus BB aumentaron su producción en 58,8% y 4,8% respectivamente. En total las cuatro ensambladoras fabricaron 63.872 unidades, lo que significó un decremento de la producción total del -4,4%. </w:t>
      </w:r>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En 2015, Ciauto aumentó su participación en la producción nacional con respecto al 2013 al 3,6%. Mientras que las actividades de las ensambladoras con respecto al 2011 fue: Aymesa redujo su participación al 13,1%, Maresa se mantuvo en 11,2% y Omnibus BB aumentó ligeramente al 72,1%. En total, la industria produjo 50.732 automotores ensamblados. Es decir, hubo una caída del -20,6% de la producción con respecto al 2014.</w:t>
      </w:r>
    </w:p>
    <w:p w:rsidR="00FD4AB4" w:rsidRPr="00EE4D50" w:rsidRDefault="00FD4AB4" w:rsidP="00EC63DA">
      <w:pPr>
        <w:spacing w:after="60"/>
        <w:jc w:val="both"/>
        <w:rPr>
          <w:rFonts w:ascii="Verdana" w:hAnsi="Verdana" w:cs="Times New Roman"/>
        </w:rPr>
      </w:pPr>
    </w:p>
    <w:p w:rsidR="009B02A6" w:rsidRPr="00EE4D50" w:rsidRDefault="00BB07EF" w:rsidP="00EC63DA">
      <w:pPr>
        <w:jc w:val="both"/>
        <w:rPr>
          <w:rFonts w:ascii="Verdana" w:hAnsi="Verdana" w:cs="Times New Roman"/>
        </w:rPr>
      </w:pPr>
      <w:r w:rsidRPr="00EE4D50">
        <w:rPr>
          <w:rFonts w:ascii="Verdana" w:hAnsi="Verdana" w:cs="Times New Roman"/>
        </w:rPr>
        <w:t>Según Líderes (2016), “la recesión del 2015 se dio por problemas de oferta generado por los cupos a las importaciones que impuso el gobierno”. En la producción nacional “muchas de las partes si no la mayoría son importadas para su ensamblaje en el país, si las partes involucradas tienen restricciones de importación, pues también existe una afectación al sector manufacturero automotriz” (B</w:t>
      </w:r>
      <w:r w:rsidR="00261705" w:rsidRPr="00EE4D50">
        <w:rPr>
          <w:rFonts w:ascii="Verdana" w:hAnsi="Verdana" w:cs="Times New Roman"/>
        </w:rPr>
        <w:t>usiness Cost Management, 2016).</w:t>
      </w:r>
    </w:p>
    <w:p w:rsidR="009B02A6" w:rsidRPr="00EE4D50" w:rsidRDefault="009B02A6" w:rsidP="00EC63DA">
      <w:pPr>
        <w:jc w:val="both"/>
        <w:rPr>
          <w:rFonts w:ascii="Verdana" w:hAnsi="Verdana" w:cs="Times New Roman"/>
          <w:b/>
        </w:rPr>
      </w:pPr>
    </w:p>
    <w:p w:rsidR="009B02A6" w:rsidRPr="00EE4D50" w:rsidRDefault="009B02A6" w:rsidP="00EC63DA">
      <w:pPr>
        <w:jc w:val="both"/>
        <w:rPr>
          <w:rFonts w:ascii="Verdana" w:hAnsi="Verdana" w:cs="Times New Roman"/>
          <w:b/>
        </w:rPr>
      </w:pPr>
    </w:p>
    <w:p w:rsidR="009B02A6" w:rsidRPr="00EE4D50" w:rsidRDefault="009B02A6" w:rsidP="00EC63DA">
      <w:pPr>
        <w:jc w:val="both"/>
        <w:rPr>
          <w:rFonts w:ascii="Verdana" w:hAnsi="Verdana" w:cs="Times New Roman"/>
          <w:b/>
        </w:rPr>
      </w:pPr>
    </w:p>
    <w:p w:rsidR="00261705" w:rsidRPr="00EE4D50" w:rsidRDefault="00261705" w:rsidP="00EC63DA">
      <w:pPr>
        <w:jc w:val="both"/>
        <w:rPr>
          <w:rFonts w:ascii="Verdana" w:hAnsi="Verdana" w:cs="Times New Roman"/>
          <w:b/>
        </w:rPr>
      </w:pPr>
    </w:p>
    <w:p w:rsidR="00261705" w:rsidRPr="00EE4D50" w:rsidRDefault="00261705" w:rsidP="00EC63DA">
      <w:pPr>
        <w:jc w:val="both"/>
        <w:rPr>
          <w:rFonts w:ascii="Verdana" w:hAnsi="Verdana" w:cs="Times New Roman"/>
          <w:b/>
        </w:rPr>
      </w:pPr>
    </w:p>
    <w:p w:rsidR="00261705" w:rsidRPr="00EE4D50" w:rsidRDefault="00261705" w:rsidP="00EC63DA">
      <w:pPr>
        <w:jc w:val="both"/>
        <w:rPr>
          <w:rFonts w:ascii="Verdana" w:hAnsi="Verdana" w:cs="Times New Roman"/>
          <w:b/>
        </w:rPr>
      </w:pPr>
    </w:p>
    <w:p w:rsidR="00261705" w:rsidRPr="00EE4D50" w:rsidRDefault="00261705" w:rsidP="00EC63DA">
      <w:pPr>
        <w:jc w:val="both"/>
        <w:rPr>
          <w:rFonts w:ascii="Verdana" w:hAnsi="Verdana" w:cs="Times New Roman"/>
          <w:b/>
        </w:rPr>
      </w:pPr>
    </w:p>
    <w:p w:rsidR="00261705" w:rsidRPr="00EE4D50" w:rsidRDefault="00261705" w:rsidP="00EC63DA">
      <w:pPr>
        <w:jc w:val="both"/>
        <w:rPr>
          <w:rFonts w:ascii="Verdana" w:hAnsi="Verdana" w:cs="Times New Roman"/>
          <w:b/>
        </w:rPr>
      </w:pPr>
    </w:p>
    <w:p w:rsidR="00261705" w:rsidRPr="00EE4D50" w:rsidRDefault="00261705" w:rsidP="00EC63DA">
      <w:pPr>
        <w:jc w:val="both"/>
        <w:rPr>
          <w:rFonts w:ascii="Verdana" w:hAnsi="Verdana" w:cs="Times New Roman"/>
          <w:b/>
        </w:rPr>
      </w:pPr>
    </w:p>
    <w:p w:rsidR="00261705" w:rsidRPr="00EE4D50" w:rsidRDefault="00261705" w:rsidP="00EC63DA">
      <w:pPr>
        <w:jc w:val="both"/>
        <w:rPr>
          <w:rFonts w:ascii="Verdana" w:hAnsi="Verdana" w:cs="Times New Roman"/>
          <w:b/>
        </w:rPr>
      </w:pPr>
    </w:p>
    <w:p w:rsidR="00261705" w:rsidRPr="00EE4D50" w:rsidRDefault="00261705" w:rsidP="00EC63DA">
      <w:pPr>
        <w:jc w:val="both"/>
        <w:rPr>
          <w:rFonts w:ascii="Verdana" w:hAnsi="Verdana" w:cs="Times New Roman"/>
          <w:b/>
        </w:rPr>
      </w:pPr>
    </w:p>
    <w:p w:rsidR="00261705" w:rsidRPr="00EE4D50" w:rsidRDefault="00261705" w:rsidP="00EC63DA">
      <w:pPr>
        <w:jc w:val="both"/>
        <w:rPr>
          <w:rFonts w:ascii="Verdana" w:hAnsi="Verdana" w:cs="Times New Roman"/>
          <w:b/>
        </w:rPr>
      </w:pPr>
    </w:p>
    <w:p w:rsidR="00261705" w:rsidRPr="00EE4D50" w:rsidRDefault="00261705" w:rsidP="00EC63DA">
      <w:pPr>
        <w:jc w:val="both"/>
        <w:rPr>
          <w:rFonts w:ascii="Verdana" w:hAnsi="Verdana" w:cs="Times New Roman"/>
          <w:b/>
        </w:rPr>
      </w:pPr>
    </w:p>
    <w:p w:rsidR="00261705" w:rsidRPr="00EE4D50" w:rsidRDefault="00261705" w:rsidP="00EC63DA">
      <w:pPr>
        <w:jc w:val="both"/>
        <w:rPr>
          <w:rFonts w:ascii="Verdana" w:hAnsi="Verdana" w:cs="Times New Roman"/>
          <w:b/>
        </w:rPr>
      </w:pPr>
    </w:p>
    <w:p w:rsidR="00261705" w:rsidRPr="00EE4D50" w:rsidRDefault="00261705" w:rsidP="00EC63DA">
      <w:pPr>
        <w:jc w:val="both"/>
        <w:rPr>
          <w:rFonts w:ascii="Verdana" w:hAnsi="Verdana" w:cs="Times New Roman"/>
        </w:rPr>
      </w:pPr>
    </w:p>
    <w:p w:rsidR="00BB07EF" w:rsidRPr="00EE4D50" w:rsidRDefault="001052DA" w:rsidP="00EC63DA">
      <w:pPr>
        <w:pStyle w:val="Epgrafe"/>
        <w:spacing w:after="0"/>
        <w:jc w:val="center"/>
        <w:rPr>
          <w:rFonts w:ascii="Verdana" w:hAnsi="Verdana" w:cs="Times New Roman"/>
          <w:b w:val="0"/>
          <w:color w:val="auto"/>
          <w:sz w:val="20"/>
          <w:szCs w:val="20"/>
        </w:rPr>
      </w:pPr>
      <w:bookmarkStart w:id="73" w:name="_Toc473640123"/>
      <w:r w:rsidRPr="00EE4D50">
        <w:rPr>
          <w:rFonts w:ascii="Verdana" w:hAnsi="Verdana" w:cs="Times New Roman"/>
          <w:color w:val="auto"/>
          <w:sz w:val="20"/>
          <w:szCs w:val="20"/>
        </w:rPr>
        <w:lastRenderedPageBreak/>
        <w:t xml:space="preserve">Tabla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Tabla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8</w:t>
      </w:r>
      <w:r w:rsidRPr="00EE4D50">
        <w:rPr>
          <w:rFonts w:ascii="Verdana" w:hAnsi="Verdana" w:cs="Times New Roman"/>
          <w:color w:val="auto"/>
          <w:sz w:val="20"/>
          <w:szCs w:val="20"/>
        </w:rPr>
        <w:fldChar w:fldCharType="end"/>
      </w:r>
      <w:r w:rsidR="007B53F9" w:rsidRPr="00EE4D50">
        <w:rPr>
          <w:rFonts w:ascii="Verdana" w:hAnsi="Verdana" w:cs="Times New Roman"/>
          <w:b w:val="0"/>
          <w:color w:val="auto"/>
          <w:sz w:val="20"/>
          <w:szCs w:val="20"/>
        </w:rPr>
        <w:t xml:space="preserve">: </w:t>
      </w:r>
      <w:r w:rsidR="00BB07EF" w:rsidRPr="00EE4D50">
        <w:rPr>
          <w:rFonts w:ascii="Verdana" w:hAnsi="Verdana" w:cs="Times New Roman"/>
          <w:b w:val="0"/>
          <w:color w:val="auto"/>
          <w:sz w:val="20"/>
          <w:szCs w:val="20"/>
        </w:rPr>
        <w:t>Producción de vehículos por ensambladora y segmento (en unidades)</w:t>
      </w:r>
      <w:bookmarkEnd w:id="73"/>
    </w:p>
    <w:tbl>
      <w:tblPr>
        <w:tblW w:w="8663" w:type="dxa"/>
        <w:jc w:val="center"/>
        <w:tblInd w:w="55" w:type="dxa"/>
        <w:tblCellMar>
          <w:left w:w="70" w:type="dxa"/>
          <w:right w:w="70" w:type="dxa"/>
        </w:tblCellMar>
        <w:tblLook w:val="04A0" w:firstRow="1" w:lastRow="0" w:firstColumn="1" w:lastColumn="0" w:noHBand="0" w:noVBand="1"/>
      </w:tblPr>
      <w:tblGrid>
        <w:gridCol w:w="651"/>
        <w:gridCol w:w="1778"/>
        <w:gridCol w:w="1698"/>
        <w:gridCol w:w="1559"/>
        <w:gridCol w:w="851"/>
        <w:gridCol w:w="850"/>
        <w:gridCol w:w="1276"/>
      </w:tblGrid>
      <w:tr w:rsidR="00370BDA" w:rsidRPr="00250095" w:rsidTr="007B53F9">
        <w:trPr>
          <w:trHeight w:val="347"/>
          <w:jc w:val="center"/>
        </w:trPr>
        <w:tc>
          <w:tcPr>
            <w:tcW w:w="6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Año</w:t>
            </w:r>
          </w:p>
        </w:tc>
        <w:tc>
          <w:tcPr>
            <w:tcW w:w="1778" w:type="dxa"/>
            <w:tcBorders>
              <w:top w:val="single" w:sz="4" w:space="0" w:color="auto"/>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Ensambladoras</w:t>
            </w:r>
          </w:p>
        </w:tc>
        <w:tc>
          <w:tcPr>
            <w:tcW w:w="1698" w:type="dxa"/>
            <w:tcBorders>
              <w:top w:val="single" w:sz="4" w:space="0" w:color="auto"/>
              <w:left w:val="nil"/>
              <w:bottom w:val="single" w:sz="4" w:space="0" w:color="auto"/>
              <w:right w:val="single" w:sz="4" w:space="0" w:color="auto"/>
            </w:tcBorders>
            <w:shd w:val="clear" w:color="auto" w:fill="auto"/>
            <w:noWrap/>
            <w:vAlign w:val="center"/>
            <w:hideMark/>
          </w:tcPr>
          <w:p w:rsidR="00BB07EF" w:rsidRPr="00250095" w:rsidRDefault="006516D0"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Automóviles</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C</w:t>
            </w:r>
            <w:r w:rsidR="006516D0" w:rsidRPr="00250095">
              <w:rPr>
                <w:rFonts w:ascii="Verdana" w:eastAsia="Times New Roman" w:hAnsi="Verdana" w:cs="Times New Roman"/>
                <w:b/>
                <w:bCs/>
                <w:color w:val="000000"/>
                <w:sz w:val="16"/>
                <w:szCs w:val="16"/>
                <w:lang w:val="es-ES" w:eastAsia="es-ES"/>
              </w:rPr>
              <w:t>amionetas</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S</w:t>
            </w:r>
            <w:r w:rsidR="006516D0" w:rsidRPr="00250095">
              <w:rPr>
                <w:rFonts w:ascii="Verdana" w:eastAsia="Times New Roman" w:hAnsi="Verdana" w:cs="Times New Roman"/>
                <w:b/>
                <w:bCs/>
                <w:color w:val="000000"/>
                <w:sz w:val="16"/>
                <w:szCs w:val="16"/>
                <w:lang w:val="es-ES" w:eastAsia="es-ES"/>
              </w:rPr>
              <w:t>uv´s</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V</w:t>
            </w:r>
            <w:r w:rsidR="006516D0" w:rsidRPr="00250095">
              <w:rPr>
                <w:rFonts w:ascii="Verdana" w:eastAsia="Times New Roman" w:hAnsi="Verdana" w:cs="Times New Roman"/>
                <w:b/>
                <w:bCs/>
                <w:color w:val="000000"/>
                <w:sz w:val="16"/>
                <w:szCs w:val="16"/>
                <w:lang w:val="es-ES" w:eastAsia="es-ES"/>
              </w:rPr>
              <w:t>an´s</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Total general</w:t>
            </w:r>
          </w:p>
        </w:tc>
      </w:tr>
      <w:tr w:rsidR="00370BDA" w:rsidRPr="00250095" w:rsidTr="007B53F9">
        <w:trPr>
          <w:trHeight w:val="347"/>
          <w:jc w:val="center"/>
        </w:trPr>
        <w:tc>
          <w:tcPr>
            <w:tcW w:w="65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2011</w:t>
            </w:r>
          </w:p>
        </w:tc>
        <w:tc>
          <w:tcPr>
            <w:tcW w:w="177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AYMESA</w:t>
            </w:r>
          </w:p>
        </w:tc>
        <w:tc>
          <w:tcPr>
            <w:tcW w:w="169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4.399</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6.860</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2.629</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13.888</w:t>
            </w:r>
          </w:p>
        </w:tc>
      </w:tr>
      <w:tr w:rsidR="00370BDA" w:rsidRPr="00250095" w:rsidTr="007B53F9">
        <w:trPr>
          <w:trHeight w:val="347"/>
          <w:jc w:val="center"/>
        </w:trPr>
        <w:tc>
          <w:tcPr>
            <w:tcW w:w="651" w:type="dxa"/>
            <w:vMerge/>
            <w:tcBorders>
              <w:top w:val="nil"/>
              <w:left w:val="single" w:sz="4" w:space="0" w:color="auto"/>
              <w:bottom w:val="single" w:sz="4" w:space="0" w:color="auto"/>
              <w:right w:val="single" w:sz="4" w:space="0" w:color="auto"/>
            </w:tcBorders>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p>
        </w:tc>
        <w:tc>
          <w:tcPr>
            <w:tcW w:w="177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MARESA</w:t>
            </w:r>
          </w:p>
        </w:tc>
        <w:tc>
          <w:tcPr>
            <w:tcW w:w="169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8.129</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8.129</w:t>
            </w:r>
          </w:p>
        </w:tc>
      </w:tr>
      <w:tr w:rsidR="00370BDA" w:rsidRPr="00250095" w:rsidTr="007B53F9">
        <w:trPr>
          <w:trHeight w:val="347"/>
          <w:jc w:val="center"/>
        </w:trPr>
        <w:tc>
          <w:tcPr>
            <w:tcW w:w="651" w:type="dxa"/>
            <w:vMerge/>
            <w:tcBorders>
              <w:top w:val="nil"/>
              <w:left w:val="single" w:sz="4" w:space="0" w:color="auto"/>
              <w:bottom w:val="single" w:sz="4" w:space="0" w:color="auto"/>
              <w:right w:val="single" w:sz="4" w:space="0" w:color="auto"/>
            </w:tcBorders>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p>
        </w:tc>
        <w:tc>
          <w:tcPr>
            <w:tcW w:w="177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OMNIBUS BB</w:t>
            </w:r>
          </w:p>
        </w:tc>
        <w:tc>
          <w:tcPr>
            <w:tcW w:w="169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22.829</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15.489</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15.387</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53.705</w:t>
            </w:r>
          </w:p>
        </w:tc>
      </w:tr>
      <w:tr w:rsidR="00370BDA" w:rsidRPr="00250095" w:rsidTr="007B53F9">
        <w:trPr>
          <w:trHeight w:val="347"/>
          <w:jc w:val="center"/>
        </w:trPr>
        <w:tc>
          <w:tcPr>
            <w:tcW w:w="2429"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Total 2011</w:t>
            </w:r>
          </w:p>
        </w:tc>
        <w:tc>
          <w:tcPr>
            <w:tcW w:w="169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27.228</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23.618</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22.247</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2.629</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75.722</w:t>
            </w:r>
          </w:p>
        </w:tc>
      </w:tr>
      <w:tr w:rsidR="00370BDA" w:rsidRPr="00250095" w:rsidTr="007B53F9">
        <w:trPr>
          <w:trHeight w:val="347"/>
          <w:jc w:val="center"/>
        </w:trPr>
        <w:tc>
          <w:tcPr>
            <w:tcW w:w="65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2012</w:t>
            </w:r>
          </w:p>
        </w:tc>
        <w:tc>
          <w:tcPr>
            <w:tcW w:w="177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AYMESA</w:t>
            </w:r>
          </w:p>
        </w:tc>
        <w:tc>
          <w:tcPr>
            <w:tcW w:w="169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6.947</w:t>
            </w:r>
          </w:p>
        </w:tc>
        <w:tc>
          <w:tcPr>
            <w:tcW w:w="1559" w:type="dxa"/>
            <w:tcBorders>
              <w:top w:val="nil"/>
              <w:left w:val="nil"/>
              <w:bottom w:val="nil"/>
              <w:right w:val="nil"/>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7.675</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2.209</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16.831</w:t>
            </w:r>
          </w:p>
        </w:tc>
      </w:tr>
      <w:tr w:rsidR="00370BDA" w:rsidRPr="00250095" w:rsidTr="007B53F9">
        <w:trPr>
          <w:trHeight w:val="347"/>
          <w:jc w:val="center"/>
        </w:trPr>
        <w:tc>
          <w:tcPr>
            <w:tcW w:w="651" w:type="dxa"/>
            <w:vMerge/>
            <w:tcBorders>
              <w:top w:val="nil"/>
              <w:left w:val="single" w:sz="4" w:space="0" w:color="auto"/>
              <w:bottom w:val="single" w:sz="4" w:space="0" w:color="auto"/>
              <w:right w:val="single" w:sz="4" w:space="0" w:color="auto"/>
            </w:tcBorders>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p>
        </w:tc>
        <w:tc>
          <w:tcPr>
            <w:tcW w:w="177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MARESA</w:t>
            </w:r>
          </w:p>
        </w:tc>
        <w:tc>
          <w:tcPr>
            <w:tcW w:w="1698" w:type="dxa"/>
            <w:tcBorders>
              <w:top w:val="nil"/>
              <w:left w:val="nil"/>
              <w:bottom w:val="nil"/>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9.826</w:t>
            </w:r>
          </w:p>
        </w:tc>
        <w:tc>
          <w:tcPr>
            <w:tcW w:w="851" w:type="dxa"/>
            <w:tcBorders>
              <w:top w:val="nil"/>
              <w:left w:val="nil"/>
              <w:bottom w:val="nil"/>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9.826</w:t>
            </w:r>
          </w:p>
        </w:tc>
      </w:tr>
      <w:tr w:rsidR="00370BDA" w:rsidRPr="00250095" w:rsidTr="007B53F9">
        <w:trPr>
          <w:trHeight w:val="347"/>
          <w:jc w:val="center"/>
        </w:trPr>
        <w:tc>
          <w:tcPr>
            <w:tcW w:w="651" w:type="dxa"/>
            <w:vMerge/>
            <w:tcBorders>
              <w:top w:val="nil"/>
              <w:left w:val="single" w:sz="4" w:space="0" w:color="auto"/>
              <w:bottom w:val="single" w:sz="4" w:space="0" w:color="auto"/>
              <w:right w:val="single" w:sz="4" w:space="0" w:color="auto"/>
            </w:tcBorders>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p>
        </w:tc>
        <w:tc>
          <w:tcPr>
            <w:tcW w:w="177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OMNIBUS BB</w:t>
            </w:r>
          </w:p>
        </w:tc>
        <w:tc>
          <w:tcPr>
            <w:tcW w:w="1698" w:type="dxa"/>
            <w:tcBorders>
              <w:top w:val="single" w:sz="4" w:space="0" w:color="auto"/>
              <w:left w:val="nil"/>
              <w:bottom w:val="nil"/>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27.597</w:t>
            </w:r>
          </w:p>
        </w:tc>
        <w:tc>
          <w:tcPr>
            <w:tcW w:w="1559" w:type="dxa"/>
            <w:tcBorders>
              <w:top w:val="nil"/>
              <w:left w:val="nil"/>
              <w:bottom w:val="nil"/>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15.067</w:t>
            </w:r>
          </w:p>
        </w:tc>
        <w:tc>
          <w:tcPr>
            <w:tcW w:w="851" w:type="dxa"/>
            <w:tcBorders>
              <w:top w:val="single" w:sz="4" w:space="0" w:color="auto"/>
              <w:left w:val="nil"/>
              <w:bottom w:val="nil"/>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10.295</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52.959</w:t>
            </w:r>
          </w:p>
        </w:tc>
      </w:tr>
      <w:tr w:rsidR="00370BDA" w:rsidRPr="00250095" w:rsidTr="007B53F9">
        <w:trPr>
          <w:trHeight w:val="347"/>
          <w:jc w:val="center"/>
        </w:trPr>
        <w:tc>
          <w:tcPr>
            <w:tcW w:w="2429"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Total 2012</w:t>
            </w:r>
          </w:p>
        </w:tc>
        <w:tc>
          <w:tcPr>
            <w:tcW w:w="1698" w:type="dxa"/>
            <w:tcBorders>
              <w:top w:val="single" w:sz="4" w:space="0" w:color="auto"/>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34.544</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24.893</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17.970</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2.209</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79.616</w:t>
            </w:r>
          </w:p>
        </w:tc>
      </w:tr>
      <w:tr w:rsidR="00370BDA" w:rsidRPr="00250095" w:rsidTr="007B53F9">
        <w:trPr>
          <w:trHeight w:val="347"/>
          <w:jc w:val="center"/>
        </w:trPr>
        <w:tc>
          <w:tcPr>
            <w:tcW w:w="65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2013</w:t>
            </w:r>
          </w:p>
        </w:tc>
        <w:tc>
          <w:tcPr>
            <w:tcW w:w="177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AYMESA</w:t>
            </w:r>
          </w:p>
        </w:tc>
        <w:tc>
          <w:tcPr>
            <w:tcW w:w="169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7.565</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5.205</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1.361</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14.131</w:t>
            </w:r>
          </w:p>
        </w:tc>
      </w:tr>
      <w:tr w:rsidR="00370BDA" w:rsidRPr="00250095" w:rsidTr="007B53F9">
        <w:trPr>
          <w:trHeight w:val="347"/>
          <w:jc w:val="center"/>
        </w:trPr>
        <w:tc>
          <w:tcPr>
            <w:tcW w:w="651" w:type="dxa"/>
            <w:vMerge/>
            <w:tcBorders>
              <w:top w:val="nil"/>
              <w:left w:val="single" w:sz="4" w:space="0" w:color="auto"/>
              <w:bottom w:val="single" w:sz="4" w:space="0" w:color="auto"/>
              <w:right w:val="single" w:sz="4" w:space="0" w:color="auto"/>
            </w:tcBorders>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p>
        </w:tc>
        <w:tc>
          <w:tcPr>
            <w:tcW w:w="177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CIAUTO</w:t>
            </w:r>
          </w:p>
        </w:tc>
        <w:tc>
          <w:tcPr>
            <w:tcW w:w="169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349</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396</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745</w:t>
            </w:r>
          </w:p>
        </w:tc>
      </w:tr>
      <w:tr w:rsidR="00370BDA" w:rsidRPr="00250095" w:rsidTr="007B53F9">
        <w:trPr>
          <w:trHeight w:val="347"/>
          <w:jc w:val="center"/>
        </w:trPr>
        <w:tc>
          <w:tcPr>
            <w:tcW w:w="651" w:type="dxa"/>
            <w:vMerge/>
            <w:tcBorders>
              <w:top w:val="nil"/>
              <w:left w:val="single" w:sz="4" w:space="0" w:color="auto"/>
              <w:bottom w:val="single" w:sz="4" w:space="0" w:color="auto"/>
              <w:right w:val="single" w:sz="4" w:space="0" w:color="auto"/>
            </w:tcBorders>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p>
        </w:tc>
        <w:tc>
          <w:tcPr>
            <w:tcW w:w="177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MARESA</w:t>
            </w:r>
          </w:p>
        </w:tc>
        <w:tc>
          <w:tcPr>
            <w:tcW w:w="169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7.474</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7.474</w:t>
            </w:r>
          </w:p>
        </w:tc>
      </w:tr>
      <w:tr w:rsidR="00370BDA" w:rsidRPr="00250095" w:rsidTr="007B53F9">
        <w:trPr>
          <w:trHeight w:val="347"/>
          <w:jc w:val="center"/>
        </w:trPr>
        <w:tc>
          <w:tcPr>
            <w:tcW w:w="651" w:type="dxa"/>
            <w:vMerge/>
            <w:tcBorders>
              <w:top w:val="nil"/>
              <w:left w:val="single" w:sz="4" w:space="0" w:color="auto"/>
              <w:bottom w:val="single" w:sz="4" w:space="0" w:color="auto"/>
              <w:right w:val="single" w:sz="4" w:space="0" w:color="auto"/>
            </w:tcBorders>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p>
        </w:tc>
        <w:tc>
          <w:tcPr>
            <w:tcW w:w="177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OMNIBUS BB</w:t>
            </w:r>
          </w:p>
        </w:tc>
        <w:tc>
          <w:tcPr>
            <w:tcW w:w="169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24.987</w:t>
            </w:r>
          </w:p>
        </w:tc>
        <w:tc>
          <w:tcPr>
            <w:tcW w:w="1559" w:type="dxa"/>
            <w:tcBorders>
              <w:top w:val="nil"/>
              <w:left w:val="nil"/>
              <w:bottom w:val="single" w:sz="4" w:space="0" w:color="auto"/>
              <w:right w:val="single" w:sz="4" w:space="0" w:color="auto"/>
            </w:tcBorders>
            <w:shd w:val="clear" w:color="auto" w:fill="auto"/>
            <w:noWrap/>
            <w:vAlign w:val="bottom"/>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10.246</w:t>
            </w:r>
          </w:p>
        </w:tc>
        <w:tc>
          <w:tcPr>
            <w:tcW w:w="851" w:type="dxa"/>
            <w:tcBorders>
              <w:top w:val="nil"/>
              <w:left w:val="nil"/>
              <w:bottom w:val="single" w:sz="4" w:space="0" w:color="auto"/>
              <w:right w:val="single" w:sz="4" w:space="0" w:color="auto"/>
            </w:tcBorders>
            <w:shd w:val="clear" w:color="auto" w:fill="auto"/>
            <w:noWrap/>
            <w:vAlign w:val="bottom"/>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9.261</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44.494</w:t>
            </w:r>
          </w:p>
        </w:tc>
      </w:tr>
      <w:tr w:rsidR="00370BDA" w:rsidRPr="00250095" w:rsidTr="007B53F9">
        <w:trPr>
          <w:trHeight w:val="347"/>
          <w:jc w:val="center"/>
        </w:trPr>
        <w:tc>
          <w:tcPr>
            <w:tcW w:w="2429"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Total 2013</w:t>
            </w:r>
          </w:p>
        </w:tc>
        <w:tc>
          <w:tcPr>
            <w:tcW w:w="169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32.552</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18.069</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14.862</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1.361</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66.844</w:t>
            </w:r>
          </w:p>
        </w:tc>
      </w:tr>
      <w:tr w:rsidR="00370BDA" w:rsidRPr="00250095" w:rsidTr="007B53F9">
        <w:trPr>
          <w:trHeight w:val="347"/>
          <w:jc w:val="center"/>
        </w:trPr>
        <w:tc>
          <w:tcPr>
            <w:tcW w:w="65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2014</w:t>
            </w:r>
          </w:p>
        </w:tc>
        <w:tc>
          <w:tcPr>
            <w:tcW w:w="177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AYMESA</w:t>
            </w:r>
          </w:p>
        </w:tc>
        <w:tc>
          <w:tcPr>
            <w:tcW w:w="169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5.077</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4.798</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200</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10.075</w:t>
            </w:r>
          </w:p>
        </w:tc>
      </w:tr>
      <w:tr w:rsidR="00370BDA" w:rsidRPr="00250095" w:rsidTr="007B53F9">
        <w:trPr>
          <w:trHeight w:val="347"/>
          <w:jc w:val="center"/>
        </w:trPr>
        <w:tc>
          <w:tcPr>
            <w:tcW w:w="651" w:type="dxa"/>
            <w:vMerge/>
            <w:tcBorders>
              <w:top w:val="nil"/>
              <w:left w:val="single" w:sz="4" w:space="0" w:color="auto"/>
              <w:bottom w:val="single" w:sz="4" w:space="0" w:color="auto"/>
              <w:right w:val="single" w:sz="4" w:space="0" w:color="auto"/>
            </w:tcBorders>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p>
        </w:tc>
        <w:tc>
          <w:tcPr>
            <w:tcW w:w="177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CIAUTO</w:t>
            </w:r>
          </w:p>
        </w:tc>
        <w:tc>
          <w:tcPr>
            <w:tcW w:w="169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638</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545</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1.183</w:t>
            </w:r>
          </w:p>
        </w:tc>
      </w:tr>
      <w:tr w:rsidR="00370BDA" w:rsidRPr="00250095" w:rsidTr="007B53F9">
        <w:trPr>
          <w:trHeight w:val="347"/>
          <w:jc w:val="center"/>
        </w:trPr>
        <w:tc>
          <w:tcPr>
            <w:tcW w:w="651" w:type="dxa"/>
            <w:vMerge/>
            <w:tcBorders>
              <w:top w:val="nil"/>
              <w:left w:val="single" w:sz="4" w:space="0" w:color="auto"/>
              <w:bottom w:val="single" w:sz="4" w:space="0" w:color="auto"/>
              <w:right w:val="single" w:sz="4" w:space="0" w:color="auto"/>
            </w:tcBorders>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p>
        </w:tc>
        <w:tc>
          <w:tcPr>
            <w:tcW w:w="177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MARESA</w:t>
            </w:r>
          </w:p>
        </w:tc>
        <w:tc>
          <w:tcPr>
            <w:tcW w:w="169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5.990</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5.990</w:t>
            </w:r>
          </w:p>
        </w:tc>
      </w:tr>
      <w:tr w:rsidR="00370BDA" w:rsidRPr="00250095" w:rsidTr="007B53F9">
        <w:trPr>
          <w:trHeight w:val="347"/>
          <w:jc w:val="center"/>
        </w:trPr>
        <w:tc>
          <w:tcPr>
            <w:tcW w:w="651" w:type="dxa"/>
            <w:vMerge/>
            <w:tcBorders>
              <w:top w:val="nil"/>
              <w:left w:val="single" w:sz="4" w:space="0" w:color="auto"/>
              <w:bottom w:val="single" w:sz="4" w:space="0" w:color="auto"/>
              <w:right w:val="single" w:sz="4" w:space="0" w:color="auto"/>
            </w:tcBorders>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p>
        </w:tc>
        <w:tc>
          <w:tcPr>
            <w:tcW w:w="177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OMNIBUS BB</w:t>
            </w:r>
          </w:p>
        </w:tc>
        <w:tc>
          <w:tcPr>
            <w:tcW w:w="169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23.557</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13.467</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9.600</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46.624</w:t>
            </w:r>
          </w:p>
        </w:tc>
      </w:tr>
      <w:tr w:rsidR="00370BDA" w:rsidRPr="00250095" w:rsidTr="007B53F9">
        <w:trPr>
          <w:trHeight w:val="347"/>
          <w:jc w:val="center"/>
        </w:trPr>
        <w:tc>
          <w:tcPr>
            <w:tcW w:w="2429"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Total 2014</w:t>
            </w:r>
          </w:p>
        </w:tc>
        <w:tc>
          <w:tcPr>
            <w:tcW w:w="169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28.634</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20.095</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14.943</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200</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63.872</w:t>
            </w:r>
          </w:p>
        </w:tc>
      </w:tr>
      <w:tr w:rsidR="00370BDA" w:rsidRPr="00250095" w:rsidTr="007B53F9">
        <w:trPr>
          <w:trHeight w:val="347"/>
          <w:jc w:val="center"/>
        </w:trPr>
        <w:tc>
          <w:tcPr>
            <w:tcW w:w="65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2015</w:t>
            </w:r>
          </w:p>
        </w:tc>
        <w:tc>
          <w:tcPr>
            <w:tcW w:w="177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AYMESA</w:t>
            </w:r>
          </w:p>
        </w:tc>
        <w:tc>
          <w:tcPr>
            <w:tcW w:w="169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6.666</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6.666</w:t>
            </w:r>
          </w:p>
        </w:tc>
      </w:tr>
      <w:tr w:rsidR="00370BDA" w:rsidRPr="00250095" w:rsidTr="007B53F9">
        <w:trPr>
          <w:trHeight w:val="347"/>
          <w:jc w:val="center"/>
        </w:trPr>
        <w:tc>
          <w:tcPr>
            <w:tcW w:w="651" w:type="dxa"/>
            <w:vMerge/>
            <w:tcBorders>
              <w:top w:val="nil"/>
              <w:left w:val="single" w:sz="4" w:space="0" w:color="auto"/>
              <w:bottom w:val="single" w:sz="4" w:space="0" w:color="auto"/>
              <w:right w:val="single" w:sz="4" w:space="0" w:color="auto"/>
            </w:tcBorders>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p>
        </w:tc>
        <w:tc>
          <w:tcPr>
            <w:tcW w:w="177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CIAUTO</w:t>
            </w:r>
          </w:p>
        </w:tc>
        <w:tc>
          <w:tcPr>
            <w:tcW w:w="169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1.005</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801</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1.806</w:t>
            </w:r>
          </w:p>
        </w:tc>
      </w:tr>
      <w:tr w:rsidR="00370BDA" w:rsidRPr="00250095" w:rsidTr="007B53F9">
        <w:trPr>
          <w:trHeight w:val="347"/>
          <w:jc w:val="center"/>
        </w:trPr>
        <w:tc>
          <w:tcPr>
            <w:tcW w:w="651" w:type="dxa"/>
            <w:vMerge/>
            <w:tcBorders>
              <w:top w:val="nil"/>
              <w:left w:val="single" w:sz="4" w:space="0" w:color="auto"/>
              <w:bottom w:val="single" w:sz="4" w:space="0" w:color="auto"/>
              <w:right w:val="single" w:sz="4" w:space="0" w:color="auto"/>
            </w:tcBorders>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p>
        </w:tc>
        <w:tc>
          <w:tcPr>
            <w:tcW w:w="177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MARESA</w:t>
            </w:r>
          </w:p>
        </w:tc>
        <w:tc>
          <w:tcPr>
            <w:tcW w:w="169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1.752</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3.784</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144</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5.680</w:t>
            </w:r>
          </w:p>
        </w:tc>
      </w:tr>
      <w:tr w:rsidR="00370BDA" w:rsidRPr="00250095" w:rsidTr="007B53F9">
        <w:trPr>
          <w:trHeight w:val="347"/>
          <w:jc w:val="center"/>
        </w:trPr>
        <w:tc>
          <w:tcPr>
            <w:tcW w:w="651" w:type="dxa"/>
            <w:vMerge/>
            <w:tcBorders>
              <w:top w:val="nil"/>
              <w:left w:val="single" w:sz="4" w:space="0" w:color="auto"/>
              <w:bottom w:val="single" w:sz="4" w:space="0" w:color="auto"/>
              <w:right w:val="single" w:sz="4" w:space="0" w:color="auto"/>
            </w:tcBorders>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p>
        </w:tc>
        <w:tc>
          <w:tcPr>
            <w:tcW w:w="177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OMNIBUS BB</w:t>
            </w:r>
          </w:p>
        </w:tc>
        <w:tc>
          <w:tcPr>
            <w:tcW w:w="169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25.376</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10.796</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408</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0</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val="es-ES" w:eastAsia="es-ES"/>
              </w:rPr>
            </w:pPr>
            <w:r w:rsidRPr="00250095">
              <w:rPr>
                <w:rFonts w:ascii="Verdana" w:eastAsia="Times New Roman" w:hAnsi="Verdana" w:cs="Times New Roman"/>
                <w:color w:val="000000"/>
                <w:sz w:val="16"/>
                <w:szCs w:val="16"/>
                <w:lang w:val="es-ES" w:eastAsia="es-ES"/>
              </w:rPr>
              <w:t>36.580</w:t>
            </w:r>
          </w:p>
        </w:tc>
      </w:tr>
      <w:tr w:rsidR="00370BDA" w:rsidRPr="00250095" w:rsidTr="007B53F9">
        <w:trPr>
          <w:trHeight w:val="347"/>
          <w:jc w:val="center"/>
        </w:trPr>
        <w:tc>
          <w:tcPr>
            <w:tcW w:w="2429"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Total 2015</w:t>
            </w:r>
          </w:p>
        </w:tc>
        <w:tc>
          <w:tcPr>
            <w:tcW w:w="1698"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33.794</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15.585</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1.353</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0</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250095">
              <w:rPr>
                <w:rFonts w:ascii="Verdana" w:eastAsia="Times New Roman" w:hAnsi="Verdana" w:cs="Times New Roman"/>
                <w:b/>
                <w:bCs/>
                <w:color w:val="000000"/>
                <w:sz w:val="16"/>
                <w:szCs w:val="16"/>
                <w:lang w:val="es-ES" w:eastAsia="es-ES"/>
              </w:rPr>
              <w:t>50.732</w:t>
            </w:r>
          </w:p>
        </w:tc>
      </w:tr>
    </w:tbl>
    <w:p w:rsidR="00370BDA" w:rsidRPr="00EE4D50" w:rsidRDefault="00C44099" w:rsidP="00EC63DA">
      <w:pPr>
        <w:spacing w:after="0" w:line="240" w:lineRule="auto"/>
        <w:jc w:val="both"/>
        <w:rPr>
          <w:rFonts w:ascii="Verdana" w:hAnsi="Verdana" w:cs="Times New Roman"/>
          <w:sz w:val="20"/>
        </w:rPr>
      </w:pPr>
      <w:r>
        <w:rPr>
          <w:rFonts w:ascii="Verdana" w:hAnsi="Verdana" w:cs="Times New Roman"/>
          <w:sz w:val="20"/>
        </w:rPr>
        <w:t xml:space="preserve">   </w:t>
      </w:r>
      <w:r w:rsidR="00370BDA" w:rsidRPr="00EE4D50">
        <w:rPr>
          <w:rFonts w:ascii="Verdana" w:hAnsi="Verdana" w:cs="Times New Roman"/>
          <w:sz w:val="20"/>
        </w:rPr>
        <w:t>Fuente: AEADE (2015)</w:t>
      </w:r>
    </w:p>
    <w:p w:rsidR="00370BDA" w:rsidRPr="00EE4D50" w:rsidRDefault="00C44099" w:rsidP="00EC63DA">
      <w:pPr>
        <w:spacing w:after="0" w:line="240" w:lineRule="auto"/>
        <w:jc w:val="both"/>
        <w:rPr>
          <w:rFonts w:ascii="Verdana" w:hAnsi="Verdana" w:cs="Times New Roman"/>
          <w:sz w:val="20"/>
        </w:rPr>
      </w:pPr>
      <w:r>
        <w:rPr>
          <w:rFonts w:ascii="Verdana" w:hAnsi="Verdana" w:cs="Times New Roman"/>
          <w:sz w:val="20"/>
        </w:rPr>
        <w:t xml:space="preserve">   </w:t>
      </w:r>
      <w:r w:rsidR="00370BDA" w:rsidRPr="00EE4D50">
        <w:rPr>
          <w:rFonts w:ascii="Verdana" w:hAnsi="Verdana" w:cs="Times New Roman"/>
          <w:sz w:val="20"/>
        </w:rPr>
        <w:t>Elaboración: Autora</w:t>
      </w:r>
    </w:p>
    <w:p w:rsidR="00BB07EF" w:rsidRPr="00EE4D50" w:rsidRDefault="00BB07EF" w:rsidP="00EC63DA">
      <w:pPr>
        <w:jc w:val="both"/>
        <w:rPr>
          <w:rFonts w:ascii="Verdana" w:hAnsi="Verdana" w:cs="Times New Roman"/>
          <w:b/>
        </w:rPr>
      </w:pPr>
    </w:p>
    <w:p w:rsidR="00BB07EF" w:rsidRPr="00EE4D50" w:rsidRDefault="00BB07EF" w:rsidP="00EC63DA">
      <w:pPr>
        <w:spacing w:after="60"/>
        <w:jc w:val="both"/>
        <w:rPr>
          <w:rFonts w:ascii="Verdana" w:hAnsi="Verdana" w:cs="Times New Roman"/>
        </w:rPr>
      </w:pPr>
      <w:r w:rsidRPr="00EE4D50">
        <w:rPr>
          <w:rFonts w:ascii="Verdana" w:hAnsi="Verdana" w:cs="Times New Roman"/>
        </w:rPr>
        <w:t>De los 75.722 vehículos producidos por las ensambladoras en el año 2011, Ómnibus BB lideró la fabricación con 53.705 unidades, lo cual fue el 71% del total producido por el sector. Y por tipo de vehículo ensambló 22.829 automóviles (83,8%), 15.489 camionetas (65,6%), y 15.387 todo terreno (69,2%). Aymesa y Maresa contribuyeron al sector con 18% y 11% respectivamente. Aymesa fue el único productor de furgonetas (</w:t>
      </w:r>
      <w:r w:rsidR="00925F85" w:rsidRPr="00EE4D50">
        <w:rPr>
          <w:rFonts w:ascii="Verdana" w:hAnsi="Verdana" w:cs="Times New Roman"/>
        </w:rPr>
        <w:t>van</w:t>
      </w:r>
      <w:r w:rsidRPr="00EE4D50">
        <w:rPr>
          <w:rFonts w:ascii="Verdana" w:hAnsi="Verdana" w:cs="Times New Roman"/>
        </w:rPr>
        <w:t>´s) con 2.629 unidades, y Maresa sólo produjo camionetas con 8.129 unidades.</w:t>
      </w:r>
    </w:p>
    <w:p w:rsidR="0020035A" w:rsidRPr="00EE4D50" w:rsidRDefault="0020035A"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En el 2012 la producción del sector creció en 5% en relación al 2011 debido a que Aymesa aumentó su producción en 21,2% (2.943 unidades, la mayoría automóviles) y Maresa aumentó su producción en 20,9% (1.697 camionetas). Por otro lado, Ómnibus BB redujo sus producción total en -1,4% (-746 unidades, la mayoría suv´s, a pesar de que la cantidad de automóviles aumentaron en </w:t>
      </w:r>
      <w:r w:rsidRPr="00EE4D50">
        <w:rPr>
          <w:rFonts w:ascii="Verdana" w:hAnsi="Verdana" w:cs="Times New Roman"/>
        </w:rPr>
        <w:lastRenderedPageBreak/>
        <w:t>4.768 unidades, pero disminuyeron las camionetas  en -5.092 unidades y suv´s en -422 unidades).</w:t>
      </w:r>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En el 2013 ya se evidenció problemas para el sector porque disminuyó la producción total en 12.772 unidades menos con respecto al 2012 (decrecimiento del -16%). Aymesa disminuyó su producción en -16% (-2.700 unidades, la mayoría suv´s, excepto los automóviles que aumentaron en sólo 618 unidades), Maresa redujo su producción en -23,9% (-2.352 camionetas). Ómnibus BB redujo sus producción en -16% (-8.465 unidades, la mayoría camionetas y automóviles). Mientras que Ciauto fue el nuevo participante del sector con una módica cantidad de 349 camionetas y 396 suv´s. </w:t>
      </w:r>
    </w:p>
    <w:p w:rsidR="00FD4AB4" w:rsidRPr="00EE4D50" w:rsidRDefault="00FD4AB4" w:rsidP="00EC63DA">
      <w:pPr>
        <w:spacing w:after="60"/>
        <w:jc w:val="both"/>
        <w:rPr>
          <w:rFonts w:ascii="Verdana" w:hAnsi="Verdana" w:cs="Times New Roman"/>
          <w:b/>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El 2014 no fue un año alentador para el sector, ya que Aymesa y Maresa redujeron su producción en -28,7% y -19,9% respectivamente. Mientras que Ómnibus BB apenas creció en 4,8% por el aumento de producción de camionetas, y Ciauto lo hizo en 58,8% por el aumento de camionetas y suv´s. En total el sector fabricó 2.972 vehículos menos en relación al 2013. </w:t>
      </w:r>
    </w:p>
    <w:p w:rsidR="00FD4AB4" w:rsidRPr="00EE4D50" w:rsidRDefault="00FD4AB4" w:rsidP="00EC63DA">
      <w:pPr>
        <w:spacing w:after="60"/>
        <w:jc w:val="both"/>
        <w:rPr>
          <w:rFonts w:ascii="Verdana" w:hAnsi="Verdana" w:cs="Times New Roman"/>
        </w:rPr>
      </w:pPr>
    </w:p>
    <w:p w:rsidR="00BB07EF" w:rsidRPr="00EE4D50" w:rsidRDefault="00BB07EF" w:rsidP="00EC63DA">
      <w:pPr>
        <w:jc w:val="both"/>
        <w:rPr>
          <w:rFonts w:ascii="Verdana" w:hAnsi="Verdana" w:cs="Times New Roman"/>
        </w:rPr>
      </w:pPr>
      <w:r w:rsidRPr="00EE4D50">
        <w:rPr>
          <w:rFonts w:ascii="Verdana" w:hAnsi="Verdana" w:cs="Times New Roman"/>
        </w:rPr>
        <w:t>Finalmente, el 2015 se consideró como año de recesión en la producción, ya que las tres principales ensambladoras disminuyeron su producción en prácticamente todos los tipos de vehículos. Cayó la producción total en 13.140 unidades menos con respecto al 2014 (-20,6%). Aymesa redujo su producción en -33,8% (sólo produjo 6.666 automóviles y suv´s, y van´s ya no se produjeron), Maresa lo hizo en -5,3% (-2.206 camionetas, pero fabricó 1.752 automóviles y 144 suv´s). Ómnibus BB vio caer su producción en -21,5% (-10.044 unidades, la mayoría suv´s y camionetas, mientas que los automóviles aumentaron en 1.819 unidades). Mientras que Ciauto incrementó su producción en 52,7%. En el total general de la producción del sector, con respecto al 2014 y por tipo de vehículo, se aumentaron los automóviles en 5.160 unidades, pero las camionetas se redujeron en -4.510, las suv´s en -13.590 y las van´s ya no se fabricaron).</w:t>
      </w:r>
    </w:p>
    <w:p w:rsidR="00BB07EF" w:rsidRPr="00EE4D50" w:rsidRDefault="00BB07EF" w:rsidP="00EC63DA">
      <w:pPr>
        <w:jc w:val="both"/>
        <w:rPr>
          <w:rFonts w:ascii="Verdana" w:hAnsi="Verdana" w:cs="Times New Roman"/>
        </w:rPr>
      </w:pPr>
    </w:p>
    <w:p w:rsidR="009B02A6" w:rsidRPr="00EE4D50" w:rsidRDefault="009B02A6" w:rsidP="00EC63DA">
      <w:pPr>
        <w:jc w:val="both"/>
        <w:rPr>
          <w:rFonts w:ascii="Verdana" w:hAnsi="Verdana" w:cs="Times New Roman"/>
        </w:rPr>
      </w:pPr>
    </w:p>
    <w:p w:rsidR="009B02A6" w:rsidRPr="00EE4D50" w:rsidRDefault="009B02A6" w:rsidP="00EC63DA">
      <w:pPr>
        <w:jc w:val="both"/>
        <w:rPr>
          <w:rFonts w:ascii="Verdana" w:hAnsi="Verdana" w:cs="Times New Roman"/>
        </w:rPr>
      </w:pPr>
    </w:p>
    <w:p w:rsidR="009B02A6" w:rsidRPr="00EE4D50" w:rsidRDefault="009B02A6" w:rsidP="00EC63DA">
      <w:pPr>
        <w:jc w:val="both"/>
        <w:rPr>
          <w:rFonts w:ascii="Verdana" w:hAnsi="Verdana" w:cs="Times New Roman"/>
        </w:rPr>
      </w:pPr>
    </w:p>
    <w:p w:rsidR="009B02A6" w:rsidRPr="00EE4D50" w:rsidRDefault="009B02A6" w:rsidP="00EC63DA">
      <w:pPr>
        <w:jc w:val="both"/>
        <w:rPr>
          <w:rFonts w:ascii="Verdana" w:hAnsi="Verdana" w:cs="Times New Roman"/>
        </w:rPr>
      </w:pPr>
    </w:p>
    <w:p w:rsidR="00261705" w:rsidRPr="00EE4D50" w:rsidRDefault="00261705" w:rsidP="00EC63DA">
      <w:pPr>
        <w:jc w:val="both"/>
        <w:rPr>
          <w:rFonts w:ascii="Verdana" w:hAnsi="Verdana" w:cs="Times New Roman"/>
        </w:rPr>
      </w:pPr>
    </w:p>
    <w:p w:rsidR="00261705" w:rsidRPr="00EE4D50" w:rsidRDefault="00261705" w:rsidP="00EC63DA">
      <w:pPr>
        <w:jc w:val="both"/>
        <w:rPr>
          <w:rFonts w:ascii="Verdana" w:hAnsi="Verdana" w:cs="Times New Roman"/>
        </w:rPr>
      </w:pPr>
    </w:p>
    <w:p w:rsidR="00BB07EF" w:rsidRDefault="00BB07EF" w:rsidP="00EC63DA">
      <w:pPr>
        <w:pStyle w:val="Sinespaciado"/>
        <w:spacing w:line="276" w:lineRule="auto"/>
        <w:jc w:val="both"/>
        <w:rPr>
          <w:rFonts w:ascii="Verdana" w:eastAsiaTheme="minorHAnsi" w:hAnsi="Verdana" w:cs="Times New Roman"/>
          <w:lang w:eastAsia="en-US"/>
        </w:rPr>
      </w:pPr>
    </w:p>
    <w:p w:rsidR="001A1E18" w:rsidRPr="00EE4D50" w:rsidRDefault="001A1E18" w:rsidP="00EC63DA">
      <w:pPr>
        <w:pStyle w:val="Sinespaciado"/>
        <w:spacing w:line="276" w:lineRule="auto"/>
        <w:jc w:val="both"/>
        <w:rPr>
          <w:rFonts w:ascii="Verdana" w:hAnsi="Verdana" w:cs="Times New Roman"/>
          <w:b/>
          <w:bCs/>
        </w:rPr>
      </w:pPr>
    </w:p>
    <w:p w:rsidR="00BB07EF" w:rsidRPr="00EE4D50" w:rsidRDefault="001052DA" w:rsidP="00EC63DA">
      <w:pPr>
        <w:pStyle w:val="Epgrafe"/>
        <w:spacing w:after="0"/>
        <w:jc w:val="center"/>
        <w:rPr>
          <w:rFonts w:ascii="Verdana" w:hAnsi="Verdana" w:cs="Times New Roman"/>
          <w:b w:val="0"/>
          <w:bCs w:val="0"/>
          <w:color w:val="auto"/>
          <w:sz w:val="20"/>
          <w:szCs w:val="20"/>
        </w:rPr>
      </w:pPr>
      <w:bookmarkStart w:id="74" w:name="_Toc473640124"/>
      <w:r w:rsidRPr="00EE4D50">
        <w:rPr>
          <w:rFonts w:ascii="Verdana" w:hAnsi="Verdana" w:cs="Times New Roman"/>
          <w:color w:val="auto"/>
          <w:sz w:val="20"/>
          <w:szCs w:val="20"/>
        </w:rPr>
        <w:lastRenderedPageBreak/>
        <w:t xml:space="preserve">Tabla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Tabla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9</w:t>
      </w:r>
      <w:r w:rsidRPr="00EE4D50">
        <w:rPr>
          <w:rFonts w:ascii="Verdana" w:hAnsi="Verdana" w:cs="Times New Roman"/>
          <w:color w:val="auto"/>
          <w:sz w:val="20"/>
          <w:szCs w:val="20"/>
        </w:rPr>
        <w:fldChar w:fldCharType="end"/>
      </w:r>
      <w:r w:rsidR="007B53F9" w:rsidRPr="00EE4D50">
        <w:rPr>
          <w:rFonts w:ascii="Verdana" w:hAnsi="Verdana" w:cs="Times New Roman"/>
          <w:b w:val="0"/>
          <w:bCs w:val="0"/>
          <w:color w:val="auto"/>
          <w:sz w:val="20"/>
          <w:szCs w:val="20"/>
        </w:rPr>
        <w:t xml:space="preserve">: </w:t>
      </w:r>
      <w:r w:rsidR="00BB07EF" w:rsidRPr="00EE4D50">
        <w:rPr>
          <w:rFonts w:ascii="Verdana" w:hAnsi="Verdana" w:cs="Times New Roman"/>
          <w:b w:val="0"/>
          <w:bCs w:val="0"/>
          <w:color w:val="auto"/>
          <w:sz w:val="20"/>
          <w:szCs w:val="20"/>
        </w:rPr>
        <w:t>Principales proveedoras de las ensambladoras al año 2015</w:t>
      </w:r>
      <w:bookmarkEnd w:id="74"/>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4253"/>
      </w:tblGrid>
      <w:tr w:rsidR="00BB07EF" w:rsidRPr="0019331A" w:rsidTr="00370BDA">
        <w:trPr>
          <w:jc w:val="center"/>
        </w:trPr>
        <w:tc>
          <w:tcPr>
            <w:tcW w:w="4503" w:type="dxa"/>
          </w:tcPr>
          <w:p w:rsidR="00BB07EF" w:rsidRPr="0019331A" w:rsidRDefault="00BB07EF" w:rsidP="00EC63DA">
            <w:pPr>
              <w:spacing w:line="240" w:lineRule="auto"/>
              <w:jc w:val="center"/>
              <w:rPr>
                <w:rFonts w:ascii="Verdana" w:hAnsi="Verdana" w:cs="Times New Roman"/>
                <w:sz w:val="20"/>
                <w:szCs w:val="16"/>
              </w:rPr>
            </w:pPr>
            <w:r w:rsidRPr="0019331A">
              <w:rPr>
                <w:rFonts w:ascii="Verdana" w:hAnsi="Verdana" w:cs="Times New Roman"/>
                <w:sz w:val="20"/>
                <w:szCs w:val="16"/>
              </w:rPr>
              <w:t>EMPRESA</w:t>
            </w:r>
          </w:p>
        </w:tc>
        <w:tc>
          <w:tcPr>
            <w:tcW w:w="4253" w:type="dxa"/>
          </w:tcPr>
          <w:p w:rsidR="00BB07EF" w:rsidRPr="0019331A" w:rsidRDefault="00BB07EF" w:rsidP="00EC63DA">
            <w:pPr>
              <w:spacing w:line="240" w:lineRule="auto"/>
              <w:jc w:val="center"/>
              <w:rPr>
                <w:rFonts w:ascii="Verdana" w:hAnsi="Verdana" w:cs="Times New Roman"/>
                <w:sz w:val="20"/>
                <w:szCs w:val="16"/>
              </w:rPr>
            </w:pPr>
            <w:r w:rsidRPr="0019331A">
              <w:rPr>
                <w:rFonts w:ascii="Verdana" w:hAnsi="Verdana" w:cs="Times New Roman"/>
                <w:sz w:val="20"/>
                <w:szCs w:val="16"/>
              </w:rPr>
              <w:t>ACTIVIDAD</w:t>
            </w:r>
          </w:p>
        </w:tc>
      </w:tr>
      <w:tr w:rsidR="00BB07EF" w:rsidRPr="0019331A" w:rsidTr="00264A56">
        <w:trPr>
          <w:trHeight w:val="665"/>
          <w:jc w:val="center"/>
        </w:trPr>
        <w:tc>
          <w:tcPr>
            <w:tcW w:w="4503" w:type="dxa"/>
          </w:tcPr>
          <w:p w:rsidR="009B02A6" w:rsidRPr="0019331A" w:rsidRDefault="009B02A6" w:rsidP="00EC63DA">
            <w:pPr>
              <w:spacing w:line="240" w:lineRule="auto"/>
              <w:ind w:left="720"/>
              <w:contextualSpacing/>
              <w:rPr>
                <w:rFonts w:ascii="Verdana" w:hAnsi="Verdana" w:cs="Times New Roman"/>
                <w:sz w:val="16"/>
                <w:szCs w:val="16"/>
              </w:rPr>
            </w:pPr>
          </w:p>
          <w:p w:rsidR="00BB07EF" w:rsidRPr="0019331A" w:rsidRDefault="00BB07EF" w:rsidP="00EC63DA">
            <w:pPr>
              <w:numPr>
                <w:ilvl w:val="0"/>
                <w:numId w:val="7"/>
              </w:numPr>
              <w:spacing w:line="240" w:lineRule="auto"/>
              <w:contextualSpacing/>
              <w:rPr>
                <w:rFonts w:ascii="Verdana" w:hAnsi="Verdana" w:cs="Times New Roman"/>
                <w:sz w:val="16"/>
                <w:szCs w:val="16"/>
              </w:rPr>
            </w:pPr>
            <w:r w:rsidRPr="0019331A">
              <w:rPr>
                <w:rFonts w:ascii="Verdana" w:hAnsi="Verdana" w:cs="Times New Roman"/>
                <w:sz w:val="16"/>
                <w:szCs w:val="16"/>
              </w:rPr>
              <w:t>METALTRONIC S.A.</w:t>
            </w:r>
          </w:p>
          <w:p w:rsidR="00BB07EF" w:rsidRPr="0019331A" w:rsidRDefault="00BB07EF" w:rsidP="00EC63DA">
            <w:pPr>
              <w:spacing w:line="240" w:lineRule="auto"/>
              <w:rPr>
                <w:rFonts w:ascii="Verdana" w:hAnsi="Verdana" w:cs="Times New Roman"/>
                <w:sz w:val="16"/>
                <w:szCs w:val="16"/>
              </w:rPr>
            </w:pPr>
          </w:p>
        </w:tc>
        <w:tc>
          <w:tcPr>
            <w:tcW w:w="4253" w:type="dxa"/>
          </w:tcPr>
          <w:p w:rsidR="00264A56" w:rsidRPr="0019331A" w:rsidRDefault="00264A56" w:rsidP="00EC63DA">
            <w:pPr>
              <w:spacing w:line="240" w:lineRule="auto"/>
              <w:rPr>
                <w:rFonts w:ascii="Verdana" w:hAnsi="Verdana" w:cs="Times New Roman"/>
                <w:sz w:val="16"/>
                <w:szCs w:val="16"/>
              </w:rPr>
            </w:pPr>
          </w:p>
          <w:p w:rsidR="00BB07EF" w:rsidRPr="0019331A" w:rsidRDefault="00264A56" w:rsidP="00EC63DA">
            <w:pPr>
              <w:spacing w:line="240" w:lineRule="auto"/>
              <w:rPr>
                <w:rFonts w:ascii="Verdana" w:hAnsi="Verdana" w:cs="Times New Roman"/>
                <w:sz w:val="16"/>
                <w:szCs w:val="16"/>
              </w:rPr>
            </w:pPr>
            <w:r w:rsidRPr="0019331A">
              <w:rPr>
                <w:rFonts w:ascii="Verdana" w:hAnsi="Verdana" w:cs="Times New Roman"/>
                <w:sz w:val="16"/>
                <w:szCs w:val="16"/>
              </w:rPr>
              <w:t>Fabricación y ensamblaje de autopartes metálicas</w:t>
            </w:r>
          </w:p>
        </w:tc>
      </w:tr>
      <w:tr w:rsidR="00BB07EF" w:rsidRPr="0019331A" w:rsidTr="009B02A6">
        <w:trPr>
          <w:trHeight w:val="1169"/>
          <w:jc w:val="center"/>
        </w:trPr>
        <w:tc>
          <w:tcPr>
            <w:tcW w:w="4503" w:type="dxa"/>
          </w:tcPr>
          <w:p w:rsidR="009B02A6" w:rsidRPr="0019331A" w:rsidRDefault="009B02A6" w:rsidP="00EC63DA">
            <w:pPr>
              <w:spacing w:line="240" w:lineRule="auto"/>
              <w:ind w:left="720"/>
              <w:contextualSpacing/>
              <w:rPr>
                <w:rFonts w:ascii="Verdana" w:hAnsi="Verdana" w:cs="Times New Roman"/>
                <w:sz w:val="16"/>
                <w:szCs w:val="16"/>
              </w:rPr>
            </w:pPr>
          </w:p>
          <w:p w:rsidR="009B02A6" w:rsidRPr="0019331A" w:rsidRDefault="009B02A6" w:rsidP="00EC63DA">
            <w:pPr>
              <w:spacing w:line="240" w:lineRule="auto"/>
              <w:ind w:left="720"/>
              <w:contextualSpacing/>
              <w:rPr>
                <w:rFonts w:ascii="Verdana" w:hAnsi="Verdana" w:cs="Times New Roman"/>
                <w:sz w:val="16"/>
                <w:szCs w:val="16"/>
              </w:rPr>
            </w:pPr>
          </w:p>
          <w:p w:rsidR="00BB07EF" w:rsidRPr="0019331A" w:rsidRDefault="00BB07EF" w:rsidP="00EC63DA">
            <w:pPr>
              <w:numPr>
                <w:ilvl w:val="0"/>
                <w:numId w:val="7"/>
              </w:numPr>
              <w:spacing w:line="240" w:lineRule="auto"/>
              <w:contextualSpacing/>
              <w:rPr>
                <w:rFonts w:ascii="Verdana" w:hAnsi="Verdana" w:cs="Times New Roman"/>
                <w:sz w:val="16"/>
                <w:szCs w:val="16"/>
              </w:rPr>
            </w:pPr>
            <w:r w:rsidRPr="0019331A">
              <w:rPr>
                <w:rFonts w:ascii="Verdana" w:hAnsi="Verdana" w:cs="Times New Roman"/>
                <w:sz w:val="16"/>
                <w:szCs w:val="16"/>
              </w:rPr>
              <w:t>INDUSTRIAS METALCAR CIA LTDA</w:t>
            </w:r>
          </w:p>
        </w:tc>
        <w:tc>
          <w:tcPr>
            <w:tcW w:w="4253" w:type="dxa"/>
          </w:tcPr>
          <w:p w:rsidR="00BB07EF" w:rsidRPr="0019331A" w:rsidRDefault="00BB07EF" w:rsidP="00EC63DA">
            <w:pPr>
              <w:spacing w:line="240" w:lineRule="auto"/>
              <w:rPr>
                <w:rFonts w:ascii="Verdana" w:hAnsi="Verdana" w:cs="Times New Roman"/>
                <w:sz w:val="16"/>
                <w:szCs w:val="16"/>
              </w:rPr>
            </w:pPr>
            <w:r w:rsidRPr="0019331A">
              <w:rPr>
                <w:rFonts w:ascii="Verdana" w:hAnsi="Verdana" w:cs="Times New Roman"/>
                <w:sz w:val="16"/>
                <w:szCs w:val="16"/>
              </w:rPr>
              <w:t>Realización de proyectos Metalmecánicos para la Industria Automotriz, fabricando estampados metálicos, bajo lineamientos de calidad, y también incursionando en la construcción y montaje de estructuras metálicas.</w:t>
            </w:r>
          </w:p>
        </w:tc>
      </w:tr>
      <w:tr w:rsidR="00BB07EF" w:rsidRPr="0019331A" w:rsidTr="009B02A6">
        <w:trPr>
          <w:trHeight w:val="976"/>
          <w:jc w:val="center"/>
        </w:trPr>
        <w:tc>
          <w:tcPr>
            <w:tcW w:w="4503" w:type="dxa"/>
          </w:tcPr>
          <w:p w:rsidR="009B02A6" w:rsidRPr="0019331A" w:rsidRDefault="009B02A6" w:rsidP="00EC63DA">
            <w:pPr>
              <w:spacing w:line="240" w:lineRule="auto"/>
              <w:ind w:left="720"/>
              <w:contextualSpacing/>
              <w:rPr>
                <w:rFonts w:ascii="Verdana" w:hAnsi="Verdana" w:cs="Times New Roman"/>
                <w:sz w:val="16"/>
                <w:szCs w:val="16"/>
              </w:rPr>
            </w:pPr>
          </w:p>
          <w:p w:rsidR="00BB07EF" w:rsidRPr="0019331A" w:rsidRDefault="00BB07EF" w:rsidP="00EC63DA">
            <w:pPr>
              <w:numPr>
                <w:ilvl w:val="0"/>
                <w:numId w:val="7"/>
              </w:numPr>
              <w:spacing w:line="240" w:lineRule="auto"/>
              <w:contextualSpacing/>
              <w:rPr>
                <w:rFonts w:ascii="Verdana" w:hAnsi="Verdana" w:cs="Times New Roman"/>
                <w:sz w:val="16"/>
                <w:szCs w:val="16"/>
              </w:rPr>
            </w:pPr>
            <w:r w:rsidRPr="0019331A">
              <w:rPr>
                <w:rFonts w:ascii="Verdana" w:hAnsi="Verdana" w:cs="Times New Roman"/>
                <w:sz w:val="16"/>
                <w:szCs w:val="16"/>
              </w:rPr>
              <w:t>ESTAMPADOS METALICOS NICOLALDE &amp; NICOLALDE CIA. LTDA. MECANIZA</w:t>
            </w:r>
          </w:p>
        </w:tc>
        <w:tc>
          <w:tcPr>
            <w:tcW w:w="4253" w:type="dxa"/>
          </w:tcPr>
          <w:p w:rsidR="00BB07EF" w:rsidRPr="0019331A" w:rsidRDefault="00BB07EF" w:rsidP="00EC63DA">
            <w:pPr>
              <w:spacing w:line="240" w:lineRule="auto"/>
              <w:rPr>
                <w:rFonts w:ascii="Verdana" w:hAnsi="Verdana" w:cs="Times New Roman"/>
                <w:sz w:val="16"/>
                <w:szCs w:val="16"/>
              </w:rPr>
            </w:pPr>
            <w:r w:rsidRPr="0019331A">
              <w:rPr>
                <w:rFonts w:ascii="Verdana" w:hAnsi="Verdana" w:cs="Times New Roman"/>
                <w:sz w:val="16"/>
                <w:szCs w:val="16"/>
              </w:rPr>
              <w:t>Producción de artículos maquinados y estampados de la más alta calidad enfocados en satisfacer varias industrias tales como la del transporte y construcción.</w:t>
            </w:r>
          </w:p>
        </w:tc>
      </w:tr>
      <w:tr w:rsidR="00BB07EF" w:rsidRPr="0019331A" w:rsidTr="00370BDA">
        <w:trPr>
          <w:jc w:val="center"/>
        </w:trPr>
        <w:tc>
          <w:tcPr>
            <w:tcW w:w="4503" w:type="dxa"/>
          </w:tcPr>
          <w:p w:rsidR="009B02A6" w:rsidRPr="0019331A" w:rsidRDefault="009B02A6" w:rsidP="00EC63DA">
            <w:pPr>
              <w:spacing w:line="240" w:lineRule="auto"/>
              <w:ind w:left="720"/>
              <w:contextualSpacing/>
              <w:rPr>
                <w:rFonts w:ascii="Verdana" w:hAnsi="Verdana" w:cs="Times New Roman"/>
                <w:sz w:val="16"/>
                <w:szCs w:val="16"/>
              </w:rPr>
            </w:pPr>
          </w:p>
          <w:p w:rsidR="009B02A6" w:rsidRPr="0019331A" w:rsidRDefault="009B02A6" w:rsidP="00EC63DA">
            <w:pPr>
              <w:spacing w:line="240" w:lineRule="auto"/>
              <w:ind w:left="720"/>
              <w:contextualSpacing/>
              <w:rPr>
                <w:rFonts w:ascii="Verdana" w:hAnsi="Verdana" w:cs="Times New Roman"/>
                <w:sz w:val="16"/>
                <w:szCs w:val="16"/>
              </w:rPr>
            </w:pPr>
          </w:p>
          <w:p w:rsidR="00BB07EF" w:rsidRPr="0019331A" w:rsidRDefault="00BB07EF" w:rsidP="00EC63DA">
            <w:pPr>
              <w:numPr>
                <w:ilvl w:val="0"/>
                <w:numId w:val="7"/>
              </w:numPr>
              <w:spacing w:line="240" w:lineRule="auto"/>
              <w:contextualSpacing/>
              <w:rPr>
                <w:rFonts w:ascii="Verdana" w:hAnsi="Verdana" w:cs="Times New Roman"/>
                <w:sz w:val="16"/>
                <w:szCs w:val="16"/>
              </w:rPr>
            </w:pPr>
            <w:r w:rsidRPr="0019331A">
              <w:rPr>
                <w:rFonts w:ascii="Verdana" w:hAnsi="Verdana" w:cs="Times New Roman"/>
                <w:sz w:val="16"/>
                <w:szCs w:val="16"/>
              </w:rPr>
              <w:t>MECADEC</w:t>
            </w:r>
          </w:p>
        </w:tc>
        <w:tc>
          <w:tcPr>
            <w:tcW w:w="4253" w:type="dxa"/>
          </w:tcPr>
          <w:p w:rsidR="00BB07EF" w:rsidRPr="0019331A" w:rsidRDefault="00BB07EF" w:rsidP="00EC63DA">
            <w:pPr>
              <w:spacing w:line="240" w:lineRule="auto"/>
              <w:rPr>
                <w:rFonts w:ascii="Verdana" w:hAnsi="Verdana" w:cs="Times New Roman"/>
                <w:sz w:val="16"/>
                <w:szCs w:val="16"/>
              </w:rPr>
            </w:pPr>
            <w:r w:rsidRPr="0019331A">
              <w:rPr>
                <w:rFonts w:ascii="Verdana" w:hAnsi="Verdana" w:cs="Times New Roman"/>
                <w:sz w:val="16"/>
                <w:szCs w:val="16"/>
              </w:rPr>
              <w:t>Producción y comercialización de productos para  el sector automotriz.</w:t>
            </w:r>
          </w:p>
          <w:p w:rsidR="00BB07EF" w:rsidRPr="0019331A" w:rsidRDefault="00BB07EF" w:rsidP="00EC63DA">
            <w:pPr>
              <w:spacing w:line="240" w:lineRule="auto"/>
              <w:rPr>
                <w:rFonts w:ascii="Verdana" w:hAnsi="Verdana" w:cs="Times New Roman"/>
                <w:sz w:val="16"/>
                <w:szCs w:val="16"/>
              </w:rPr>
            </w:pPr>
            <w:r w:rsidRPr="0019331A">
              <w:rPr>
                <w:rFonts w:ascii="Verdana" w:hAnsi="Verdana" w:cs="Times New Roman"/>
                <w:sz w:val="16"/>
                <w:szCs w:val="16"/>
              </w:rPr>
              <w:t>Desarrollo, fabricación y comercialización de cinturones de seguridad para equipo original</w:t>
            </w:r>
          </w:p>
        </w:tc>
      </w:tr>
      <w:tr w:rsidR="00BB07EF" w:rsidRPr="0019331A" w:rsidTr="00370BDA">
        <w:trPr>
          <w:jc w:val="center"/>
        </w:trPr>
        <w:tc>
          <w:tcPr>
            <w:tcW w:w="4503" w:type="dxa"/>
          </w:tcPr>
          <w:p w:rsidR="009B02A6" w:rsidRPr="0019331A" w:rsidRDefault="009B02A6" w:rsidP="00EC63DA">
            <w:pPr>
              <w:spacing w:line="240" w:lineRule="auto"/>
              <w:ind w:left="720"/>
              <w:contextualSpacing/>
              <w:rPr>
                <w:rFonts w:ascii="Verdana" w:hAnsi="Verdana" w:cs="Times New Roman"/>
                <w:sz w:val="16"/>
                <w:szCs w:val="16"/>
              </w:rPr>
            </w:pPr>
          </w:p>
          <w:p w:rsidR="00BB07EF" w:rsidRPr="0019331A" w:rsidRDefault="00BB07EF" w:rsidP="00EC63DA">
            <w:pPr>
              <w:numPr>
                <w:ilvl w:val="0"/>
                <w:numId w:val="7"/>
              </w:numPr>
              <w:spacing w:line="240" w:lineRule="auto"/>
              <w:contextualSpacing/>
              <w:rPr>
                <w:rFonts w:ascii="Verdana" w:hAnsi="Verdana" w:cs="Times New Roman"/>
                <w:sz w:val="16"/>
                <w:szCs w:val="16"/>
              </w:rPr>
            </w:pPr>
            <w:r w:rsidRPr="0019331A">
              <w:rPr>
                <w:rFonts w:ascii="Verdana" w:hAnsi="Verdana" w:cs="Times New Roman"/>
                <w:sz w:val="16"/>
                <w:szCs w:val="16"/>
              </w:rPr>
              <w:t>INDUSTRIAS DACAR CIA. LTDA.</w:t>
            </w:r>
          </w:p>
        </w:tc>
        <w:tc>
          <w:tcPr>
            <w:tcW w:w="4253" w:type="dxa"/>
          </w:tcPr>
          <w:p w:rsidR="00BB07EF" w:rsidRPr="0019331A" w:rsidRDefault="00BB07EF" w:rsidP="00EC63DA">
            <w:pPr>
              <w:spacing w:line="240" w:lineRule="auto"/>
              <w:rPr>
                <w:rFonts w:ascii="Verdana" w:hAnsi="Verdana" w:cs="Times New Roman"/>
                <w:sz w:val="16"/>
                <w:szCs w:val="16"/>
              </w:rPr>
            </w:pPr>
            <w:r w:rsidRPr="0019331A">
              <w:rPr>
                <w:rFonts w:ascii="Verdana" w:hAnsi="Verdana" w:cs="Times New Roman"/>
                <w:sz w:val="16"/>
                <w:szCs w:val="16"/>
              </w:rPr>
              <w:t>Fabricación de baterías de arranque, baterías de tracción ciclo profundo y aplicación estacionarias</w:t>
            </w:r>
          </w:p>
        </w:tc>
      </w:tr>
      <w:tr w:rsidR="00BB07EF" w:rsidRPr="0019331A" w:rsidTr="00370BDA">
        <w:trPr>
          <w:jc w:val="center"/>
        </w:trPr>
        <w:tc>
          <w:tcPr>
            <w:tcW w:w="4503" w:type="dxa"/>
          </w:tcPr>
          <w:p w:rsidR="009B02A6" w:rsidRPr="0019331A" w:rsidRDefault="009B02A6" w:rsidP="00EC63DA">
            <w:pPr>
              <w:spacing w:line="240" w:lineRule="auto"/>
              <w:ind w:left="720"/>
              <w:contextualSpacing/>
              <w:rPr>
                <w:rFonts w:ascii="Verdana" w:hAnsi="Verdana" w:cs="Times New Roman"/>
                <w:sz w:val="16"/>
                <w:szCs w:val="16"/>
              </w:rPr>
            </w:pPr>
          </w:p>
          <w:p w:rsidR="009B02A6" w:rsidRPr="0019331A" w:rsidRDefault="009B02A6" w:rsidP="00EC63DA">
            <w:pPr>
              <w:numPr>
                <w:ilvl w:val="0"/>
                <w:numId w:val="7"/>
              </w:numPr>
              <w:spacing w:line="240" w:lineRule="auto"/>
              <w:contextualSpacing/>
              <w:rPr>
                <w:rFonts w:ascii="Verdana" w:hAnsi="Verdana" w:cs="Times New Roman"/>
                <w:sz w:val="16"/>
                <w:szCs w:val="16"/>
              </w:rPr>
            </w:pPr>
          </w:p>
          <w:p w:rsidR="00BB07EF" w:rsidRPr="0019331A" w:rsidRDefault="00BB07EF" w:rsidP="00EC63DA">
            <w:pPr>
              <w:numPr>
                <w:ilvl w:val="0"/>
                <w:numId w:val="7"/>
              </w:numPr>
              <w:spacing w:line="240" w:lineRule="auto"/>
              <w:contextualSpacing/>
              <w:rPr>
                <w:rFonts w:ascii="Verdana" w:hAnsi="Verdana" w:cs="Times New Roman"/>
                <w:sz w:val="16"/>
                <w:szCs w:val="16"/>
              </w:rPr>
            </w:pPr>
            <w:r w:rsidRPr="0019331A">
              <w:rPr>
                <w:rFonts w:ascii="Verdana" w:hAnsi="Verdana" w:cs="Times New Roman"/>
                <w:sz w:val="16"/>
                <w:szCs w:val="16"/>
              </w:rPr>
              <w:t>INDUSTRIA DE MATERIALES DE FRICCIÓN S.A. IMFRISA</w:t>
            </w:r>
          </w:p>
        </w:tc>
        <w:tc>
          <w:tcPr>
            <w:tcW w:w="4253" w:type="dxa"/>
          </w:tcPr>
          <w:p w:rsidR="00BB07EF" w:rsidRPr="0019331A" w:rsidRDefault="00BB07EF" w:rsidP="00EC63DA">
            <w:pPr>
              <w:spacing w:line="240" w:lineRule="auto"/>
              <w:rPr>
                <w:rFonts w:ascii="Verdana" w:hAnsi="Verdana" w:cs="Times New Roman"/>
                <w:sz w:val="16"/>
                <w:szCs w:val="16"/>
              </w:rPr>
            </w:pPr>
            <w:r w:rsidRPr="0019331A">
              <w:rPr>
                <w:rFonts w:ascii="Verdana" w:hAnsi="Verdana" w:cs="Times New Roman"/>
                <w:sz w:val="16"/>
                <w:szCs w:val="16"/>
              </w:rPr>
              <w:t>Producción de partes y piezas de suspensión automotrices.</w:t>
            </w:r>
          </w:p>
          <w:p w:rsidR="00BB07EF" w:rsidRPr="0019331A" w:rsidRDefault="00BB07EF" w:rsidP="00EC63DA">
            <w:pPr>
              <w:spacing w:line="240" w:lineRule="auto"/>
              <w:rPr>
                <w:rFonts w:ascii="Verdana" w:hAnsi="Verdana" w:cs="Times New Roman"/>
                <w:sz w:val="16"/>
                <w:szCs w:val="16"/>
              </w:rPr>
            </w:pPr>
            <w:r w:rsidRPr="0019331A">
              <w:rPr>
                <w:rFonts w:ascii="Verdana" w:hAnsi="Verdana" w:cs="Times New Roman"/>
                <w:sz w:val="16"/>
                <w:szCs w:val="16"/>
              </w:rPr>
              <w:t>Importación y comercialización de línea automotriz.</w:t>
            </w:r>
          </w:p>
        </w:tc>
      </w:tr>
      <w:tr w:rsidR="00BB07EF" w:rsidRPr="0019331A" w:rsidTr="00370BDA">
        <w:trPr>
          <w:jc w:val="center"/>
        </w:trPr>
        <w:tc>
          <w:tcPr>
            <w:tcW w:w="4503" w:type="dxa"/>
          </w:tcPr>
          <w:p w:rsidR="009B02A6" w:rsidRPr="0019331A" w:rsidRDefault="009B02A6" w:rsidP="00EC63DA">
            <w:pPr>
              <w:spacing w:line="240" w:lineRule="auto"/>
              <w:ind w:left="720"/>
              <w:contextualSpacing/>
              <w:rPr>
                <w:rFonts w:ascii="Verdana" w:hAnsi="Verdana" w:cs="Times New Roman"/>
                <w:sz w:val="16"/>
                <w:szCs w:val="16"/>
              </w:rPr>
            </w:pPr>
          </w:p>
          <w:p w:rsidR="009B02A6" w:rsidRPr="0019331A" w:rsidRDefault="009B02A6" w:rsidP="00EC63DA">
            <w:pPr>
              <w:spacing w:line="240" w:lineRule="auto"/>
              <w:ind w:left="720"/>
              <w:contextualSpacing/>
              <w:rPr>
                <w:rFonts w:ascii="Verdana" w:hAnsi="Verdana" w:cs="Times New Roman"/>
                <w:sz w:val="16"/>
                <w:szCs w:val="16"/>
              </w:rPr>
            </w:pPr>
          </w:p>
          <w:p w:rsidR="00BB07EF" w:rsidRPr="0019331A" w:rsidRDefault="00BB07EF" w:rsidP="00EC63DA">
            <w:pPr>
              <w:numPr>
                <w:ilvl w:val="0"/>
                <w:numId w:val="7"/>
              </w:numPr>
              <w:spacing w:line="240" w:lineRule="auto"/>
              <w:contextualSpacing/>
              <w:rPr>
                <w:rFonts w:ascii="Verdana" w:hAnsi="Verdana" w:cs="Times New Roman"/>
                <w:sz w:val="16"/>
                <w:szCs w:val="16"/>
              </w:rPr>
            </w:pPr>
            <w:r w:rsidRPr="0019331A">
              <w:rPr>
                <w:rFonts w:ascii="Verdana" w:hAnsi="Verdana" w:cs="Times New Roman"/>
                <w:sz w:val="16"/>
                <w:szCs w:val="16"/>
              </w:rPr>
              <w:t>ELASTO S.A.</w:t>
            </w:r>
          </w:p>
        </w:tc>
        <w:tc>
          <w:tcPr>
            <w:tcW w:w="4253" w:type="dxa"/>
          </w:tcPr>
          <w:p w:rsidR="00BB07EF" w:rsidRPr="0019331A" w:rsidRDefault="00BB07EF" w:rsidP="00EC63DA">
            <w:pPr>
              <w:spacing w:line="240" w:lineRule="auto"/>
              <w:rPr>
                <w:rFonts w:ascii="Verdana" w:hAnsi="Verdana" w:cs="Times New Roman"/>
                <w:sz w:val="16"/>
                <w:szCs w:val="16"/>
              </w:rPr>
            </w:pPr>
            <w:r w:rsidRPr="0019331A">
              <w:rPr>
                <w:rFonts w:ascii="Verdana" w:hAnsi="Verdana" w:cs="Times New Roman"/>
                <w:sz w:val="16"/>
                <w:szCs w:val="16"/>
              </w:rPr>
              <w:t>Fabricación de espumas de poliuretano para la industria automotriz y del mueble, tanques para combustible, chasis para bus.</w:t>
            </w:r>
          </w:p>
          <w:p w:rsidR="00BB07EF" w:rsidRPr="0019331A" w:rsidRDefault="00BB07EF" w:rsidP="00EC63DA">
            <w:pPr>
              <w:spacing w:line="240" w:lineRule="auto"/>
              <w:rPr>
                <w:rFonts w:ascii="Verdana" w:hAnsi="Verdana" w:cs="Times New Roman"/>
                <w:sz w:val="16"/>
                <w:szCs w:val="16"/>
              </w:rPr>
            </w:pPr>
            <w:r w:rsidRPr="0019331A">
              <w:rPr>
                <w:rFonts w:ascii="Verdana" w:hAnsi="Verdana" w:cs="Times New Roman"/>
                <w:sz w:val="16"/>
                <w:szCs w:val="16"/>
              </w:rPr>
              <w:t>Servicio de subensamble de partes automotrices y entrega justo a tiempo.</w:t>
            </w:r>
          </w:p>
        </w:tc>
      </w:tr>
      <w:tr w:rsidR="00BB07EF" w:rsidRPr="0019331A" w:rsidTr="00370BDA">
        <w:trPr>
          <w:jc w:val="center"/>
        </w:trPr>
        <w:tc>
          <w:tcPr>
            <w:tcW w:w="4503" w:type="dxa"/>
          </w:tcPr>
          <w:p w:rsidR="009B02A6" w:rsidRPr="0019331A" w:rsidRDefault="009B02A6" w:rsidP="00EC63DA">
            <w:pPr>
              <w:spacing w:line="240" w:lineRule="auto"/>
              <w:ind w:left="720"/>
              <w:contextualSpacing/>
              <w:rPr>
                <w:rFonts w:ascii="Verdana" w:hAnsi="Verdana" w:cs="Times New Roman"/>
                <w:sz w:val="16"/>
                <w:szCs w:val="16"/>
              </w:rPr>
            </w:pPr>
          </w:p>
          <w:p w:rsidR="009B02A6" w:rsidRPr="0019331A" w:rsidRDefault="009B02A6" w:rsidP="00EC63DA">
            <w:pPr>
              <w:spacing w:line="240" w:lineRule="auto"/>
              <w:ind w:left="720"/>
              <w:contextualSpacing/>
              <w:rPr>
                <w:rFonts w:ascii="Verdana" w:hAnsi="Verdana" w:cs="Times New Roman"/>
                <w:sz w:val="16"/>
                <w:szCs w:val="16"/>
              </w:rPr>
            </w:pPr>
          </w:p>
          <w:p w:rsidR="00BB07EF" w:rsidRPr="0019331A" w:rsidRDefault="00BB07EF" w:rsidP="00EC63DA">
            <w:pPr>
              <w:numPr>
                <w:ilvl w:val="0"/>
                <w:numId w:val="7"/>
              </w:numPr>
              <w:spacing w:line="240" w:lineRule="auto"/>
              <w:contextualSpacing/>
              <w:rPr>
                <w:rFonts w:ascii="Verdana" w:hAnsi="Verdana" w:cs="Times New Roman"/>
                <w:sz w:val="16"/>
                <w:szCs w:val="16"/>
              </w:rPr>
            </w:pPr>
            <w:r w:rsidRPr="0019331A">
              <w:rPr>
                <w:rFonts w:ascii="Verdana" w:hAnsi="Verdana" w:cs="Times New Roman"/>
                <w:sz w:val="16"/>
                <w:szCs w:val="16"/>
              </w:rPr>
              <w:t>ECUAENSAMBLES</w:t>
            </w:r>
          </w:p>
        </w:tc>
        <w:tc>
          <w:tcPr>
            <w:tcW w:w="4253" w:type="dxa"/>
          </w:tcPr>
          <w:p w:rsidR="00BB07EF" w:rsidRPr="0019331A" w:rsidRDefault="00BB07EF" w:rsidP="00EC63DA">
            <w:pPr>
              <w:spacing w:line="240" w:lineRule="auto"/>
              <w:rPr>
                <w:rFonts w:ascii="Verdana" w:hAnsi="Verdana" w:cs="Times New Roman"/>
                <w:sz w:val="16"/>
                <w:szCs w:val="16"/>
              </w:rPr>
            </w:pPr>
            <w:r w:rsidRPr="0019331A">
              <w:rPr>
                <w:rFonts w:ascii="Verdana" w:hAnsi="Verdana" w:cs="Times New Roman"/>
                <w:sz w:val="16"/>
                <w:szCs w:val="16"/>
              </w:rPr>
              <w:t>Fabricación de partes, piezas y accesorios de carrocerías para vehículos automotores: cinturones de seguridad, dispositivos inflables de seguridad (airbag), puertas, parachoques.</w:t>
            </w:r>
          </w:p>
        </w:tc>
      </w:tr>
      <w:tr w:rsidR="00BB07EF" w:rsidRPr="0019331A" w:rsidTr="00370BDA">
        <w:trPr>
          <w:jc w:val="center"/>
        </w:trPr>
        <w:tc>
          <w:tcPr>
            <w:tcW w:w="4503" w:type="dxa"/>
          </w:tcPr>
          <w:p w:rsidR="00056722" w:rsidRPr="0019331A" w:rsidRDefault="00056722" w:rsidP="00EC63DA">
            <w:pPr>
              <w:spacing w:line="240" w:lineRule="auto"/>
              <w:ind w:left="720"/>
              <w:contextualSpacing/>
              <w:rPr>
                <w:rFonts w:ascii="Verdana" w:hAnsi="Verdana" w:cs="Times New Roman"/>
                <w:sz w:val="16"/>
                <w:szCs w:val="16"/>
              </w:rPr>
            </w:pPr>
          </w:p>
          <w:p w:rsidR="00BB07EF" w:rsidRPr="0019331A" w:rsidRDefault="00BB07EF" w:rsidP="00EC63DA">
            <w:pPr>
              <w:numPr>
                <w:ilvl w:val="0"/>
                <w:numId w:val="7"/>
              </w:numPr>
              <w:spacing w:line="240" w:lineRule="auto"/>
              <w:contextualSpacing/>
              <w:rPr>
                <w:rFonts w:ascii="Verdana" w:hAnsi="Verdana" w:cs="Times New Roman"/>
                <w:sz w:val="16"/>
                <w:szCs w:val="16"/>
              </w:rPr>
            </w:pPr>
            <w:r w:rsidRPr="0019331A">
              <w:rPr>
                <w:rFonts w:ascii="Verdana" w:hAnsi="Verdana" w:cs="Times New Roman"/>
                <w:sz w:val="16"/>
                <w:szCs w:val="16"/>
              </w:rPr>
              <w:t>DOMIZIL MUEBLES Y AUTOPARTES S.A.</w:t>
            </w:r>
          </w:p>
        </w:tc>
        <w:tc>
          <w:tcPr>
            <w:tcW w:w="4253" w:type="dxa"/>
          </w:tcPr>
          <w:p w:rsidR="00BB07EF" w:rsidRPr="0019331A" w:rsidRDefault="00BB07EF" w:rsidP="00EC63DA">
            <w:pPr>
              <w:spacing w:line="240" w:lineRule="auto"/>
              <w:rPr>
                <w:rFonts w:ascii="Verdana" w:hAnsi="Verdana" w:cs="Times New Roman"/>
                <w:sz w:val="16"/>
                <w:szCs w:val="16"/>
              </w:rPr>
            </w:pPr>
            <w:r w:rsidRPr="0019331A">
              <w:rPr>
                <w:rFonts w:ascii="Verdana" w:hAnsi="Verdana" w:cs="Times New Roman"/>
                <w:sz w:val="16"/>
                <w:szCs w:val="16"/>
              </w:rPr>
              <w:t>Fabricación de asientos para vehículos</w:t>
            </w:r>
          </w:p>
        </w:tc>
      </w:tr>
      <w:tr w:rsidR="00BB07EF" w:rsidRPr="0019331A" w:rsidTr="00370BDA">
        <w:trPr>
          <w:jc w:val="center"/>
        </w:trPr>
        <w:tc>
          <w:tcPr>
            <w:tcW w:w="4503" w:type="dxa"/>
          </w:tcPr>
          <w:p w:rsidR="00720566" w:rsidRPr="0019331A" w:rsidRDefault="00720566" w:rsidP="00EC63DA">
            <w:pPr>
              <w:spacing w:line="240" w:lineRule="auto"/>
              <w:ind w:left="720"/>
              <w:contextualSpacing/>
              <w:rPr>
                <w:rFonts w:ascii="Verdana" w:hAnsi="Verdana" w:cs="Times New Roman"/>
                <w:sz w:val="16"/>
                <w:szCs w:val="16"/>
                <w:lang w:val="it-IT"/>
              </w:rPr>
            </w:pPr>
          </w:p>
          <w:p w:rsidR="00BB07EF" w:rsidRPr="0019331A" w:rsidRDefault="00BB07EF" w:rsidP="00EC63DA">
            <w:pPr>
              <w:numPr>
                <w:ilvl w:val="0"/>
                <w:numId w:val="7"/>
              </w:numPr>
              <w:spacing w:line="240" w:lineRule="auto"/>
              <w:contextualSpacing/>
              <w:rPr>
                <w:rFonts w:ascii="Verdana" w:hAnsi="Verdana" w:cs="Times New Roman"/>
                <w:sz w:val="16"/>
                <w:szCs w:val="16"/>
                <w:lang w:val="it-IT"/>
              </w:rPr>
            </w:pPr>
            <w:r w:rsidRPr="0019331A">
              <w:rPr>
                <w:rFonts w:ascii="Verdana" w:hAnsi="Verdana" w:cs="Times New Roman"/>
                <w:sz w:val="16"/>
                <w:szCs w:val="16"/>
                <w:lang w:val="it-IT"/>
              </w:rPr>
              <w:t>CONTINENTAL TIRE ANDINA S.A.</w:t>
            </w:r>
          </w:p>
        </w:tc>
        <w:tc>
          <w:tcPr>
            <w:tcW w:w="4253" w:type="dxa"/>
          </w:tcPr>
          <w:p w:rsidR="00BB07EF" w:rsidRPr="0019331A" w:rsidRDefault="00BB07EF" w:rsidP="00EC63DA">
            <w:pPr>
              <w:spacing w:line="240" w:lineRule="auto"/>
              <w:rPr>
                <w:rFonts w:ascii="Verdana" w:hAnsi="Verdana" w:cs="Times New Roman"/>
                <w:sz w:val="16"/>
                <w:szCs w:val="16"/>
              </w:rPr>
            </w:pPr>
            <w:r w:rsidRPr="0019331A">
              <w:rPr>
                <w:rFonts w:ascii="Verdana" w:hAnsi="Verdana" w:cs="Times New Roman"/>
                <w:sz w:val="16"/>
                <w:szCs w:val="16"/>
              </w:rPr>
              <w:t>Fabricación de neumáticos</w:t>
            </w:r>
          </w:p>
        </w:tc>
      </w:tr>
      <w:tr w:rsidR="00BB07EF" w:rsidRPr="0019331A" w:rsidTr="00370BDA">
        <w:trPr>
          <w:jc w:val="center"/>
        </w:trPr>
        <w:tc>
          <w:tcPr>
            <w:tcW w:w="4503" w:type="dxa"/>
          </w:tcPr>
          <w:p w:rsidR="00056722" w:rsidRPr="0019331A" w:rsidRDefault="00056722" w:rsidP="00EC63DA">
            <w:pPr>
              <w:spacing w:line="240" w:lineRule="auto"/>
              <w:ind w:left="720"/>
              <w:contextualSpacing/>
              <w:rPr>
                <w:rFonts w:ascii="Verdana" w:hAnsi="Verdana" w:cs="Times New Roman"/>
                <w:sz w:val="16"/>
                <w:szCs w:val="16"/>
              </w:rPr>
            </w:pPr>
          </w:p>
          <w:p w:rsidR="00BB07EF" w:rsidRPr="0019331A" w:rsidRDefault="00BB07EF" w:rsidP="00EC63DA">
            <w:pPr>
              <w:numPr>
                <w:ilvl w:val="0"/>
                <w:numId w:val="7"/>
              </w:numPr>
              <w:spacing w:line="240" w:lineRule="auto"/>
              <w:contextualSpacing/>
              <w:rPr>
                <w:rFonts w:ascii="Verdana" w:hAnsi="Verdana" w:cs="Times New Roman"/>
                <w:sz w:val="16"/>
                <w:szCs w:val="16"/>
              </w:rPr>
            </w:pPr>
            <w:r w:rsidRPr="0019331A">
              <w:rPr>
                <w:rFonts w:ascii="Verdana" w:hAnsi="Verdana" w:cs="Times New Roman"/>
                <w:sz w:val="16"/>
                <w:szCs w:val="16"/>
              </w:rPr>
              <w:t>COIVESA S.A</w:t>
            </w:r>
          </w:p>
        </w:tc>
        <w:tc>
          <w:tcPr>
            <w:tcW w:w="4253" w:type="dxa"/>
          </w:tcPr>
          <w:p w:rsidR="00BB07EF" w:rsidRPr="0019331A" w:rsidRDefault="00BB07EF" w:rsidP="00EC63DA">
            <w:pPr>
              <w:spacing w:line="240" w:lineRule="auto"/>
              <w:rPr>
                <w:rFonts w:ascii="Verdana" w:hAnsi="Verdana" w:cs="Times New Roman"/>
                <w:sz w:val="16"/>
                <w:szCs w:val="16"/>
              </w:rPr>
            </w:pPr>
            <w:r w:rsidRPr="0019331A">
              <w:rPr>
                <w:rFonts w:ascii="Verdana" w:hAnsi="Verdana" w:cs="Times New Roman"/>
                <w:sz w:val="16"/>
                <w:szCs w:val="16"/>
              </w:rPr>
              <w:t>Fabricación de fundas (forros) o cobertores de asientos para automóviles, fundas para maquinarias, muebles, neumáticos, etcétera.</w:t>
            </w:r>
          </w:p>
        </w:tc>
      </w:tr>
      <w:tr w:rsidR="00BB07EF" w:rsidRPr="0019331A" w:rsidTr="00370BDA">
        <w:trPr>
          <w:jc w:val="center"/>
        </w:trPr>
        <w:tc>
          <w:tcPr>
            <w:tcW w:w="4503" w:type="dxa"/>
          </w:tcPr>
          <w:p w:rsidR="00056722" w:rsidRPr="0019331A" w:rsidRDefault="00056722" w:rsidP="00EC63DA">
            <w:pPr>
              <w:spacing w:line="240" w:lineRule="auto"/>
              <w:ind w:left="720"/>
              <w:contextualSpacing/>
              <w:rPr>
                <w:rFonts w:ascii="Verdana" w:hAnsi="Verdana" w:cs="Times New Roman"/>
                <w:sz w:val="16"/>
                <w:szCs w:val="16"/>
              </w:rPr>
            </w:pPr>
          </w:p>
          <w:p w:rsidR="00BB07EF" w:rsidRPr="0019331A" w:rsidRDefault="00BB07EF" w:rsidP="00EC63DA">
            <w:pPr>
              <w:numPr>
                <w:ilvl w:val="0"/>
                <w:numId w:val="7"/>
              </w:numPr>
              <w:spacing w:line="240" w:lineRule="auto"/>
              <w:contextualSpacing/>
              <w:rPr>
                <w:rFonts w:ascii="Verdana" w:hAnsi="Verdana" w:cs="Times New Roman"/>
                <w:sz w:val="16"/>
                <w:szCs w:val="16"/>
              </w:rPr>
            </w:pPr>
            <w:r w:rsidRPr="0019331A">
              <w:rPr>
                <w:rFonts w:ascii="Verdana" w:hAnsi="Verdana" w:cs="Times New Roman"/>
                <w:sz w:val="16"/>
                <w:szCs w:val="16"/>
              </w:rPr>
              <w:t>ALFINSA</w:t>
            </w:r>
          </w:p>
        </w:tc>
        <w:tc>
          <w:tcPr>
            <w:tcW w:w="4253" w:type="dxa"/>
          </w:tcPr>
          <w:p w:rsidR="00BB07EF" w:rsidRPr="0019331A" w:rsidRDefault="00BB07EF" w:rsidP="00EC63DA">
            <w:pPr>
              <w:spacing w:line="240" w:lineRule="auto"/>
              <w:rPr>
                <w:rFonts w:ascii="Verdana" w:hAnsi="Verdana" w:cs="Times New Roman"/>
                <w:sz w:val="16"/>
                <w:szCs w:val="16"/>
              </w:rPr>
            </w:pPr>
            <w:r w:rsidRPr="0019331A">
              <w:rPr>
                <w:rFonts w:ascii="Verdana" w:hAnsi="Verdana" w:cs="Times New Roman"/>
                <w:sz w:val="16"/>
                <w:szCs w:val="16"/>
                <w:lang w:val="es-PE"/>
              </w:rPr>
              <w:t>Plastificado de alfombras y termo adhesión de textiles</w:t>
            </w:r>
          </w:p>
        </w:tc>
      </w:tr>
    </w:tbl>
    <w:p w:rsidR="00370BDA" w:rsidRPr="00EE4D50" w:rsidRDefault="00370BDA" w:rsidP="00EC63DA">
      <w:pPr>
        <w:spacing w:after="0" w:line="240" w:lineRule="auto"/>
        <w:jc w:val="both"/>
        <w:rPr>
          <w:rFonts w:ascii="Verdana" w:hAnsi="Verdana" w:cs="Times New Roman"/>
          <w:sz w:val="20"/>
        </w:rPr>
      </w:pPr>
      <w:r w:rsidRPr="00EE4D50">
        <w:rPr>
          <w:rFonts w:ascii="Verdana" w:hAnsi="Verdana" w:cs="Times New Roman"/>
        </w:rPr>
        <w:t xml:space="preserve">  </w:t>
      </w:r>
      <w:r w:rsidR="00BB07EF" w:rsidRPr="00EE4D50">
        <w:rPr>
          <w:rFonts w:ascii="Verdana" w:hAnsi="Verdana" w:cs="Times New Roman"/>
          <w:sz w:val="20"/>
        </w:rPr>
        <w:t>Fuente: CINAE y Autopartistas</w:t>
      </w:r>
    </w:p>
    <w:p w:rsidR="00370BDA" w:rsidRPr="00EE4D50" w:rsidRDefault="00370BDA" w:rsidP="00EC63DA">
      <w:pPr>
        <w:spacing w:after="0" w:line="240" w:lineRule="auto"/>
        <w:jc w:val="both"/>
        <w:rPr>
          <w:rFonts w:ascii="Verdana" w:hAnsi="Verdana" w:cs="Times New Roman"/>
          <w:b/>
          <w:sz w:val="20"/>
        </w:rPr>
      </w:pPr>
      <w:r w:rsidRPr="00EE4D50">
        <w:rPr>
          <w:rFonts w:ascii="Verdana" w:hAnsi="Verdana" w:cs="Times New Roman"/>
          <w:sz w:val="20"/>
        </w:rPr>
        <w:t xml:space="preserve">  Elaboración: Autora</w:t>
      </w:r>
    </w:p>
    <w:p w:rsidR="00370BDA" w:rsidRPr="00EE4D50" w:rsidRDefault="00370BDA" w:rsidP="00EC63DA">
      <w:pPr>
        <w:jc w:val="both"/>
        <w:rPr>
          <w:rFonts w:ascii="Verdana" w:hAnsi="Verdana" w:cs="Times New Roman"/>
          <w:b/>
        </w:rPr>
      </w:pPr>
    </w:p>
    <w:p w:rsidR="00BB07EF" w:rsidRDefault="00BB07EF" w:rsidP="00EC63DA">
      <w:pPr>
        <w:jc w:val="both"/>
        <w:rPr>
          <w:rFonts w:ascii="Verdana" w:hAnsi="Verdana" w:cs="Times New Roman"/>
          <w:b/>
        </w:rPr>
      </w:pPr>
    </w:p>
    <w:p w:rsidR="001A1E18" w:rsidRDefault="001A1E18" w:rsidP="00EC63DA">
      <w:pPr>
        <w:jc w:val="both"/>
        <w:rPr>
          <w:rFonts w:ascii="Verdana" w:hAnsi="Verdana" w:cs="Times New Roman"/>
          <w:b/>
        </w:rPr>
      </w:pPr>
    </w:p>
    <w:p w:rsidR="001A1E18" w:rsidRDefault="001A1E18" w:rsidP="00EC63DA">
      <w:pPr>
        <w:jc w:val="both"/>
        <w:rPr>
          <w:rFonts w:ascii="Verdana" w:hAnsi="Verdana" w:cs="Times New Roman"/>
          <w:b/>
        </w:rPr>
      </w:pPr>
    </w:p>
    <w:p w:rsidR="00462D4D" w:rsidRPr="00EE4D50" w:rsidRDefault="00462D4D" w:rsidP="00EC63DA">
      <w:pPr>
        <w:jc w:val="both"/>
        <w:rPr>
          <w:rFonts w:ascii="Verdana" w:hAnsi="Verdana" w:cs="Times New Roman"/>
          <w:b/>
        </w:rPr>
      </w:pPr>
    </w:p>
    <w:p w:rsidR="00BB07EF" w:rsidRPr="00EE4D50" w:rsidRDefault="00EC77AB" w:rsidP="00EC63DA">
      <w:pPr>
        <w:pStyle w:val="Epgrafe"/>
        <w:spacing w:after="0"/>
        <w:jc w:val="center"/>
        <w:rPr>
          <w:rFonts w:ascii="Verdana" w:hAnsi="Verdana" w:cs="Times New Roman"/>
          <w:b w:val="0"/>
          <w:color w:val="auto"/>
          <w:sz w:val="20"/>
          <w:szCs w:val="20"/>
        </w:rPr>
      </w:pPr>
      <w:bookmarkStart w:id="75" w:name="_Toc473640125"/>
      <w:r w:rsidRPr="00EE4D50">
        <w:rPr>
          <w:rFonts w:ascii="Verdana" w:hAnsi="Verdana" w:cs="Times New Roman"/>
          <w:color w:val="auto"/>
          <w:sz w:val="20"/>
          <w:szCs w:val="20"/>
        </w:rPr>
        <w:t xml:space="preserve">Tabla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Tabla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10</w:t>
      </w:r>
      <w:r w:rsidRPr="00EE4D50">
        <w:rPr>
          <w:rFonts w:ascii="Verdana" w:hAnsi="Verdana" w:cs="Times New Roman"/>
          <w:color w:val="auto"/>
          <w:sz w:val="20"/>
          <w:szCs w:val="20"/>
        </w:rPr>
        <w:fldChar w:fldCharType="end"/>
      </w:r>
      <w:r w:rsidR="007B53F9" w:rsidRPr="00EE4D50">
        <w:rPr>
          <w:rFonts w:ascii="Verdana" w:hAnsi="Verdana" w:cs="Times New Roman"/>
          <w:b w:val="0"/>
          <w:color w:val="auto"/>
          <w:sz w:val="20"/>
          <w:szCs w:val="20"/>
        </w:rPr>
        <w:t xml:space="preserve">: </w:t>
      </w:r>
      <w:r w:rsidRPr="00EE4D50">
        <w:rPr>
          <w:rFonts w:ascii="Verdana" w:hAnsi="Verdana" w:cs="Times New Roman"/>
          <w:b w:val="0"/>
          <w:color w:val="auto"/>
          <w:sz w:val="20"/>
          <w:szCs w:val="20"/>
        </w:rPr>
        <w:t xml:space="preserve">Exportaciones de vehículos </w:t>
      </w:r>
      <w:r w:rsidR="00BB07EF" w:rsidRPr="00EE4D50">
        <w:rPr>
          <w:rFonts w:ascii="Verdana" w:eastAsia="Times New Roman" w:hAnsi="Verdana" w:cs="Times New Roman"/>
          <w:b w:val="0"/>
          <w:color w:val="auto"/>
          <w:sz w:val="20"/>
          <w:szCs w:val="20"/>
          <w:lang w:val="es-ES" w:eastAsia="es-ES"/>
        </w:rPr>
        <w:t>(en unidades)</w:t>
      </w:r>
      <w:bookmarkEnd w:id="75"/>
    </w:p>
    <w:tbl>
      <w:tblPr>
        <w:tblW w:w="8095" w:type="dxa"/>
        <w:jc w:val="center"/>
        <w:tblInd w:w="55" w:type="dxa"/>
        <w:tblCellMar>
          <w:left w:w="70" w:type="dxa"/>
          <w:right w:w="70" w:type="dxa"/>
        </w:tblCellMar>
        <w:tblLook w:val="04A0" w:firstRow="1" w:lastRow="0" w:firstColumn="1" w:lastColumn="0" w:noHBand="0" w:noVBand="1"/>
      </w:tblPr>
      <w:tblGrid>
        <w:gridCol w:w="595"/>
        <w:gridCol w:w="1547"/>
        <w:gridCol w:w="1559"/>
        <w:gridCol w:w="1417"/>
        <w:gridCol w:w="734"/>
        <w:gridCol w:w="826"/>
        <w:gridCol w:w="1417"/>
      </w:tblGrid>
      <w:tr w:rsidR="00BB07EF" w:rsidRPr="00EE4D50" w:rsidTr="00370BDA">
        <w:trPr>
          <w:trHeight w:val="359"/>
          <w:jc w:val="center"/>
        </w:trPr>
        <w:tc>
          <w:tcPr>
            <w:tcW w:w="5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Año</w:t>
            </w:r>
          </w:p>
        </w:tc>
        <w:tc>
          <w:tcPr>
            <w:tcW w:w="1547"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Ensambladoras</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6516D0"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Automóviles</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C</w:t>
            </w:r>
            <w:r w:rsidR="006516D0" w:rsidRPr="00EE4D50">
              <w:rPr>
                <w:rFonts w:ascii="Verdana" w:eastAsia="Times New Roman" w:hAnsi="Verdana" w:cs="Times New Roman"/>
                <w:b/>
                <w:bCs/>
                <w:color w:val="000000"/>
                <w:sz w:val="16"/>
                <w:szCs w:val="16"/>
                <w:lang w:val="es-ES" w:eastAsia="es-ES"/>
              </w:rPr>
              <w:t>amionetas</w:t>
            </w:r>
          </w:p>
        </w:tc>
        <w:tc>
          <w:tcPr>
            <w:tcW w:w="734"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S</w:t>
            </w:r>
            <w:r w:rsidR="006516D0" w:rsidRPr="00EE4D50">
              <w:rPr>
                <w:rFonts w:ascii="Verdana" w:eastAsia="Times New Roman" w:hAnsi="Verdana" w:cs="Times New Roman"/>
                <w:b/>
                <w:bCs/>
                <w:color w:val="000000"/>
                <w:sz w:val="16"/>
                <w:szCs w:val="16"/>
                <w:lang w:val="es-ES" w:eastAsia="es-ES"/>
              </w:rPr>
              <w:t>uv´s</w:t>
            </w:r>
          </w:p>
        </w:tc>
        <w:tc>
          <w:tcPr>
            <w:tcW w:w="826"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V</w:t>
            </w:r>
            <w:r w:rsidR="006516D0" w:rsidRPr="00EE4D50">
              <w:rPr>
                <w:rFonts w:ascii="Verdana" w:eastAsia="Times New Roman" w:hAnsi="Verdana" w:cs="Times New Roman"/>
                <w:b/>
                <w:bCs/>
                <w:color w:val="000000"/>
                <w:sz w:val="16"/>
                <w:szCs w:val="16"/>
                <w:lang w:val="es-ES" w:eastAsia="es-ES"/>
              </w:rPr>
              <w:t>an´s</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Total general</w:t>
            </w:r>
          </w:p>
        </w:tc>
      </w:tr>
      <w:tr w:rsidR="00BB07EF" w:rsidRPr="00EE4D50" w:rsidTr="00370BDA">
        <w:trPr>
          <w:trHeight w:val="359"/>
          <w:jc w:val="center"/>
        </w:trPr>
        <w:tc>
          <w:tcPr>
            <w:tcW w:w="59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2011</w:t>
            </w:r>
          </w:p>
        </w:tc>
        <w:tc>
          <w:tcPr>
            <w:tcW w:w="154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AYMESA</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3.683</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7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3.936</w:t>
            </w:r>
          </w:p>
        </w:tc>
        <w:tc>
          <w:tcPr>
            <w:tcW w:w="82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1.736</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9.355</w:t>
            </w:r>
          </w:p>
        </w:tc>
      </w:tr>
      <w:tr w:rsidR="00BB07EF" w:rsidRPr="00EE4D50" w:rsidTr="00370BDA">
        <w:trPr>
          <w:trHeight w:val="359"/>
          <w:jc w:val="center"/>
        </w:trPr>
        <w:tc>
          <w:tcPr>
            <w:tcW w:w="595" w:type="dxa"/>
            <w:vMerge/>
            <w:tcBorders>
              <w:top w:val="nil"/>
              <w:left w:val="single" w:sz="4" w:space="0" w:color="auto"/>
              <w:bottom w:val="single" w:sz="4" w:space="0" w:color="auto"/>
              <w:right w:val="single" w:sz="4" w:space="0" w:color="auto"/>
            </w:tcBorders>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p>
        </w:tc>
        <w:tc>
          <w:tcPr>
            <w:tcW w:w="154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MARESA</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1.300</w:t>
            </w:r>
          </w:p>
        </w:tc>
        <w:tc>
          <w:tcPr>
            <w:tcW w:w="7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82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1.300</w:t>
            </w:r>
          </w:p>
        </w:tc>
      </w:tr>
      <w:tr w:rsidR="00BB07EF" w:rsidRPr="00EE4D50" w:rsidTr="00370BDA">
        <w:trPr>
          <w:trHeight w:val="359"/>
          <w:jc w:val="center"/>
        </w:trPr>
        <w:tc>
          <w:tcPr>
            <w:tcW w:w="595" w:type="dxa"/>
            <w:vMerge/>
            <w:tcBorders>
              <w:top w:val="nil"/>
              <w:left w:val="single" w:sz="4" w:space="0" w:color="auto"/>
              <w:bottom w:val="single" w:sz="4" w:space="0" w:color="auto"/>
              <w:right w:val="single" w:sz="4" w:space="0" w:color="auto"/>
            </w:tcBorders>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p>
        </w:tc>
        <w:tc>
          <w:tcPr>
            <w:tcW w:w="154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OMNIBUS BB</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3</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7.426</w:t>
            </w:r>
          </w:p>
        </w:tc>
        <w:tc>
          <w:tcPr>
            <w:tcW w:w="7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2.366</w:t>
            </w:r>
          </w:p>
        </w:tc>
        <w:tc>
          <w:tcPr>
            <w:tcW w:w="82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9.795</w:t>
            </w:r>
          </w:p>
        </w:tc>
      </w:tr>
      <w:tr w:rsidR="00BB07EF" w:rsidRPr="00EE4D50" w:rsidTr="00370BDA">
        <w:trPr>
          <w:trHeight w:val="359"/>
          <w:jc w:val="center"/>
        </w:trPr>
        <w:tc>
          <w:tcPr>
            <w:tcW w:w="214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Total 2011</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3.686</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8.726</w:t>
            </w:r>
          </w:p>
        </w:tc>
        <w:tc>
          <w:tcPr>
            <w:tcW w:w="7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6.302</w:t>
            </w:r>
          </w:p>
        </w:tc>
        <w:tc>
          <w:tcPr>
            <w:tcW w:w="82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1.736</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20.450</w:t>
            </w:r>
          </w:p>
        </w:tc>
      </w:tr>
      <w:tr w:rsidR="00BB07EF" w:rsidRPr="00EE4D50" w:rsidTr="00370BDA">
        <w:trPr>
          <w:trHeight w:val="359"/>
          <w:jc w:val="center"/>
        </w:trPr>
        <w:tc>
          <w:tcPr>
            <w:tcW w:w="59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2012</w:t>
            </w:r>
          </w:p>
        </w:tc>
        <w:tc>
          <w:tcPr>
            <w:tcW w:w="154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AYMESA</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4.862</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7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4.625</w:t>
            </w:r>
          </w:p>
        </w:tc>
        <w:tc>
          <w:tcPr>
            <w:tcW w:w="82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1.496</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10.983</w:t>
            </w:r>
          </w:p>
        </w:tc>
      </w:tr>
      <w:tr w:rsidR="00BB07EF" w:rsidRPr="00EE4D50" w:rsidTr="00370BDA">
        <w:trPr>
          <w:trHeight w:val="359"/>
          <w:jc w:val="center"/>
        </w:trPr>
        <w:tc>
          <w:tcPr>
            <w:tcW w:w="595" w:type="dxa"/>
            <w:vMerge/>
            <w:tcBorders>
              <w:top w:val="nil"/>
              <w:left w:val="single" w:sz="4" w:space="0" w:color="auto"/>
              <w:bottom w:val="single" w:sz="4" w:space="0" w:color="auto"/>
              <w:right w:val="single" w:sz="4" w:space="0" w:color="auto"/>
            </w:tcBorders>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p>
        </w:tc>
        <w:tc>
          <w:tcPr>
            <w:tcW w:w="154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MARESA</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4.260</w:t>
            </w:r>
          </w:p>
        </w:tc>
        <w:tc>
          <w:tcPr>
            <w:tcW w:w="7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82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4.260</w:t>
            </w:r>
          </w:p>
        </w:tc>
      </w:tr>
      <w:tr w:rsidR="00BB07EF" w:rsidRPr="00EE4D50" w:rsidTr="00370BDA">
        <w:trPr>
          <w:trHeight w:val="359"/>
          <w:jc w:val="center"/>
        </w:trPr>
        <w:tc>
          <w:tcPr>
            <w:tcW w:w="595" w:type="dxa"/>
            <w:vMerge/>
            <w:tcBorders>
              <w:top w:val="nil"/>
              <w:left w:val="single" w:sz="4" w:space="0" w:color="auto"/>
              <w:bottom w:val="single" w:sz="4" w:space="0" w:color="auto"/>
              <w:right w:val="single" w:sz="4" w:space="0" w:color="auto"/>
            </w:tcBorders>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p>
        </w:tc>
        <w:tc>
          <w:tcPr>
            <w:tcW w:w="154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OMNIBUS BB</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2.117</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4.996</w:t>
            </w:r>
          </w:p>
        </w:tc>
        <w:tc>
          <w:tcPr>
            <w:tcW w:w="7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1.030</w:t>
            </w:r>
          </w:p>
        </w:tc>
        <w:tc>
          <w:tcPr>
            <w:tcW w:w="82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8.143</w:t>
            </w:r>
          </w:p>
        </w:tc>
      </w:tr>
      <w:tr w:rsidR="00BB07EF" w:rsidRPr="00EE4D50" w:rsidTr="00370BDA">
        <w:trPr>
          <w:trHeight w:val="359"/>
          <w:jc w:val="center"/>
        </w:trPr>
        <w:tc>
          <w:tcPr>
            <w:tcW w:w="214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Total 2012</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6.979</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9.256</w:t>
            </w:r>
          </w:p>
        </w:tc>
        <w:tc>
          <w:tcPr>
            <w:tcW w:w="7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5.655</w:t>
            </w:r>
          </w:p>
        </w:tc>
        <w:tc>
          <w:tcPr>
            <w:tcW w:w="82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1.496</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23.386</w:t>
            </w:r>
          </w:p>
        </w:tc>
      </w:tr>
      <w:tr w:rsidR="00BB07EF" w:rsidRPr="00EE4D50" w:rsidTr="00370BDA">
        <w:trPr>
          <w:trHeight w:val="359"/>
          <w:jc w:val="center"/>
        </w:trPr>
        <w:tc>
          <w:tcPr>
            <w:tcW w:w="59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2013</w:t>
            </w:r>
          </w:p>
        </w:tc>
        <w:tc>
          <w:tcPr>
            <w:tcW w:w="154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AYMESA</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1.752</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7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2.127</w:t>
            </w:r>
          </w:p>
        </w:tc>
        <w:tc>
          <w:tcPr>
            <w:tcW w:w="82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169</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4.048</w:t>
            </w:r>
          </w:p>
        </w:tc>
      </w:tr>
      <w:tr w:rsidR="00BB07EF" w:rsidRPr="00EE4D50" w:rsidTr="00370BDA">
        <w:trPr>
          <w:trHeight w:val="359"/>
          <w:jc w:val="center"/>
        </w:trPr>
        <w:tc>
          <w:tcPr>
            <w:tcW w:w="595" w:type="dxa"/>
            <w:vMerge/>
            <w:tcBorders>
              <w:top w:val="nil"/>
              <w:left w:val="single" w:sz="4" w:space="0" w:color="auto"/>
              <w:bottom w:val="single" w:sz="4" w:space="0" w:color="auto"/>
              <w:right w:val="single" w:sz="4" w:space="0" w:color="auto"/>
            </w:tcBorders>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p>
        </w:tc>
        <w:tc>
          <w:tcPr>
            <w:tcW w:w="154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MARESA</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960</w:t>
            </w:r>
          </w:p>
        </w:tc>
        <w:tc>
          <w:tcPr>
            <w:tcW w:w="7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82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960</w:t>
            </w:r>
          </w:p>
        </w:tc>
      </w:tr>
      <w:tr w:rsidR="00BB07EF" w:rsidRPr="00EE4D50" w:rsidTr="00370BDA">
        <w:trPr>
          <w:trHeight w:val="359"/>
          <w:jc w:val="center"/>
        </w:trPr>
        <w:tc>
          <w:tcPr>
            <w:tcW w:w="595" w:type="dxa"/>
            <w:vMerge/>
            <w:tcBorders>
              <w:top w:val="nil"/>
              <w:left w:val="single" w:sz="4" w:space="0" w:color="auto"/>
              <w:bottom w:val="single" w:sz="4" w:space="0" w:color="auto"/>
              <w:right w:val="single" w:sz="4" w:space="0" w:color="auto"/>
            </w:tcBorders>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p>
        </w:tc>
        <w:tc>
          <w:tcPr>
            <w:tcW w:w="154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OMNIBUS BB</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1.179</w:t>
            </w:r>
          </w:p>
        </w:tc>
        <w:tc>
          <w:tcPr>
            <w:tcW w:w="7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327</w:t>
            </w:r>
          </w:p>
        </w:tc>
        <w:tc>
          <w:tcPr>
            <w:tcW w:w="82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1.506</w:t>
            </w:r>
          </w:p>
        </w:tc>
      </w:tr>
      <w:tr w:rsidR="00BB07EF" w:rsidRPr="00EE4D50" w:rsidTr="00370BDA">
        <w:trPr>
          <w:trHeight w:val="359"/>
          <w:jc w:val="center"/>
        </w:trPr>
        <w:tc>
          <w:tcPr>
            <w:tcW w:w="214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Total 2013</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1.752</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2.139</w:t>
            </w:r>
          </w:p>
        </w:tc>
        <w:tc>
          <w:tcPr>
            <w:tcW w:w="7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2.454</w:t>
            </w:r>
          </w:p>
        </w:tc>
        <w:tc>
          <w:tcPr>
            <w:tcW w:w="82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169</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6.514</w:t>
            </w:r>
          </w:p>
        </w:tc>
      </w:tr>
      <w:tr w:rsidR="00BB07EF" w:rsidRPr="00EE4D50" w:rsidTr="00370BDA">
        <w:trPr>
          <w:trHeight w:val="359"/>
          <w:jc w:val="center"/>
        </w:trPr>
        <w:tc>
          <w:tcPr>
            <w:tcW w:w="59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2014</w:t>
            </w:r>
          </w:p>
        </w:tc>
        <w:tc>
          <w:tcPr>
            <w:tcW w:w="154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AYMESA</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3.720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7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2.080</w:t>
            </w:r>
          </w:p>
        </w:tc>
        <w:tc>
          <w:tcPr>
            <w:tcW w:w="82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200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6.000</w:t>
            </w:r>
          </w:p>
        </w:tc>
      </w:tr>
      <w:tr w:rsidR="00BB07EF" w:rsidRPr="00EE4D50" w:rsidTr="00370BDA">
        <w:trPr>
          <w:trHeight w:val="359"/>
          <w:jc w:val="center"/>
        </w:trPr>
        <w:tc>
          <w:tcPr>
            <w:tcW w:w="595" w:type="dxa"/>
            <w:vMerge/>
            <w:tcBorders>
              <w:top w:val="nil"/>
              <w:left w:val="single" w:sz="4" w:space="0" w:color="auto"/>
              <w:bottom w:val="single" w:sz="4" w:space="0" w:color="auto"/>
              <w:right w:val="single" w:sz="4" w:space="0" w:color="auto"/>
            </w:tcBorders>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p>
        </w:tc>
        <w:tc>
          <w:tcPr>
            <w:tcW w:w="154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MARESA</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7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82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r>
      <w:tr w:rsidR="00BB07EF" w:rsidRPr="00EE4D50" w:rsidTr="00370BDA">
        <w:trPr>
          <w:trHeight w:val="359"/>
          <w:jc w:val="center"/>
        </w:trPr>
        <w:tc>
          <w:tcPr>
            <w:tcW w:w="595" w:type="dxa"/>
            <w:vMerge/>
            <w:tcBorders>
              <w:top w:val="nil"/>
              <w:left w:val="single" w:sz="4" w:space="0" w:color="auto"/>
              <w:bottom w:val="single" w:sz="4" w:space="0" w:color="auto"/>
              <w:right w:val="single" w:sz="4" w:space="0" w:color="auto"/>
            </w:tcBorders>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p>
        </w:tc>
        <w:tc>
          <w:tcPr>
            <w:tcW w:w="154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OMNIBUS BB</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2.368</w:t>
            </w:r>
          </w:p>
        </w:tc>
        <w:tc>
          <w:tcPr>
            <w:tcW w:w="7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82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2.368</w:t>
            </w:r>
          </w:p>
        </w:tc>
      </w:tr>
      <w:tr w:rsidR="00BB07EF" w:rsidRPr="00EE4D50" w:rsidTr="00370BDA">
        <w:trPr>
          <w:trHeight w:val="359"/>
          <w:jc w:val="center"/>
        </w:trPr>
        <w:tc>
          <w:tcPr>
            <w:tcW w:w="214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Total 2014</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3.720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2.368</w:t>
            </w:r>
          </w:p>
        </w:tc>
        <w:tc>
          <w:tcPr>
            <w:tcW w:w="7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2.080</w:t>
            </w:r>
          </w:p>
        </w:tc>
        <w:tc>
          <w:tcPr>
            <w:tcW w:w="82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200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8.368</w:t>
            </w:r>
          </w:p>
        </w:tc>
      </w:tr>
      <w:tr w:rsidR="00BB07EF" w:rsidRPr="00EE4D50" w:rsidTr="00370BDA">
        <w:trPr>
          <w:trHeight w:val="359"/>
          <w:jc w:val="center"/>
        </w:trPr>
        <w:tc>
          <w:tcPr>
            <w:tcW w:w="59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2015</w:t>
            </w:r>
          </w:p>
        </w:tc>
        <w:tc>
          <w:tcPr>
            <w:tcW w:w="154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AYMESA</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1.130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7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82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1.130</w:t>
            </w:r>
          </w:p>
        </w:tc>
      </w:tr>
      <w:tr w:rsidR="00BB07EF" w:rsidRPr="00EE4D50" w:rsidTr="00370BDA">
        <w:trPr>
          <w:trHeight w:val="359"/>
          <w:jc w:val="center"/>
        </w:trPr>
        <w:tc>
          <w:tcPr>
            <w:tcW w:w="595" w:type="dxa"/>
            <w:vMerge/>
            <w:tcBorders>
              <w:top w:val="nil"/>
              <w:left w:val="single" w:sz="4" w:space="0" w:color="auto"/>
              <w:bottom w:val="single" w:sz="4" w:space="0" w:color="auto"/>
              <w:right w:val="single" w:sz="4" w:space="0" w:color="auto"/>
            </w:tcBorders>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p>
        </w:tc>
        <w:tc>
          <w:tcPr>
            <w:tcW w:w="154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MARESA</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7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82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r>
      <w:tr w:rsidR="00BB07EF" w:rsidRPr="00EE4D50" w:rsidTr="00370BDA">
        <w:trPr>
          <w:trHeight w:val="359"/>
          <w:jc w:val="center"/>
        </w:trPr>
        <w:tc>
          <w:tcPr>
            <w:tcW w:w="595" w:type="dxa"/>
            <w:vMerge/>
            <w:tcBorders>
              <w:top w:val="nil"/>
              <w:left w:val="single" w:sz="4" w:space="0" w:color="auto"/>
              <w:bottom w:val="single" w:sz="4" w:space="0" w:color="auto"/>
              <w:right w:val="single" w:sz="4" w:space="0" w:color="auto"/>
            </w:tcBorders>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p>
        </w:tc>
        <w:tc>
          <w:tcPr>
            <w:tcW w:w="154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OMNIBUS BB</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2.144</w:t>
            </w:r>
          </w:p>
        </w:tc>
        <w:tc>
          <w:tcPr>
            <w:tcW w:w="7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82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2.144</w:t>
            </w:r>
          </w:p>
        </w:tc>
      </w:tr>
      <w:tr w:rsidR="00BB07EF" w:rsidRPr="00EE4D50" w:rsidTr="00370BDA">
        <w:trPr>
          <w:trHeight w:val="359"/>
          <w:jc w:val="center"/>
        </w:trPr>
        <w:tc>
          <w:tcPr>
            <w:tcW w:w="214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Total 2015</w:t>
            </w:r>
          </w:p>
        </w:tc>
        <w:tc>
          <w:tcPr>
            <w:tcW w:w="155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1.130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2.144</w:t>
            </w:r>
          </w:p>
        </w:tc>
        <w:tc>
          <w:tcPr>
            <w:tcW w:w="7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0</w:t>
            </w:r>
          </w:p>
        </w:tc>
        <w:tc>
          <w:tcPr>
            <w:tcW w:w="82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0</w:t>
            </w:r>
          </w:p>
        </w:tc>
        <w:tc>
          <w:tcPr>
            <w:tcW w:w="141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3.274</w:t>
            </w:r>
          </w:p>
        </w:tc>
      </w:tr>
    </w:tbl>
    <w:p w:rsidR="00370BDA" w:rsidRPr="00EE4D50" w:rsidRDefault="00C44099" w:rsidP="00EC63DA">
      <w:pPr>
        <w:spacing w:after="0" w:line="240" w:lineRule="auto"/>
        <w:jc w:val="both"/>
        <w:rPr>
          <w:rFonts w:ascii="Verdana" w:hAnsi="Verdana" w:cs="Times New Roman"/>
          <w:sz w:val="20"/>
        </w:rPr>
      </w:pPr>
      <w:r>
        <w:rPr>
          <w:rFonts w:ascii="Verdana" w:hAnsi="Verdana" w:cs="Times New Roman"/>
          <w:sz w:val="20"/>
        </w:rPr>
        <w:t xml:space="preserve">      </w:t>
      </w:r>
      <w:r w:rsidR="00BB07EF" w:rsidRPr="00EE4D50">
        <w:rPr>
          <w:rFonts w:ascii="Verdana" w:hAnsi="Verdana" w:cs="Times New Roman"/>
          <w:sz w:val="20"/>
        </w:rPr>
        <w:t>Fuente: AEADE</w:t>
      </w:r>
    </w:p>
    <w:p w:rsidR="00370BDA" w:rsidRPr="00EE4D50" w:rsidRDefault="00C44099" w:rsidP="00EC63DA">
      <w:pPr>
        <w:spacing w:after="0" w:line="240" w:lineRule="auto"/>
        <w:jc w:val="both"/>
        <w:rPr>
          <w:rFonts w:ascii="Verdana" w:hAnsi="Verdana" w:cs="Times New Roman"/>
          <w:sz w:val="20"/>
        </w:rPr>
      </w:pPr>
      <w:r>
        <w:rPr>
          <w:rFonts w:ascii="Verdana" w:hAnsi="Verdana" w:cs="Times New Roman"/>
          <w:sz w:val="20"/>
        </w:rPr>
        <w:t xml:space="preserve">      </w:t>
      </w:r>
      <w:r w:rsidR="00370BDA" w:rsidRPr="00EE4D50">
        <w:rPr>
          <w:rFonts w:ascii="Verdana" w:hAnsi="Verdana" w:cs="Times New Roman"/>
          <w:sz w:val="20"/>
        </w:rPr>
        <w:t>Elaboración: Autora</w:t>
      </w:r>
    </w:p>
    <w:p w:rsidR="00370BDA" w:rsidRPr="00EE4D50" w:rsidRDefault="00370BDA" w:rsidP="00EC63DA">
      <w:pPr>
        <w:jc w:val="both"/>
        <w:rPr>
          <w:rFonts w:ascii="Verdana" w:hAnsi="Verdana" w:cs="Times New Roman"/>
          <w:b/>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De los 20.450 vehículos exportados por las ensambladoras en el año 2011, Ómnibus BB lideró con 9.795 unidades, lo cual fue el 48% del total exportado por el sector. Y por tipo de vehículo exportó 3 automóviles, 7.426 camionetas y 2.366 </w:t>
      </w:r>
      <w:r w:rsidR="00925F85" w:rsidRPr="00EE4D50">
        <w:rPr>
          <w:rFonts w:ascii="Verdana" w:hAnsi="Verdana" w:cs="Times New Roman"/>
        </w:rPr>
        <w:t>suv</w:t>
      </w:r>
      <w:r w:rsidRPr="00EE4D50">
        <w:rPr>
          <w:rFonts w:ascii="Verdana" w:hAnsi="Verdana" w:cs="Times New Roman"/>
        </w:rPr>
        <w:t xml:space="preserve">´s. Aymesa participó con el 46% (fue el único exportador de furgonetas </w:t>
      </w:r>
      <w:r w:rsidR="00925F85" w:rsidRPr="00EE4D50">
        <w:rPr>
          <w:rFonts w:ascii="Verdana" w:hAnsi="Verdana" w:cs="Times New Roman"/>
        </w:rPr>
        <w:t>van</w:t>
      </w:r>
      <w:r w:rsidRPr="00EE4D50">
        <w:rPr>
          <w:rFonts w:ascii="Verdana" w:hAnsi="Verdana" w:cs="Times New Roman"/>
        </w:rPr>
        <w:t>´s) y Maresa con el 6% que sólo fueron camionetas.</w:t>
      </w:r>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En el 2012 la exportación del sector creció en 14,4% en relación al 2011 debido a que Aymesa aumentó su oferta exportable en 1.628 unidades, la mayoría automóviles. Maresa aumentó su exportación en 2.960 camionetas. Por otro lado, Ómnibus BB redujo sus exportación total en 1.652 unidades, la mayoría camionetas y suv´s, a pesar de que la cantidad de automóviles aumentaron en 2.114 unidades.</w:t>
      </w:r>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lastRenderedPageBreak/>
        <w:t>En el 2013 ya se evidenció problemas para el sector porque disminuyó la exportación total en 16.872 unidades menos con respecto al 2012 (decrecimiento del -72,1%). Aymesa disminuyó la exportación en todos sus modelos por 6.935 unidades, Maresa también redujo en 3.300 camionetas) y Ómnibus BB redujo 6.637 unidades (en este año no se exportaron automóviles).</w:t>
      </w:r>
    </w:p>
    <w:p w:rsidR="00FD4AB4" w:rsidRPr="00EE4D50" w:rsidRDefault="00FD4AB4" w:rsidP="00EC63DA">
      <w:pPr>
        <w:spacing w:after="60"/>
        <w:jc w:val="both"/>
        <w:rPr>
          <w:rFonts w:ascii="Verdana" w:hAnsi="Verdana" w:cs="Times New Roman"/>
          <w:b/>
        </w:rPr>
      </w:pPr>
    </w:p>
    <w:p w:rsidR="00BB07EF" w:rsidRPr="00EE4D50" w:rsidRDefault="00BB07EF" w:rsidP="00EC63DA">
      <w:pPr>
        <w:spacing w:after="60"/>
        <w:jc w:val="both"/>
        <w:rPr>
          <w:rFonts w:ascii="Verdana" w:hAnsi="Verdana" w:cs="Times New Roman"/>
        </w:rPr>
      </w:pPr>
      <w:r w:rsidRPr="00EE4D50">
        <w:rPr>
          <w:rFonts w:ascii="Verdana" w:hAnsi="Verdana" w:cs="Times New Roman"/>
        </w:rPr>
        <w:t>Para el 2014 las exportaciones del sector crecieron en 28,5% con respecto al año anterior, lo que significó 1.854 unidades adicionales. Aymesa y Ómnibus aumentaron sus unidades en 1.952 y 862 respectivamente. Sin embargo Maresa no exportó ninguna unidad.</w:t>
      </w:r>
    </w:p>
    <w:p w:rsidR="00FD4AB4" w:rsidRPr="00EE4D50" w:rsidRDefault="00FD4AB4" w:rsidP="00EC63DA">
      <w:pPr>
        <w:spacing w:after="60"/>
        <w:jc w:val="both"/>
        <w:rPr>
          <w:rFonts w:ascii="Verdana" w:hAnsi="Verdana" w:cs="Times New Roman"/>
        </w:rPr>
      </w:pPr>
    </w:p>
    <w:p w:rsidR="00AE5B11" w:rsidRPr="00EE4D50" w:rsidRDefault="00BB07EF" w:rsidP="00EC63DA">
      <w:pPr>
        <w:spacing w:after="60"/>
        <w:jc w:val="both"/>
        <w:rPr>
          <w:rFonts w:ascii="Verdana" w:hAnsi="Verdana" w:cs="Times New Roman"/>
        </w:rPr>
      </w:pPr>
      <w:r w:rsidRPr="00EE4D50">
        <w:rPr>
          <w:rFonts w:ascii="Verdana" w:hAnsi="Verdana" w:cs="Times New Roman"/>
        </w:rPr>
        <w:t>Finalmente, el 2015 fue un año de recesión en la exportación, ya que las tres principales ensambladoras disminuyeron sus unidades en todos los tipos de vehículos. El decrecimiento fue del -60,9% con respecto al 2014 (5.094 unidades menos). Aymesa sólo exportó 1.130 automóviles, Ómnibus BB exportó 2.144 camionetas y Maresa no exportó.</w:t>
      </w:r>
    </w:p>
    <w:p w:rsidR="00FD4AB4" w:rsidRPr="00EE4D50" w:rsidRDefault="00FD4AB4" w:rsidP="00EC63DA">
      <w:pPr>
        <w:spacing w:after="60"/>
        <w:jc w:val="both"/>
        <w:rPr>
          <w:rFonts w:ascii="Verdana" w:hAnsi="Verdana" w:cs="Times New Roman"/>
        </w:rPr>
      </w:pPr>
    </w:p>
    <w:p w:rsidR="00AE5B11" w:rsidRPr="00EE4D50" w:rsidRDefault="00EC77AB" w:rsidP="00EC63DA">
      <w:pPr>
        <w:pStyle w:val="Epgrafe"/>
        <w:spacing w:after="0"/>
        <w:jc w:val="center"/>
        <w:rPr>
          <w:rFonts w:ascii="Verdana" w:hAnsi="Verdana" w:cs="Times New Roman"/>
          <w:b w:val="0"/>
          <w:color w:val="auto"/>
          <w:sz w:val="20"/>
          <w:szCs w:val="20"/>
        </w:rPr>
      </w:pPr>
      <w:bookmarkStart w:id="76" w:name="_Toc473640126"/>
      <w:r w:rsidRPr="00EE4D50">
        <w:rPr>
          <w:rFonts w:ascii="Verdana" w:hAnsi="Verdana" w:cs="Times New Roman"/>
          <w:color w:val="auto"/>
          <w:sz w:val="20"/>
          <w:szCs w:val="20"/>
        </w:rPr>
        <w:t xml:space="preserve">Tabla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Tabla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11</w:t>
      </w:r>
      <w:r w:rsidRPr="00EE4D50">
        <w:rPr>
          <w:rFonts w:ascii="Verdana" w:hAnsi="Verdana" w:cs="Times New Roman"/>
          <w:color w:val="auto"/>
          <w:sz w:val="20"/>
          <w:szCs w:val="20"/>
        </w:rPr>
        <w:fldChar w:fldCharType="end"/>
      </w:r>
      <w:r w:rsidR="007B53F9" w:rsidRPr="00EE4D50">
        <w:rPr>
          <w:rFonts w:ascii="Verdana" w:hAnsi="Verdana" w:cs="Times New Roman"/>
          <w:b w:val="0"/>
          <w:color w:val="auto"/>
          <w:sz w:val="20"/>
          <w:szCs w:val="20"/>
        </w:rPr>
        <w:t xml:space="preserve">: </w:t>
      </w:r>
      <w:r w:rsidR="00BB07EF" w:rsidRPr="00EE4D50">
        <w:rPr>
          <w:rFonts w:ascii="Verdana" w:hAnsi="Verdana" w:cs="Times New Roman"/>
          <w:b w:val="0"/>
          <w:color w:val="auto"/>
          <w:sz w:val="20"/>
          <w:szCs w:val="20"/>
        </w:rPr>
        <w:t>Importaciones de vehículos</w:t>
      </w:r>
      <w:bookmarkEnd w:id="76"/>
    </w:p>
    <w:tbl>
      <w:tblPr>
        <w:tblW w:w="7813" w:type="dxa"/>
        <w:jc w:val="center"/>
        <w:tblInd w:w="55" w:type="dxa"/>
        <w:tblCellMar>
          <w:left w:w="70" w:type="dxa"/>
          <w:right w:w="70" w:type="dxa"/>
        </w:tblCellMar>
        <w:tblLook w:val="04A0" w:firstRow="1" w:lastRow="0" w:firstColumn="1" w:lastColumn="0" w:noHBand="0" w:noVBand="1"/>
      </w:tblPr>
      <w:tblGrid>
        <w:gridCol w:w="583"/>
        <w:gridCol w:w="1276"/>
        <w:gridCol w:w="1276"/>
        <w:gridCol w:w="850"/>
        <w:gridCol w:w="851"/>
        <w:gridCol w:w="1134"/>
        <w:gridCol w:w="992"/>
        <w:gridCol w:w="851"/>
      </w:tblGrid>
      <w:tr w:rsidR="00BB07EF" w:rsidRPr="00EE4D50" w:rsidTr="00AE5B11">
        <w:trPr>
          <w:trHeight w:val="591"/>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Año</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Automóviles</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Camionetas</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Suv´s</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Van´s</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Camiones</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Buses</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Total</w:t>
            </w:r>
          </w:p>
        </w:tc>
      </w:tr>
      <w:tr w:rsidR="00BB07EF" w:rsidRPr="00EE4D50" w:rsidTr="00370BDA">
        <w:trPr>
          <w:trHeight w:val="563"/>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2011</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32 090</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9 782</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15 088</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5 264</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1 729</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11 148</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75 101</w:t>
            </w:r>
          </w:p>
        </w:tc>
      </w:tr>
      <w:tr w:rsidR="00BB07EF" w:rsidRPr="00EE4D50" w:rsidTr="00370BDA">
        <w:trPr>
          <w:trHeight w:val="563"/>
          <w:jc w:val="center"/>
        </w:trPr>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2012</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27 545</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10 064</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12 908</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2 692</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1 513</w:t>
            </w:r>
          </w:p>
        </w:tc>
        <w:tc>
          <w:tcPr>
            <w:tcW w:w="99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11 930</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66 652</w:t>
            </w:r>
          </w:p>
        </w:tc>
      </w:tr>
      <w:tr w:rsidR="00BB07EF" w:rsidRPr="00EE4D50" w:rsidTr="00370BDA">
        <w:trPr>
          <w:trHeight w:val="563"/>
          <w:jc w:val="center"/>
        </w:trPr>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2013</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20 099</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6 292</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14 945</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5 082</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1 896</w:t>
            </w:r>
          </w:p>
        </w:tc>
        <w:tc>
          <w:tcPr>
            <w:tcW w:w="99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14 281</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62 595</w:t>
            </w:r>
          </w:p>
        </w:tc>
      </w:tr>
      <w:tr w:rsidR="00BB07EF" w:rsidRPr="00EE4D50" w:rsidTr="00370BDA">
        <w:trPr>
          <w:trHeight w:val="563"/>
          <w:jc w:val="center"/>
        </w:trPr>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2014</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18 820</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5 292</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14 530</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5 367</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469</w:t>
            </w:r>
          </w:p>
        </w:tc>
        <w:tc>
          <w:tcPr>
            <w:tcW w:w="99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12 615</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57 093</w:t>
            </w:r>
          </w:p>
        </w:tc>
      </w:tr>
      <w:tr w:rsidR="00BB07EF" w:rsidRPr="00EE4D50" w:rsidTr="00370BDA">
        <w:trPr>
          <w:trHeight w:val="563"/>
          <w:jc w:val="center"/>
        </w:trPr>
        <w:tc>
          <w:tcPr>
            <w:tcW w:w="583" w:type="dxa"/>
            <w:tcBorders>
              <w:top w:val="nil"/>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2015</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10 846</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2 948</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8 107</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2 672</w:t>
            </w:r>
          </w:p>
        </w:tc>
        <w:tc>
          <w:tcPr>
            <w:tcW w:w="11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351</w:t>
            </w:r>
          </w:p>
        </w:tc>
        <w:tc>
          <w:tcPr>
            <w:tcW w:w="99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8 716</w:t>
            </w:r>
          </w:p>
        </w:tc>
        <w:tc>
          <w:tcPr>
            <w:tcW w:w="85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33 640</w:t>
            </w:r>
          </w:p>
        </w:tc>
      </w:tr>
    </w:tbl>
    <w:p w:rsidR="00370BDA" w:rsidRPr="00EE4D50" w:rsidRDefault="00370BDA" w:rsidP="00EC63DA">
      <w:pPr>
        <w:spacing w:after="0" w:line="240" w:lineRule="auto"/>
        <w:jc w:val="both"/>
        <w:rPr>
          <w:rFonts w:ascii="Verdana" w:hAnsi="Verdana" w:cs="Times New Roman"/>
          <w:sz w:val="20"/>
        </w:rPr>
      </w:pPr>
      <w:r w:rsidRPr="00EE4D50">
        <w:rPr>
          <w:rFonts w:ascii="Verdana" w:hAnsi="Verdana" w:cs="Times New Roman"/>
        </w:rPr>
        <w:t xml:space="preserve">        </w:t>
      </w:r>
      <w:r w:rsidRPr="00EE4D50">
        <w:rPr>
          <w:rFonts w:ascii="Verdana" w:hAnsi="Verdana" w:cs="Times New Roman"/>
          <w:sz w:val="20"/>
        </w:rPr>
        <w:t>Fuente: AEADE (2015)</w:t>
      </w:r>
    </w:p>
    <w:p w:rsidR="00370BDA" w:rsidRPr="00EE4D50" w:rsidRDefault="00370BDA" w:rsidP="00EC63DA">
      <w:pPr>
        <w:spacing w:after="0" w:line="240" w:lineRule="auto"/>
        <w:jc w:val="both"/>
        <w:rPr>
          <w:rFonts w:ascii="Verdana" w:hAnsi="Verdana" w:cs="Times New Roman"/>
          <w:sz w:val="20"/>
        </w:rPr>
      </w:pPr>
      <w:r w:rsidRPr="00EE4D50">
        <w:rPr>
          <w:rFonts w:ascii="Verdana" w:hAnsi="Verdana" w:cs="Times New Roman"/>
          <w:sz w:val="20"/>
        </w:rPr>
        <w:t xml:space="preserve">        Elaboración: Autora</w:t>
      </w:r>
    </w:p>
    <w:p w:rsidR="00370BDA" w:rsidRPr="00EE4D50" w:rsidRDefault="00370BDA" w:rsidP="00EC63DA">
      <w:pPr>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Las importaciones de vehículos armados (CBU) del año 2011 registraron un total de 75.101 unidades (la cifra más alta del periodo analizado). Al año 2012 se vendieron 66.652 unidades, una reducción del -11,3% con respecto al año anterior. Los decrecimientos de importaciones continuaron en los siguientes años: 2013 (-6,1%), 2014 (-8,8%) y 2015 (-41,1%). Entre los años 2011 y 2015, los vehículos livianos participaron en promedio con el 77,4% de las importaciones, mientras que los vehículos pesados (camiones y buses) participaron en promedio con el 22,6%.</w:t>
      </w:r>
    </w:p>
    <w:p w:rsidR="00FD4AB4" w:rsidRPr="00EE4D50" w:rsidRDefault="00FD4AB4" w:rsidP="00EC63DA">
      <w:pPr>
        <w:spacing w:after="60"/>
        <w:jc w:val="both"/>
        <w:rPr>
          <w:rFonts w:ascii="Verdana" w:hAnsi="Verdana" w:cs="Times New Roman"/>
        </w:rPr>
      </w:pPr>
    </w:p>
    <w:p w:rsidR="00FD4AB4" w:rsidRPr="00EE4D50" w:rsidRDefault="00BB07EF" w:rsidP="00EC63DA">
      <w:pPr>
        <w:spacing w:after="60"/>
        <w:jc w:val="both"/>
        <w:rPr>
          <w:rFonts w:ascii="Verdana" w:hAnsi="Verdana" w:cs="Times New Roman"/>
        </w:rPr>
      </w:pPr>
      <w:r w:rsidRPr="00EE4D50">
        <w:rPr>
          <w:rFonts w:ascii="Verdana" w:hAnsi="Verdana" w:cs="Times New Roman"/>
        </w:rPr>
        <w:t xml:space="preserve">Las importaciones de vehículos han disminuido significativamente. En el 2011 se importaron 62.224 vehículos livianos, de los cuales el 51,6% fueron automóviles, </w:t>
      </w:r>
      <w:r w:rsidRPr="00EE4D50">
        <w:rPr>
          <w:rFonts w:ascii="Verdana" w:hAnsi="Verdana" w:cs="Times New Roman"/>
        </w:rPr>
        <w:lastRenderedPageBreak/>
        <w:t xml:space="preserve">24,2% </w:t>
      </w:r>
      <w:r w:rsidR="00925F85" w:rsidRPr="00EE4D50">
        <w:rPr>
          <w:rFonts w:ascii="Verdana" w:hAnsi="Verdana" w:cs="Times New Roman"/>
        </w:rPr>
        <w:t>suv</w:t>
      </w:r>
      <w:r w:rsidRPr="00EE4D50">
        <w:rPr>
          <w:rFonts w:ascii="Verdana" w:hAnsi="Verdana" w:cs="Times New Roman"/>
        </w:rPr>
        <w:t xml:space="preserve">´s,  15,7% </w:t>
      </w:r>
      <w:r w:rsidR="00925F85" w:rsidRPr="00EE4D50">
        <w:rPr>
          <w:rFonts w:ascii="Verdana" w:hAnsi="Verdana" w:cs="Times New Roman"/>
        </w:rPr>
        <w:t>van</w:t>
      </w:r>
      <w:r w:rsidRPr="00EE4D50">
        <w:rPr>
          <w:rFonts w:ascii="Verdana" w:hAnsi="Verdana" w:cs="Times New Roman"/>
        </w:rPr>
        <w:t>´s y 8,5% camionetas. En el 2012 se importaron 53.209 vehículos livianos (-14,5% con respecto al año anterior), de los cuales el 51,8% fueron automóviles, 24,3%</w:t>
      </w:r>
      <w:r w:rsidR="00925F85" w:rsidRPr="00EE4D50">
        <w:rPr>
          <w:rFonts w:ascii="Verdana" w:hAnsi="Verdana" w:cs="Times New Roman"/>
        </w:rPr>
        <w:t xml:space="preserve"> suv</w:t>
      </w:r>
      <w:r w:rsidRPr="00EE4D50">
        <w:rPr>
          <w:rFonts w:ascii="Verdana" w:hAnsi="Verdana" w:cs="Times New Roman"/>
        </w:rPr>
        <w:t xml:space="preserve">´s,  18,9% camionetas y 5,1% </w:t>
      </w:r>
      <w:r w:rsidR="00925F85" w:rsidRPr="00EE4D50">
        <w:rPr>
          <w:rFonts w:ascii="Verdana" w:hAnsi="Verdana" w:cs="Times New Roman"/>
        </w:rPr>
        <w:t>van</w:t>
      </w:r>
      <w:r w:rsidRPr="00EE4D50">
        <w:rPr>
          <w:rFonts w:ascii="Verdana" w:hAnsi="Verdana" w:cs="Times New Roman"/>
        </w:rPr>
        <w:t xml:space="preserve">´s. En el 2013 se importaron 46.418 vehículos livianos (-12,8% con respecto al año anterior), de los cuales el 43,3% fueron automóviles, 32,2% </w:t>
      </w:r>
      <w:r w:rsidR="00925F85" w:rsidRPr="00EE4D50">
        <w:rPr>
          <w:rFonts w:ascii="Verdana" w:hAnsi="Verdana" w:cs="Times New Roman"/>
        </w:rPr>
        <w:t>suv</w:t>
      </w:r>
      <w:r w:rsidRPr="00EE4D50">
        <w:rPr>
          <w:rFonts w:ascii="Verdana" w:hAnsi="Verdana" w:cs="Times New Roman"/>
        </w:rPr>
        <w:t xml:space="preserve">´s,  13,6% camionetas y 10,9% </w:t>
      </w:r>
      <w:r w:rsidR="00925F85" w:rsidRPr="00EE4D50">
        <w:rPr>
          <w:rFonts w:ascii="Verdana" w:hAnsi="Verdana" w:cs="Times New Roman"/>
        </w:rPr>
        <w:t>van</w:t>
      </w:r>
      <w:r w:rsidRPr="00EE4D50">
        <w:rPr>
          <w:rFonts w:ascii="Verdana" w:hAnsi="Verdana" w:cs="Times New Roman"/>
        </w:rPr>
        <w:t xml:space="preserve">´s. En el 2014 se importaron 44.009 vehículos livianos (-5,2% con respecto al año anterior), de los cuales el 42,8% fueron automóviles, 33% </w:t>
      </w:r>
      <w:r w:rsidR="00925F85" w:rsidRPr="00EE4D50">
        <w:rPr>
          <w:rFonts w:ascii="Verdana" w:hAnsi="Verdana" w:cs="Times New Roman"/>
        </w:rPr>
        <w:t>suv</w:t>
      </w:r>
      <w:r w:rsidRPr="00EE4D50">
        <w:rPr>
          <w:rFonts w:ascii="Verdana" w:hAnsi="Verdana" w:cs="Times New Roman"/>
        </w:rPr>
        <w:t xml:space="preserve">´s,  12,2% </w:t>
      </w:r>
      <w:r w:rsidR="00925F85" w:rsidRPr="00EE4D50">
        <w:rPr>
          <w:rFonts w:ascii="Verdana" w:hAnsi="Verdana" w:cs="Times New Roman"/>
        </w:rPr>
        <w:t>van</w:t>
      </w:r>
      <w:r w:rsidRPr="00EE4D50">
        <w:rPr>
          <w:rFonts w:ascii="Verdana" w:hAnsi="Verdana" w:cs="Times New Roman"/>
        </w:rPr>
        <w:t xml:space="preserve">´s y 12% camionetas. Y en el 2015 se importaron 24.573 vehículos livianos (-44,2% con respecto al año anterior), de los cuales el 44,1% fueron automóviles, 33% </w:t>
      </w:r>
      <w:r w:rsidR="00925F85" w:rsidRPr="00EE4D50">
        <w:rPr>
          <w:rFonts w:ascii="Verdana" w:hAnsi="Verdana" w:cs="Times New Roman"/>
        </w:rPr>
        <w:t>suv</w:t>
      </w:r>
      <w:r w:rsidRPr="00EE4D50">
        <w:rPr>
          <w:rFonts w:ascii="Verdana" w:hAnsi="Verdana" w:cs="Times New Roman"/>
        </w:rPr>
        <w:t xml:space="preserve">´s,  12% camionetas y 10,9% </w:t>
      </w:r>
      <w:r w:rsidR="00925F85" w:rsidRPr="00EE4D50">
        <w:rPr>
          <w:rFonts w:ascii="Verdana" w:hAnsi="Verdana" w:cs="Times New Roman"/>
        </w:rPr>
        <w:t>van</w:t>
      </w:r>
      <w:r w:rsidRPr="00EE4D50">
        <w:rPr>
          <w:rFonts w:ascii="Verdana" w:hAnsi="Verdana" w:cs="Times New Roman"/>
        </w:rPr>
        <w:t>´s.</w:t>
      </w: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 </w:t>
      </w:r>
    </w:p>
    <w:p w:rsidR="00BB07EF" w:rsidRPr="00EE4D50" w:rsidRDefault="00BB07EF" w:rsidP="00EC63DA">
      <w:pPr>
        <w:spacing w:after="60"/>
        <w:jc w:val="both"/>
        <w:rPr>
          <w:rFonts w:ascii="Verdana" w:hAnsi="Verdana" w:cs="Times New Roman"/>
        </w:rPr>
      </w:pPr>
      <w:r w:rsidRPr="00EE4D50">
        <w:rPr>
          <w:rFonts w:ascii="Verdana" w:hAnsi="Verdana" w:cs="Times New Roman"/>
        </w:rPr>
        <w:t>Según</w:t>
      </w:r>
      <w:r w:rsidR="007A782B">
        <w:rPr>
          <w:rFonts w:ascii="Verdana" w:hAnsi="Verdana" w:cs="Times New Roman"/>
        </w:rPr>
        <w:t xml:space="preserve"> la AEADE</w:t>
      </w:r>
      <w:r w:rsidRPr="00EE4D50">
        <w:rPr>
          <w:rFonts w:ascii="Verdana" w:hAnsi="Verdana" w:cs="Times New Roman"/>
        </w:rPr>
        <w:t>, el 55,6% de los vehículos comercializados en el país fueron importados durante el año 2011, al año 2013 se redujo al 51,2% y al 2015 bajó al 45,9%.</w:t>
      </w:r>
    </w:p>
    <w:p w:rsidR="00BB07EF" w:rsidRPr="00EE4D50" w:rsidRDefault="00015567" w:rsidP="00EC63DA">
      <w:pPr>
        <w:pStyle w:val="Ttulo1"/>
        <w:rPr>
          <w:rFonts w:ascii="Verdana" w:hAnsi="Verdana" w:cs="Times New Roman"/>
          <w:i/>
          <w:color w:val="auto"/>
          <w:szCs w:val="32"/>
        </w:rPr>
      </w:pPr>
      <w:bookmarkStart w:id="77" w:name="_Toc485137216"/>
      <w:bookmarkStart w:id="78" w:name="_Toc409167691"/>
      <w:r w:rsidRPr="00EE4D50">
        <w:rPr>
          <w:rFonts w:ascii="Verdana" w:hAnsi="Verdana" w:cs="Times New Roman"/>
          <w:i/>
          <w:color w:val="auto"/>
          <w:szCs w:val="32"/>
        </w:rPr>
        <w:t>Principales mercados de destino</w:t>
      </w:r>
      <w:bookmarkEnd w:id="77"/>
    </w:p>
    <w:p w:rsidR="00BB07EF" w:rsidRPr="00EE4D50" w:rsidRDefault="00BB07EF" w:rsidP="00EC63DA">
      <w:pPr>
        <w:pStyle w:val="Sinespaciado"/>
        <w:spacing w:line="276" w:lineRule="auto"/>
        <w:jc w:val="both"/>
        <w:rPr>
          <w:rFonts w:ascii="Verdana" w:hAnsi="Verdana" w:cs="Times New Roman"/>
          <w:b/>
          <w:bCs/>
        </w:rPr>
      </w:pPr>
    </w:p>
    <w:bookmarkEnd w:id="78"/>
    <w:p w:rsidR="0020035A" w:rsidRPr="00EE4D50" w:rsidRDefault="00BB07EF" w:rsidP="00EC63DA">
      <w:pPr>
        <w:spacing w:after="60"/>
        <w:jc w:val="both"/>
        <w:rPr>
          <w:rFonts w:ascii="Verdana" w:hAnsi="Verdana" w:cs="Times New Roman"/>
        </w:rPr>
      </w:pPr>
      <w:r w:rsidRPr="00EE4D50">
        <w:rPr>
          <w:rFonts w:ascii="Verdana" w:hAnsi="Verdana" w:cs="Times New Roman"/>
        </w:rPr>
        <w:t>Según los anuarios de la AEADE</w:t>
      </w:r>
      <w:r w:rsidRPr="00EE4D50">
        <w:rPr>
          <w:rStyle w:val="Refdenotaalpie"/>
          <w:rFonts w:ascii="Verdana" w:hAnsi="Verdana" w:cs="Times New Roman"/>
          <w:b/>
          <w:i/>
        </w:rPr>
        <w:footnoteReference w:id="12"/>
      </w:r>
      <w:r w:rsidRPr="00EE4D50">
        <w:rPr>
          <w:rFonts w:ascii="Verdana" w:hAnsi="Verdana" w:cs="Times New Roman"/>
        </w:rPr>
        <w:t xml:space="preserve">, los </w:t>
      </w:r>
      <w:r w:rsidR="00015567" w:rsidRPr="00EE4D50">
        <w:rPr>
          <w:rFonts w:ascii="Verdana" w:hAnsi="Verdana" w:cs="Times New Roman"/>
        </w:rPr>
        <w:t xml:space="preserve">principales mercados de destino </w:t>
      </w:r>
      <w:r w:rsidRPr="00EE4D50">
        <w:rPr>
          <w:rFonts w:ascii="Verdana" w:hAnsi="Verdana" w:cs="Times New Roman"/>
        </w:rPr>
        <w:t>del sector</w:t>
      </w:r>
      <w:r w:rsidR="00804E04" w:rsidRPr="00EE4D50">
        <w:rPr>
          <w:rFonts w:ascii="Verdana" w:hAnsi="Verdana" w:cs="Times New Roman"/>
        </w:rPr>
        <w:t xml:space="preserve"> automotor tanto en exportación como en </w:t>
      </w:r>
      <w:r w:rsidR="00FD4AB4" w:rsidRPr="00EE4D50">
        <w:rPr>
          <w:rFonts w:ascii="Verdana" w:hAnsi="Verdana" w:cs="Times New Roman"/>
        </w:rPr>
        <w:t>importación</w:t>
      </w:r>
      <w:r w:rsidRPr="00EE4D50">
        <w:rPr>
          <w:rFonts w:ascii="Verdana" w:hAnsi="Verdana" w:cs="Times New Roman"/>
        </w:rPr>
        <w:t xml:space="preserve"> durante el 2011 al 2015 son:</w:t>
      </w:r>
    </w:p>
    <w:p w:rsidR="00FD4AB4" w:rsidRPr="00EE4D50" w:rsidRDefault="00963D63" w:rsidP="00EC63DA">
      <w:pPr>
        <w:pStyle w:val="Ttulo3"/>
        <w:spacing w:after="60"/>
        <w:rPr>
          <w:rFonts w:ascii="Verdana" w:hAnsi="Verdana" w:cs="Times New Roman"/>
          <w:i/>
          <w:color w:val="auto"/>
          <w:sz w:val="24"/>
          <w:szCs w:val="28"/>
        </w:rPr>
      </w:pPr>
      <w:bookmarkStart w:id="79" w:name="_Toc485137217"/>
      <w:r w:rsidRPr="00EE4D50">
        <w:rPr>
          <w:rFonts w:ascii="Verdana" w:hAnsi="Verdana" w:cs="Times New Roman"/>
          <w:i/>
          <w:color w:val="auto"/>
          <w:sz w:val="24"/>
          <w:szCs w:val="28"/>
        </w:rPr>
        <w:t>Exportación</w:t>
      </w:r>
      <w:bookmarkEnd w:id="79"/>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2011</w:t>
      </w:r>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Para el 2011 se observó un aumento del 3% con relación al año anterior en las exportaciones. Las principales ensambladoras del país, como son Omnibus BB, Aymesa y Maresa son las que han alcanzado este logro y han exportado cerca de 20.450 vehículos y sus principales destinos fueron Colombia, Venezuela y República Dominicana.</w:t>
      </w:r>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2012</w:t>
      </w:r>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Omnibus BB, Aymesa y Maresa son las ensambladoras que exportan en el país y para el 2012 registran 24.815 vehículos exportados y se comercializaron a Colombia, Venezuela, y Republica Dominicana.</w:t>
      </w:r>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Los vehículos nacionales registraron un crecimiento del 21.3% en sus exportaciones respecto al año anterior.</w:t>
      </w:r>
    </w:p>
    <w:p w:rsidR="00261705" w:rsidRPr="00EE4D50" w:rsidRDefault="00261705"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lastRenderedPageBreak/>
        <w:t>2013</w:t>
      </w:r>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Para este año se evidencio una reducción en las exportaciones por parte de las ensambladoras Omnibus BB, Aymesa y Maresa de un 71% con respecto al año anterior. Solo 7.213 vehículos se registraron para ese año.</w:t>
      </w:r>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Los Tratados de Libre Comercio que dio apertura comercial de la economía colombiana con México y Corea, afectaron a las exportaciones en el país. Exportaciones al mercado Venezolano, también registro caída con un 87% en comparación con el 2012. El retraso de los pagos de la Comisión de Administración de Divisas a los exportadores afectaron la transacción con Venezuela. Y no se exportaron vehículos nacionales a otros mercados.</w:t>
      </w:r>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2014</w:t>
      </w:r>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En este año solo se registraron exportaciones de dos ensambladoras, como son Aymesa y Omnibus BB, con un total de 8.368 vehículos, donde se observó un incremento del 16% con relación al año 2013. </w:t>
      </w:r>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único destino que se registró en el 2014 fue a Colombia.</w:t>
      </w:r>
    </w:p>
    <w:p w:rsidR="00FD4AB4" w:rsidRPr="00EE4D50" w:rsidRDefault="00FD4AB4"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2015</w:t>
      </w:r>
    </w:p>
    <w:p w:rsidR="00FD4AB4" w:rsidRPr="00EE4D50" w:rsidRDefault="00FD4AB4" w:rsidP="00EC63DA">
      <w:pPr>
        <w:spacing w:after="60"/>
        <w:jc w:val="both"/>
        <w:rPr>
          <w:rFonts w:ascii="Verdana" w:hAnsi="Verdana" w:cs="Times New Roman"/>
        </w:rPr>
      </w:pPr>
    </w:p>
    <w:p w:rsidR="00FD4AB4" w:rsidRPr="00EE4D50" w:rsidRDefault="00BB07EF" w:rsidP="00EC63DA">
      <w:pPr>
        <w:spacing w:after="60"/>
        <w:jc w:val="both"/>
        <w:rPr>
          <w:rFonts w:ascii="Verdana" w:hAnsi="Verdana" w:cs="Times New Roman"/>
        </w:rPr>
      </w:pPr>
      <w:r w:rsidRPr="00EE4D50">
        <w:rPr>
          <w:rFonts w:ascii="Verdana" w:hAnsi="Verdana" w:cs="Times New Roman"/>
        </w:rPr>
        <w:t>En este año se registró un total de 3.274 exportaciones de las ensambladoras Aymesa y Omnibus BB con porcentaje</w:t>
      </w:r>
      <w:r w:rsidR="00056722" w:rsidRPr="00EE4D50">
        <w:rPr>
          <w:rFonts w:ascii="Verdana" w:hAnsi="Verdana" w:cs="Times New Roman"/>
        </w:rPr>
        <w:t>s de 65% y 35% respectivamente.</w:t>
      </w:r>
    </w:p>
    <w:p w:rsidR="00FD4AB4" w:rsidRPr="00EE4D50" w:rsidRDefault="00FD4AB4" w:rsidP="00EC63DA">
      <w:pPr>
        <w:spacing w:after="60"/>
        <w:jc w:val="both"/>
        <w:rPr>
          <w:rFonts w:ascii="Verdana" w:hAnsi="Verdana" w:cs="Times New Roman"/>
        </w:rPr>
      </w:pPr>
    </w:p>
    <w:p w:rsidR="00BB07EF" w:rsidRPr="00EE4D50" w:rsidRDefault="00963D63" w:rsidP="00EC63DA">
      <w:pPr>
        <w:pStyle w:val="Ttulo3"/>
        <w:rPr>
          <w:rFonts w:ascii="Verdana" w:hAnsi="Verdana" w:cs="Times New Roman"/>
          <w:i/>
          <w:color w:val="auto"/>
          <w:sz w:val="24"/>
        </w:rPr>
      </w:pPr>
      <w:bookmarkStart w:id="80" w:name="_Toc485137218"/>
      <w:r w:rsidRPr="00EE4D50">
        <w:rPr>
          <w:rFonts w:ascii="Verdana" w:hAnsi="Verdana" w:cs="Times New Roman"/>
          <w:i/>
          <w:color w:val="auto"/>
          <w:sz w:val="24"/>
        </w:rPr>
        <w:t>Importación</w:t>
      </w:r>
      <w:bookmarkEnd w:id="80"/>
    </w:p>
    <w:p w:rsidR="00EE52B1" w:rsidRPr="00EE4D50" w:rsidRDefault="00EE52B1"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2011</w:t>
      </w:r>
    </w:p>
    <w:p w:rsidR="00EE52B1" w:rsidRPr="00EE4D50" w:rsidRDefault="00EE52B1"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En este año se importaron el 56% de los vehículos comercializados. Los principales países proveedores de los vehículos han sido Corea, Colombia, China, México y Japón y se importó un total de 75.101 vehículos.</w:t>
      </w:r>
    </w:p>
    <w:p w:rsidR="00EE52B1" w:rsidRPr="00EE4D50" w:rsidRDefault="00EE52B1" w:rsidP="00EC63DA">
      <w:pPr>
        <w:spacing w:after="60"/>
        <w:jc w:val="both"/>
        <w:rPr>
          <w:rFonts w:ascii="Verdana" w:hAnsi="Verdana" w:cs="Times New Roman"/>
        </w:rPr>
      </w:pPr>
    </w:p>
    <w:p w:rsidR="00EE52B1" w:rsidRPr="00EE4D50" w:rsidRDefault="00BB07EF" w:rsidP="00EC63DA">
      <w:pPr>
        <w:spacing w:after="60"/>
        <w:jc w:val="both"/>
        <w:rPr>
          <w:rFonts w:ascii="Verdana" w:hAnsi="Verdana" w:cs="Times New Roman"/>
        </w:rPr>
      </w:pPr>
      <w:r w:rsidRPr="00EE4D50">
        <w:rPr>
          <w:rFonts w:ascii="Verdana" w:hAnsi="Verdana" w:cs="Times New Roman"/>
        </w:rPr>
        <w:t>La importación de las unidades de vehículos muestra una reducción con relación al año 2010 de 6% respecto a las 79.681 unidades importadas en el 2010.</w:t>
      </w:r>
    </w:p>
    <w:p w:rsidR="00EE52B1" w:rsidRPr="00EE4D50" w:rsidRDefault="00EE52B1" w:rsidP="00EC63DA">
      <w:pPr>
        <w:spacing w:after="60"/>
        <w:jc w:val="both"/>
        <w:rPr>
          <w:rFonts w:ascii="Verdana" w:hAnsi="Verdana" w:cs="Times New Roman"/>
        </w:rPr>
      </w:pPr>
    </w:p>
    <w:p w:rsidR="00261705" w:rsidRPr="00EE4D50" w:rsidRDefault="00261705" w:rsidP="00EC63DA">
      <w:pPr>
        <w:spacing w:after="60"/>
        <w:jc w:val="both"/>
        <w:rPr>
          <w:rFonts w:ascii="Verdana" w:hAnsi="Verdana" w:cs="Times New Roman"/>
        </w:rPr>
      </w:pPr>
    </w:p>
    <w:p w:rsidR="00261705" w:rsidRPr="00EE4D50" w:rsidRDefault="00261705" w:rsidP="00EC63DA">
      <w:pPr>
        <w:spacing w:after="60"/>
        <w:jc w:val="both"/>
        <w:rPr>
          <w:rFonts w:ascii="Verdana" w:hAnsi="Verdana" w:cs="Times New Roman"/>
        </w:rPr>
      </w:pPr>
    </w:p>
    <w:p w:rsidR="00261705" w:rsidRPr="00EE4D50" w:rsidRDefault="00261705"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lastRenderedPageBreak/>
        <w:t>2012</w:t>
      </w:r>
    </w:p>
    <w:p w:rsidR="00EE52B1" w:rsidRPr="00EE4D50" w:rsidRDefault="00EE52B1"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EL 54% de los vehículos comercializados fueron importados y los principales países proveedores del mercado son Corea, China, Colombia, Japón y México, para ese año se contabilizo alrededor de 66.652 unidades, estos datos muestran una baja respecto al 2011 del 11% </w:t>
      </w:r>
    </w:p>
    <w:p w:rsidR="00EE52B1" w:rsidRPr="00EE4D50" w:rsidRDefault="00EE52B1"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2013</w:t>
      </w:r>
    </w:p>
    <w:p w:rsidR="00EE52B1" w:rsidRPr="00EE4D50" w:rsidRDefault="00EE52B1"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Para este año se evidencia una reducción en las cifras de importaciones de un 6% respecto al año anterior, en total las unidades importadas son de 62.595 y el 51% de la demanda nacional fueron importados.</w:t>
      </w:r>
    </w:p>
    <w:p w:rsidR="00EE52B1" w:rsidRPr="00EE4D50" w:rsidRDefault="00EE52B1"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Los principales países proveedores son Corea con el 24%, China con el 13.8%, Japón con un 12.5%, México con un 12.3%, Colombia con el 9%, Estados Unidos con el 7%, Tailandia con el 6.9% y de otros países con un 13.8%.</w:t>
      </w:r>
    </w:p>
    <w:p w:rsidR="00EE52B1" w:rsidRPr="00EE4D50" w:rsidRDefault="00EE52B1"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2014</w:t>
      </w:r>
    </w:p>
    <w:p w:rsidR="00EE52B1" w:rsidRPr="00EE4D50" w:rsidRDefault="00EE52B1"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Para el 2014 se registraron un total de 57.093 unidades. El 48% de la demanda nacional fue importada y los principales países desde donde importamos fueron Corea con un 24%, Japón con un 15%, China con el 13%, México con el 13%, Colombia con el 11%, Estados Unidos con el 6%, Tailandia el 5% y de otros países el 13%</w:t>
      </w:r>
    </w:p>
    <w:p w:rsidR="00EE52B1" w:rsidRPr="00EE4D50" w:rsidRDefault="00EE52B1"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2015</w:t>
      </w:r>
    </w:p>
    <w:p w:rsidR="00EE52B1" w:rsidRPr="00EE4D50" w:rsidRDefault="00EE52B1"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Para el 2015, se registró importaciones de 33.640 unidades. </w:t>
      </w:r>
      <w:r w:rsidR="00337B4C" w:rsidRPr="00EE4D50">
        <w:rPr>
          <w:rFonts w:ascii="Verdana" w:hAnsi="Verdana" w:cs="Times New Roman"/>
        </w:rPr>
        <w:t>De los principales países importados son Corea 25.7%, Japón 17.8%, China 12.1%, México</w:t>
      </w:r>
      <w:r w:rsidR="00337B4C">
        <w:rPr>
          <w:rFonts w:ascii="Verdana" w:hAnsi="Verdana" w:cs="Times New Roman"/>
        </w:rPr>
        <w:t xml:space="preserve"> 9.7%, Colombia 11%, EEUU 4.5%,</w:t>
      </w:r>
      <w:r w:rsidR="00337B4C" w:rsidRPr="00EE4D50">
        <w:rPr>
          <w:rFonts w:ascii="Verdana" w:hAnsi="Verdana" w:cs="Times New Roman"/>
        </w:rPr>
        <w:t xml:space="preserve"> Tailandia 5.4%, Indonesia 2% y otros países 11.9%</w:t>
      </w:r>
    </w:p>
    <w:p w:rsidR="00BB07EF" w:rsidRPr="00EE4D50" w:rsidRDefault="00BB07EF" w:rsidP="00EC63DA">
      <w:pPr>
        <w:spacing w:after="60"/>
        <w:jc w:val="both"/>
        <w:rPr>
          <w:rFonts w:ascii="Verdana" w:hAnsi="Verdana" w:cs="Times New Roman"/>
          <w:b/>
        </w:rPr>
      </w:pPr>
    </w:p>
    <w:p w:rsidR="00BB07EF" w:rsidRPr="00EE4D50" w:rsidRDefault="00BB07EF" w:rsidP="00EC63DA">
      <w:pPr>
        <w:pStyle w:val="Ttulo2"/>
        <w:rPr>
          <w:rFonts w:cs="Times New Roman"/>
        </w:rPr>
      </w:pPr>
      <w:bookmarkStart w:id="81" w:name="_Toc485137219"/>
      <w:r w:rsidRPr="00EE4D50">
        <w:rPr>
          <w:rFonts w:cs="Times New Roman"/>
        </w:rPr>
        <w:t>Ventas de vehículos</w:t>
      </w:r>
      <w:bookmarkEnd w:id="81"/>
    </w:p>
    <w:p w:rsidR="00BB07EF" w:rsidRPr="00EE4D50" w:rsidRDefault="00BB07EF" w:rsidP="00EC63DA">
      <w:pPr>
        <w:spacing w:after="60"/>
        <w:jc w:val="both"/>
        <w:rPr>
          <w:rFonts w:ascii="Verdana" w:hAnsi="Verdana" w:cs="Times New Roman"/>
          <w:b/>
          <w:bCs/>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Entre los años 2011 y 2015 las ventas de vehículos livianos siguieron con la tendencia del período 2003-2010, ya que representaron en promedio un 89,3% en el total de las ventas, mientras que el 10,7% correspondió a los automotores pesados. Durante esos cinco años se vendieron en total 515.770 vehículos livianos: 89,6% del total de ventas. Según datos de la AEADE, del total de vehículos vendidos, los livianos se despacharon en un 91% en el 2011, 88,5% en el 2013 y un 88% para el 2015.</w:t>
      </w:r>
    </w:p>
    <w:p w:rsidR="00EE52B1" w:rsidRPr="00EE4D50" w:rsidRDefault="00EE52B1"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lastRenderedPageBreak/>
        <w:t>La mayor cantidad de ventas en la historia del sector automotriz se dio en el año 2011 con 62.053 unidades ensambladas y 77.840 unidades importadas como resultado un record en ventas por 139.893 unidades. Sin embargo, a partir del 2012 la comercialización de vehículos disminuyó significativamente hasta el 2015.</w:t>
      </w:r>
    </w:p>
    <w:p w:rsidR="00EE52B1" w:rsidRPr="00EE4D50" w:rsidRDefault="00EE52B1" w:rsidP="00EC63DA">
      <w:pPr>
        <w:spacing w:after="60"/>
        <w:jc w:val="both"/>
        <w:rPr>
          <w:rFonts w:ascii="Verdana" w:hAnsi="Verdana" w:cs="Times New Roman"/>
        </w:rPr>
      </w:pPr>
    </w:p>
    <w:p w:rsidR="00370BDA" w:rsidRPr="00EE4D50" w:rsidRDefault="00EC77AB" w:rsidP="00EC63DA">
      <w:pPr>
        <w:pStyle w:val="Epgrafe"/>
        <w:spacing w:after="0"/>
        <w:jc w:val="center"/>
        <w:rPr>
          <w:rFonts w:ascii="Verdana" w:hAnsi="Verdana" w:cs="Times New Roman"/>
          <w:b w:val="0"/>
          <w:color w:val="auto"/>
          <w:sz w:val="20"/>
          <w:szCs w:val="20"/>
        </w:rPr>
      </w:pPr>
      <w:bookmarkStart w:id="82" w:name="_Toc473640127"/>
      <w:r w:rsidRPr="00EE4D50">
        <w:rPr>
          <w:rFonts w:ascii="Verdana" w:hAnsi="Verdana" w:cs="Times New Roman"/>
          <w:color w:val="auto"/>
          <w:sz w:val="20"/>
          <w:szCs w:val="20"/>
        </w:rPr>
        <w:t xml:space="preserve">Tabla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Tabla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12</w:t>
      </w:r>
      <w:r w:rsidRPr="00EE4D50">
        <w:rPr>
          <w:rFonts w:ascii="Verdana" w:hAnsi="Verdana" w:cs="Times New Roman"/>
          <w:color w:val="auto"/>
          <w:sz w:val="20"/>
          <w:szCs w:val="20"/>
        </w:rPr>
        <w:fldChar w:fldCharType="end"/>
      </w:r>
      <w:r w:rsidR="007B53F9" w:rsidRPr="00EE4D50">
        <w:rPr>
          <w:rFonts w:ascii="Verdana" w:eastAsia="Times New Roman" w:hAnsi="Verdana" w:cs="Times New Roman"/>
          <w:b w:val="0"/>
          <w:color w:val="auto"/>
          <w:sz w:val="20"/>
          <w:szCs w:val="20"/>
          <w:lang w:val="es-ES" w:eastAsia="es-ES"/>
        </w:rPr>
        <w:t xml:space="preserve">: </w:t>
      </w:r>
      <w:r w:rsidR="000B7F55" w:rsidRPr="00EE4D50">
        <w:rPr>
          <w:rFonts w:ascii="Verdana" w:eastAsia="Times New Roman" w:hAnsi="Verdana" w:cs="Times New Roman"/>
          <w:b w:val="0"/>
          <w:color w:val="auto"/>
          <w:sz w:val="20"/>
          <w:szCs w:val="20"/>
          <w:lang w:val="es-ES" w:eastAsia="es-ES"/>
        </w:rPr>
        <w:t xml:space="preserve">Composición de las ventas </w:t>
      </w:r>
      <w:r w:rsidR="00370BDA" w:rsidRPr="00EE4D50">
        <w:rPr>
          <w:rFonts w:ascii="Verdana" w:eastAsia="Times New Roman" w:hAnsi="Verdana" w:cs="Times New Roman"/>
          <w:b w:val="0"/>
          <w:color w:val="auto"/>
          <w:sz w:val="20"/>
          <w:szCs w:val="20"/>
          <w:lang w:val="es-ES" w:eastAsia="es-ES"/>
        </w:rPr>
        <w:t xml:space="preserve">de vehículos </w:t>
      </w:r>
      <w:r w:rsidR="000B7F55" w:rsidRPr="00EE4D50">
        <w:rPr>
          <w:rFonts w:ascii="Verdana" w:eastAsia="Times New Roman" w:hAnsi="Verdana" w:cs="Times New Roman"/>
          <w:b w:val="0"/>
          <w:color w:val="auto"/>
          <w:sz w:val="20"/>
          <w:szCs w:val="20"/>
          <w:lang w:val="es-ES" w:eastAsia="es-ES"/>
        </w:rPr>
        <w:t xml:space="preserve">en Ecuador </w:t>
      </w:r>
      <w:r w:rsidR="00370BDA" w:rsidRPr="00EE4D50">
        <w:rPr>
          <w:rFonts w:ascii="Verdana" w:eastAsia="Times New Roman" w:hAnsi="Verdana" w:cs="Times New Roman"/>
          <w:b w:val="0"/>
          <w:color w:val="auto"/>
          <w:sz w:val="20"/>
          <w:szCs w:val="20"/>
          <w:lang w:val="es-ES" w:eastAsia="es-ES"/>
        </w:rPr>
        <w:t>(en unidades)</w:t>
      </w:r>
      <w:bookmarkEnd w:id="82"/>
    </w:p>
    <w:tbl>
      <w:tblPr>
        <w:tblW w:w="7719" w:type="dxa"/>
        <w:jc w:val="center"/>
        <w:tblInd w:w="55" w:type="dxa"/>
        <w:tblCellMar>
          <w:left w:w="70" w:type="dxa"/>
          <w:right w:w="70" w:type="dxa"/>
        </w:tblCellMar>
        <w:tblLook w:val="04A0" w:firstRow="1" w:lastRow="0" w:firstColumn="1" w:lastColumn="0" w:noHBand="0" w:noVBand="1"/>
      </w:tblPr>
      <w:tblGrid>
        <w:gridCol w:w="812"/>
        <w:gridCol w:w="1891"/>
        <w:gridCol w:w="1092"/>
        <w:gridCol w:w="1478"/>
        <w:gridCol w:w="1034"/>
        <w:gridCol w:w="1412"/>
      </w:tblGrid>
      <w:tr w:rsidR="00BB07EF" w:rsidRPr="00EE4D50" w:rsidTr="007B53F9">
        <w:trPr>
          <w:trHeight w:val="810"/>
          <w:jc w:val="center"/>
        </w:trPr>
        <w:tc>
          <w:tcPr>
            <w:tcW w:w="8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Año</w:t>
            </w:r>
          </w:p>
        </w:tc>
        <w:tc>
          <w:tcPr>
            <w:tcW w:w="1891" w:type="dxa"/>
            <w:tcBorders>
              <w:top w:val="single" w:sz="4" w:space="0" w:color="auto"/>
              <w:left w:val="nil"/>
              <w:bottom w:val="single" w:sz="4" w:space="0" w:color="auto"/>
              <w:right w:val="single" w:sz="4" w:space="0" w:color="auto"/>
            </w:tcBorders>
            <w:shd w:val="clear" w:color="auto" w:fill="auto"/>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Ensamblaje Local</w:t>
            </w:r>
          </w:p>
        </w:tc>
        <w:tc>
          <w:tcPr>
            <w:tcW w:w="1092"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w:t>
            </w:r>
          </w:p>
        </w:tc>
        <w:tc>
          <w:tcPr>
            <w:tcW w:w="1478"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Importación</w:t>
            </w:r>
          </w:p>
        </w:tc>
        <w:tc>
          <w:tcPr>
            <w:tcW w:w="1034"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w:t>
            </w:r>
          </w:p>
        </w:tc>
        <w:tc>
          <w:tcPr>
            <w:tcW w:w="1412"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Total</w:t>
            </w:r>
          </w:p>
        </w:tc>
      </w:tr>
      <w:tr w:rsidR="00BB07EF" w:rsidRPr="00EE4D50" w:rsidTr="007B53F9">
        <w:trPr>
          <w:trHeight w:val="406"/>
          <w:jc w:val="center"/>
        </w:trPr>
        <w:tc>
          <w:tcPr>
            <w:tcW w:w="812" w:type="dxa"/>
            <w:tcBorders>
              <w:top w:val="nil"/>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2011</w:t>
            </w:r>
          </w:p>
        </w:tc>
        <w:tc>
          <w:tcPr>
            <w:tcW w:w="189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62 053</w:t>
            </w:r>
          </w:p>
        </w:tc>
        <w:tc>
          <w:tcPr>
            <w:tcW w:w="109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44,4%</w:t>
            </w:r>
          </w:p>
        </w:tc>
        <w:tc>
          <w:tcPr>
            <w:tcW w:w="147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77 840</w:t>
            </w:r>
          </w:p>
        </w:tc>
        <w:tc>
          <w:tcPr>
            <w:tcW w:w="10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55,6%</w:t>
            </w:r>
          </w:p>
        </w:tc>
        <w:tc>
          <w:tcPr>
            <w:tcW w:w="141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139 893</w:t>
            </w:r>
          </w:p>
        </w:tc>
      </w:tr>
      <w:tr w:rsidR="00BB07EF" w:rsidRPr="00EE4D50" w:rsidTr="007B53F9">
        <w:trPr>
          <w:trHeight w:val="406"/>
          <w:jc w:val="center"/>
        </w:trPr>
        <w:tc>
          <w:tcPr>
            <w:tcW w:w="812" w:type="dxa"/>
            <w:tcBorders>
              <w:top w:val="nil"/>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2012</w:t>
            </w:r>
          </w:p>
        </w:tc>
        <w:tc>
          <w:tcPr>
            <w:tcW w:w="189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56 395</w:t>
            </w:r>
          </w:p>
        </w:tc>
        <w:tc>
          <w:tcPr>
            <w:tcW w:w="109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46,4%</w:t>
            </w:r>
          </w:p>
        </w:tc>
        <w:tc>
          <w:tcPr>
            <w:tcW w:w="147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65 051</w:t>
            </w:r>
          </w:p>
        </w:tc>
        <w:tc>
          <w:tcPr>
            <w:tcW w:w="10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53,6%</w:t>
            </w:r>
          </w:p>
        </w:tc>
        <w:tc>
          <w:tcPr>
            <w:tcW w:w="141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121 446</w:t>
            </w:r>
          </w:p>
        </w:tc>
      </w:tr>
      <w:tr w:rsidR="00BB07EF" w:rsidRPr="00EE4D50" w:rsidTr="007B53F9">
        <w:trPr>
          <w:trHeight w:val="406"/>
          <w:jc w:val="center"/>
        </w:trPr>
        <w:tc>
          <w:tcPr>
            <w:tcW w:w="812" w:type="dxa"/>
            <w:tcBorders>
              <w:top w:val="nil"/>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2013</w:t>
            </w:r>
          </w:p>
        </w:tc>
        <w:tc>
          <w:tcPr>
            <w:tcW w:w="189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55 509</w:t>
            </w:r>
          </w:p>
        </w:tc>
        <w:tc>
          <w:tcPr>
            <w:tcW w:w="109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48,8%</w:t>
            </w:r>
          </w:p>
        </w:tc>
        <w:tc>
          <w:tcPr>
            <w:tcW w:w="147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58 303</w:t>
            </w:r>
          </w:p>
        </w:tc>
        <w:tc>
          <w:tcPr>
            <w:tcW w:w="10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51,2%</w:t>
            </w:r>
          </w:p>
        </w:tc>
        <w:tc>
          <w:tcPr>
            <w:tcW w:w="141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113 812</w:t>
            </w:r>
          </w:p>
        </w:tc>
      </w:tr>
      <w:tr w:rsidR="00BB07EF" w:rsidRPr="00EE4D50" w:rsidTr="007B53F9">
        <w:trPr>
          <w:trHeight w:val="406"/>
          <w:jc w:val="center"/>
        </w:trPr>
        <w:tc>
          <w:tcPr>
            <w:tcW w:w="812" w:type="dxa"/>
            <w:tcBorders>
              <w:top w:val="nil"/>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2014</w:t>
            </w:r>
          </w:p>
        </w:tc>
        <w:tc>
          <w:tcPr>
            <w:tcW w:w="189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61 855</w:t>
            </w:r>
          </w:p>
        </w:tc>
        <w:tc>
          <w:tcPr>
            <w:tcW w:w="109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51,5%</w:t>
            </w:r>
          </w:p>
        </w:tc>
        <w:tc>
          <w:tcPr>
            <w:tcW w:w="147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58 205</w:t>
            </w:r>
          </w:p>
        </w:tc>
        <w:tc>
          <w:tcPr>
            <w:tcW w:w="10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48,5%</w:t>
            </w:r>
          </w:p>
        </w:tc>
        <w:tc>
          <w:tcPr>
            <w:tcW w:w="141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120 060</w:t>
            </w:r>
          </w:p>
        </w:tc>
      </w:tr>
      <w:tr w:rsidR="00BB07EF" w:rsidRPr="00EE4D50" w:rsidTr="007B53F9">
        <w:trPr>
          <w:trHeight w:val="406"/>
          <w:jc w:val="center"/>
        </w:trPr>
        <w:tc>
          <w:tcPr>
            <w:tcW w:w="812" w:type="dxa"/>
            <w:tcBorders>
              <w:top w:val="nil"/>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2015</w:t>
            </w:r>
          </w:p>
        </w:tc>
        <w:tc>
          <w:tcPr>
            <w:tcW w:w="189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43 962</w:t>
            </w:r>
          </w:p>
        </w:tc>
        <w:tc>
          <w:tcPr>
            <w:tcW w:w="109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54,1%</w:t>
            </w:r>
          </w:p>
        </w:tc>
        <w:tc>
          <w:tcPr>
            <w:tcW w:w="147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37 347</w:t>
            </w:r>
          </w:p>
        </w:tc>
        <w:tc>
          <w:tcPr>
            <w:tcW w:w="103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45,9%</w:t>
            </w:r>
          </w:p>
        </w:tc>
        <w:tc>
          <w:tcPr>
            <w:tcW w:w="141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val="es-ES" w:eastAsia="es-ES"/>
              </w:rPr>
            </w:pPr>
            <w:r w:rsidRPr="00EE4D50">
              <w:rPr>
                <w:rFonts w:ascii="Verdana" w:eastAsia="Times New Roman" w:hAnsi="Verdana" w:cs="Times New Roman"/>
                <w:color w:val="000000"/>
                <w:sz w:val="20"/>
                <w:szCs w:val="20"/>
                <w:lang w:val="es-ES" w:eastAsia="es-ES"/>
              </w:rPr>
              <w:t>81 309</w:t>
            </w:r>
          </w:p>
        </w:tc>
      </w:tr>
    </w:tbl>
    <w:p w:rsidR="00370BDA" w:rsidRPr="00EE4D50" w:rsidRDefault="007B53F9" w:rsidP="00EC63DA">
      <w:pPr>
        <w:spacing w:after="0" w:line="240" w:lineRule="auto"/>
        <w:jc w:val="both"/>
        <w:rPr>
          <w:rFonts w:ascii="Verdana" w:hAnsi="Verdana" w:cs="Times New Roman"/>
          <w:sz w:val="20"/>
        </w:rPr>
      </w:pPr>
      <w:r w:rsidRPr="00EE4D50">
        <w:rPr>
          <w:rFonts w:ascii="Verdana" w:hAnsi="Verdana" w:cs="Times New Roman"/>
        </w:rPr>
        <w:t xml:space="preserve">        </w:t>
      </w:r>
      <w:r w:rsidR="00370BDA" w:rsidRPr="00EE4D50">
        <w:rPr>
          <w:rFonts w:ascii="Verdana" w:hAnsi="Verdana" w:cs="Times New Roman"/>
          <w:sz w:val="20"/>
        </w:rPr>
        <w:t>Fuente: AEADE (2015)</w:t>
      </w:r>
    </w:p>
    <w:p w:rsidR="00370BDA" w:rsidRPr="00EE4D50" w:rsidRDefault="007B53F9" w:rsidP="00EC63DA">
      <w:pPr>
        <w:spacing w:after="0" w:line="240" w:lineRule="auto"/>
        <w:jc w:val="both"/>
        <w:rPr>
          <w:rFonts w:ascii="Verdana" w:hAnsi="Verdana" w:cs="Times New Roman"/>
          <w:sz w:val="20"/>
        </w:rPr>
      </w:pPr>
      <w:r w:rsidRPr="00EE4D50">
        <w:rPr>
          <w:rFonts w:ascii="Verdana" w:hAnsi="Verdana" w:cs="Times New Roman"/>
          <w:sz w:val="20"/>
        </w:rPr>
        <w:t xml:space="preserve">        </w:t>
      </w:r>
      <w:r w:rsidR="00370BDA" w:rsidRPr="00EE4D50">
        <w:rPr>
          <w:rFonts w:ascii="Verdana" w:hAnsi="Verdana" w:cs="Times New Roman"/>
          <w:sz w:val="20"/>
        </w:rPr>
        <w:t>Elaboración: Autora</w:t>
      </w:r>
    </w:p>
    <w:p w:rsidR="00370BDA" w:rsidRPr="00EE4D50" w:rsidRDefault="00370BDA" w:rsidP="00EC63DA">
      <w:pPr>
        <w:jc w:val="both"/>
        <w:rPr>
          <w:rFonts w:ascii="Verdana" w:hAnsi="Verdana" w:cs="Times New Roman"/>
        </w:rPr>
      </w:pPr>
    </w:p>
    <w:p w:rsidR="00BB07EF" w:rsidRPr="00EE4D50" w:rsidRDefault="00CF4FE1" w:rsidP="00EC63DA">
      <w:pPr>
        <w:spacing w:after="60"/>
        <w:jc w:val="both"/>
        <w:rPr>
          <w:rFonts w:ascii="Verdana" w:hAnsi="Verdana" w:cs="Times New Roman"/>
        </w:rPr>
      </w:pPr>
      <w:r w:rsidRPr="00EE4D50">
        <w:rPr>
          <w:rFonts w:ascii="Verdana" w:hAnsi="Verdana" w:cs="Times New Roman"/>
        </w:rPr>
        <w:t>Como se observa en la tabla No.12</w:t>
      </w:r>
      <w:r w:rsidR="00BB07EF" w:rsidRPr="00EE4D50">
        <w:rPr>
          <w:rFonts w:ascii="Verdana" w:hAnsi="Verdana" w:cs="Times New Roman"/>
        </w:rPr>
        <w:t xml:space="preserve"> el ensamblaje local aumentó su participación en la composición de las ventas en el país durante el periodo 2011-2015. En el año 2011 los vehículos ensamblados en el país correspondieron al 44,4% del total de ventas (2,2% más que en 2010), en el 2014 el ensamblaje local ya le ganó en participación a las importaciones al pasar al 51,5% y luego aumentó al 54,1% en 2015. En total hubo un aumento del 10% de participación local durante esos cinco años. Esto parecería un gran avance para la industria del sector automotriz ecuatoriano para reducir las importaciones de vehículos completamente armados en sus fábricas de origen, pero sucedió que la cantidad de unidades comercializadas se redujo a partir de 2012. Las ventas del ensamblaje local decrecieron en – 29,2% del 2011 al 2015, y en promedio decrecieron -6,7% cada año.</w:t>
      </w:r>
    </w:p>
    <w:p w:rsidR="00882B85" w:rsidRPr="00EE4D50" w:rsidRDefault="00882B85" w:rsidP="00EC63DA">
      <w:pPr>
        <w:spacing w:after="60"/>
        <w:jc w:val="both"/>
        <w:rPr>
          <w:rFonts w:ascii="Verdana" w:hAnsi="Verdana" w:cs="Times New Roman"/>
        </w:rPr>
      </w:pPr>
    </w:p>
    <w:p w:rsidR="00261705" w:rsidRPr="00EE4D50" w:rsidRDefault="00261705" w:rsidP="00EC63DA">
      <w:pPr>
        <w:spacing w:after="60"/>
        <w:jc w:val="both"/>
        <w:rPr>
          <w:rFonts w:ascii="Verdana" w:hAnsi="Verdana" w:cs="Times New Roman"/>
        </w:rPr>
      </w:pPr>
    </w:p>
    <w:p w:rsidR="00261705" w:rsidRPr="00EE4D50" w:rsidRDefault="00261705" w:rsidP="00EC63DA">
      <w:pPr>
        <w:spacing w:after="60"/>
        <w:jc w:val="both"/>
        <w:rPr>
          <w:rFonts w:ascii="Verdana" w:hAnsi="Verdana" w:cs="Times New Roman"/>
        </w:rPr>
      </w:pPr>
    </w:p>
    <w:p w:rsidR="00261705" w:rsidRPr="00EE4D50" w:rsidRDefault="00261705" w:rsidP="00EC63DA">
      <w:pPr>
        <w:spacing w:after="60"/>
        <w:jc w:val="both"/>
        <w:rPr>
          <w:rFonts w:ascii="Verdana" w:hAnsi="Verdana" w:cs="Times New Roman"/>
        </w:rPr>
      </w:pPr>
    </w:p>
    <w:p w:rsidR="00261705" w:rsidRPr="00EE4D50" w:rsidRDefault="00261705" w:rsidP="00EC63DA">
      <w:pPr>
        <w:spacing w:after="60"/>
        <w:jc w:val="both"/>
        <w:rPr>
          <w:rFonts w:ascii="Verdana" w:hAnsi="Verdana" w:cs="Times New Roman"/>
        </w:rPr>
      </w:pPr>
    </w:p>
    <w:p w:rsidR="00261705" w:rsidRPr="00EE4D50" w:rsidRDefault="00261705" w:rsidP="00EC63DA">
      <w:pPr>
        <w:spacing w:after="60"/>
        <w:jc w:val="both"/>
        <w:rPr>
          <w:rFonts w:ascii="Verdana" w:hAnsi="Verdana" w:cs="Times New Roman"/>
        </w:rPr>
      </w:pPr>
    </w:p>
    <w:p w:rsidR="00261705" w:rsidRPr="00EE4D50" w:rsidRDefault="00261705" w:rsidP="00EC63DA">
      <w:pPr>
        <w:spacing w:after="60"/>
        <w:jc w:val="both"/>
        <w:rPr>
          <w:rFonts w:ascii="Verdana" w:hAnsi="Verdana" w:cs="Times New Roman"/>
        </w:rPr>
      </w:pPr>
    </w:p>
    <w:p w:rsidR="00261705" w:rsidRPr="00EE4D50" w:rsidRDefault="00261705" w:rsidP="00EC63DA">
      <w:pPr>
        <w:spacing w:after="60"/>
        <w:jc w:val="both"/>
        <w:rPr>
          <w:rFonts w:ascii="Verdana" w:hAnsi="Verdana" w:cs="Times New Roman"/>
        </w:rPr>
      </w:pPr>
    </w:p>
    <w:p w:rsidR="00261705" w:rsidRPr="00EE4D50" w:rsidRDefault="00261705" w:rsidP="00EC63DA">
      <w:pPr>
        <w:spacing w:after="60"/>
        <w:jc w:val="both"/>
        <w:rPr>
          <w:rFonts w:ascii="Verdana" w:hAnsi="Verdana" w:cs="Times New Roman"/>
        </w:rPr>
      </w:pPr>
    </w:p>
    <w:p w:rsidR="00261705" w:rsidRPr="00EE4D50" w:rsidRDefault="00261705" w:rsidP="00EC63DA">
      <w:pPr>
        <w:spacing w:after="60"/>
        <w:jc w:val="both"/>
        <w:rPr>
          <w:rFonts w:ascii="Verdana" w:hAnsi="Verdana" w:cs="Times New Roman"/>
        </w:rPr>
      </w:pPr>
    </w:p>
    <w:p w:rsidR="00261705" w:rsidRPr="00EE4D50" w:rsidRDefault="00261705" w:rsidP="00EC63DA">
      <w:pPr>
        <w:spacing w:after="60"/>
        <w:jc w:val="both"/>
        <w:rPr>
          <w:rFonts w:ascii="Verdana" w:hAnsi="Verdana" w:cs="Times New Roman"/>
        </w:rPr>
      </w:pPr>
    </w:p>
    <w:p w:rsidR="00BB07EF" w:rsidRPr="00EE4D50" w:rsidRDefault="00EC77AB" w:rsidP="00EC63DA">
      <w:pPr>
        <w:pStyle w:val="Epgrafe"/>
        <w:spacing w:after="0"/>
        <w:jc w:val="center"/>
        <w:rPr>
          <w:rFonts w:ascii="Verdana" w:hAnsi="Verdana" w:cs="Times New Roman"/>
          <w:color w:val="auto"/>
          <w:sz w:val="20"/>
          <w:szCs w:val="20"/>
        </w:rPr>
      </w:pPr>
      <w:bookmarkStart w:id="83" w:name="_Toc473640128"/>
      <w:r w:rsidRPr="00EE4D50">
        <w:rPr>
          <w:rFonts w:ascii="Verdana" w:hAnsi="Verdana" w:cs="Times New Roman"/>
          <w:color w:val="auto"/>
          <w:sz w:val="20"/>
          <w:szCs w:val="20"/>
        </w:rPr>
        <w:lastRenderedPageBreak/>
        <w:t xml:space="preserve">Tabla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Tabla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13</w:t>
      </w:r>
      <w:r w:rsidRPr="00EE4D50">
        <w:rPr>
          <w:rFonts w:ascii="Verdana" w:hAnsi="Verdana" w:cs="Times New Roman"/>
          <w:color w:val="auto"/>
          <w:sz w:val="20"/>
          <w:szCs w:val="20"/>
        </w:rPr>
        <w:fldChar w:fldCharType="end"/>
      </w:r>
      <w:r w:rsidR="007B53F9" w:rsidRPr="00EE4D50">
        <w:rPr>
          <w:rFonts w:ascii="Verdana" w:eastAsia="Times New Roman" w:hAnsi="Verdana" w:cs="Times New Roman"/>
          <w:b w:val="0"/>
          <w:color w:val="auto"/>
          <w:sz w:val="20"/>
          <w:szCs w:val="20"/>
          <w:lang w:val="es-ES" w:eastAsia="es-ES"/>
        </w:rPr>
        <w:t xml:space="preserve">: </w:t>
      </w:r>
      <w:r w:rsidR="00370BDA" w:rsidRPr="00EE4D50">
        <w:rPr>
          <w:rFonts w:ascii="Verdana" w:eastAsia="Times New Roman" w:hAnsi="Verdana" w:cs="Times New Roman"/>
          <w:b w:val="0"/>
          <w:color w:val="auto"/>
          <w:sz w:val="20"/>
          <w:szCs w:val="20"/>
          <w:lang w:val="es-ES" w:eastAsia="es-ES"/>
        </w:rPr>
        <w:t>Ventas anuales por tipo de vehículo (en unidades)</w:t>
      </w:r>
      <w:bookmarkEnd w:id="83"/>
    </w:p>
    <w:tbl>
      <w:tblPr>
        <w:tblW w:w="7670" w:type="dxa"/>
        <w:jc w:val="center"/>
        <w:tblInd w:w="56" w:type="dxa"/>
        <w:tblCellMar>
          <w:left w:w="70" w:type="dxa"/>
          <w:right w:w="70" w:type="dxa"/>
        </w:tblCellMar>
        <w:tblLook w:val="04A0" w:firstRow="1" w:lastRow="0" w:firstColumn="1" w:lastColumn="0" w:noHBand="0" w:noVBand="1"/>
      </w:tblPr>
      <w:tblGrid>
        <w:gridCol w:w="582"/>
        <w:gridCol w:w="1276"/>
        <w:gridCol w:w="1276"/>
        <w:gridCol w:w="850"/>
        <w:gridCol w:w="709"/>
        <w:gridCol w:w="992"/>
        <w:gridCol w:w="993"/>
        <w:gridCol w:w="992"/>
      </w:tblGrid>
      <w:tr w:rsidR="00370BDA" w:rsidRPr="00EE4D50" w:rsidTr="00370BDA">
        <w:trPr>
          <w:trHeight w:val="1318"/>
          <w:jc w:val="center"/>
        </w:trPr>
        <w:tc>
          <w:tcPr>
            <w:tcW w:w="582"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Año</w:t>
            </w:r>
          </w:p>
        </w:tc>
        <w:tc>
          <w:tcPr>
            <w:tcW w:w="1276" w:type="dxa"/>
            <w:tcBorders>
              <w:top w:val="single" w:sz="4" w:space="0" w:color="auto"/>
              <w:left w:val="nil"/>
              <w:bottom w:val="single" w:sz="8"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Automóviles</w:t>
            </w:r>
          </w:p>
        </w:tc>
        <w:tc>
          <w:tcPr>
            <w:tcW w:w="1276" w:type="dxa"/>
            <w:tcBorders>
              <w:top w:val="single" w:sz="4" w:space="0" w:color="auto"/>
              <w:left w:val="nil"/>
              <w:bottom w:val="single" w:sz="8"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Camionetas</w:t>
            </w:r>
          </w:p>
        </w:tc>
        <w:tc>
          <w:tcPr>
            <w:tcW w:w="850" w:type="dxa"/>
            <w:tcBorders>
              <w:top w:val="single" w:sz="4" w:space="0" w:color="auto"/>
              <w:left w:val="nil"/>
              <w:bottom w:val="single" w:sz="8"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Suv´s</w:t>
            </w:r>
          </w:p>
        </w:tc>
        <w:tc>
          <w:tcPr>
            <w:tcW w:w="709" w:type="dxa"/>
            <w:tcBorders>
              <w:top w:val="single" w:sz="4" w:space="0" w:color="auto"/>
              <w:left w:val="nil"/>
              <w:bottom w:val="single" w:sz="8"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Van´s</w:t>
            </w:r>
          </w:p>
        </w:tc>
        <w:tc>
          <w:tcPr>
            <w:tcW w:w="992" w:type="dxa"/>
            <w:tcBorders>
              <w:top w:val="single" w:sz="4" w:space="0" w:color="auto"/>
              <w:left w:val="nil"/>
              <w:bottom w:val="single" w:sz="8" w:space="0" w:color="auto"/>
              <w:right w:val="single" w:sz="4" w:space="0" w:color="auto"/>
            </w:tcBorders>
            <w:shd w:val="clear" w:color="auto" w:fill="auto"/>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Ventas vehículos livianos</w:t>
            </w:r>
          </w:p>
        </w:tc>
        <w:tc>
          <w:tcPr>
            <w:tcW w:w="993" w:type="dxa"/>
            <w:tcBorders>
              <w:top w:val="single" w:sz="4" w:space="0" w:color="auto"/>
              <w:left w:val="nil"/>
              <w:bottom w:val="single" w:sz="8" w:space="0" w:color="auto"/>
              <w:right w:val="single" w:sz="4" w:space="0" w:color="auto"/>
            </w:tcBorders>
            <w:shd w:val="clear" w:color="auto" w:fill="auto"/>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Ventas vehículos pesados</w:t>
            </w:r>
          </w:p>
        </w:tc>
        <w:tc>
          <w:tcPr>
            <w:tcW w:w="992" w:type="dxa"/>
            <w:tcBorders>
              <w:top w:val="single" w:sz="4" w:space="0" w:color="auto"/>
              <w:left w:val="nil"/>
              <w:bottom w:val="single" w:sz="8" w:space="0" w:color="auto"/>
              <w:right w:val="single" w:sz="4" w:space="0" w:color="auto"/>
            </w:tcBorders>
            <w:shd w:val="clear" w:color="auto" w:fill="auto"/>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6"/>
                <w:szCs w:val="16"/>
                <w:lang w:val="es-ES" w:eastAsia="es-ES"/>
              </w:rPr>
            </w:pPr>
            <w:r w:rsidRPr="00EE4D50">
              <w:rPr>
                <w:rFonts w:ascii="Verdana" w:eastAsia="Times New Roman" w:hAnsi="Verdana" w:cs="Times New Roman"/>
                <w:b/>
                <w:bCs/>
                <w:color w:val="000000"/>
                <w:sz w:val="16"/>
                <w:szCs w:val="16"/>
                <w:lang w:val="es-ES" w:eastAsia="es-ES"/>
              </w:rPr>
              <w:t>Total ventas</w:t>
            </w:r>
          </w:p>
        </w:tc>
      </w:tr>
      <w:tr w:rsidR="00370BDA" w:rsidRPr="00EE4D50" w:rsidTr="00370BDA">
        <w:trPr>
          <w:trHeight w:val="490"/>
          <w:jc w:val="center"/>
        </w:trPr>
        <w:tc>
          <w:tcPr>
            <w:tcW w:w="582"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2011</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62 585</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27 469</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31 712</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5 678</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127.444</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12.449</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139.893</w:t>
            </w:r>
          </w:p>
        </w:tc>
      </w:tr>
      <w:tr w:rsidR="00370BDA" w:rsidRPr="00EE4D50" w:rsidTr="00370BDA">
        <w:trPr>
          <w:trHeight w:val="490"/>
          <w:jc w:val="center"/>
        </w:trPr>
        <w:tc>
          <w:tcPr>
            <w:tcW w:w="582" w:type="dxa"/>
            <w:tcBorders>
              <w:top w:val="nil"/>
              <w:left w:val="single" w:sz="8"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2012</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53 526</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23 922</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27 118</w:t>
            </w:r>
          </w:p>
        </w:tc>
        <w:tc>
          <w:tcPr>
            <w:tcW w:w="70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4 463</w:t>
            </w:r>
          </w:p>
        </w:tc>
        <w:tc>
          <w:tcPr>
            <w:tcW w:w="99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109.029</w:t>
            </w:r>
          </w:p>
        </w:tc>
        <w:tc>
          <w:tcPr>
            <w:tcW w:w="993"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12.417</w:t>
            </w:r>
          </w:p>
        </w:tc>
        <w:tc>
          <w:tcPr>
            <w:tcW w:w="99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121.446</w:t>
            </w:r>
          </w:p>
        </w:tc>
      </w:tr>
      <w:tr w:rsidR="00370BDA" w:rsidRPr="00EE4D50" w:rsidTr="00370BDA">
        <w:trPr>
          <w:trHeight w:val="490"/>
          <w:jc w:val="center"/>
        </w:trPr>
        <w:tc>
          <w:tcPr>
            <w:tcW w:w="582" w:type="dxa"/>
            <w:tcBorders>
              <w:top w:val="nil"/>
              <w:left w:val="single" w:sz="8"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2013</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47 102</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22 047</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27 067</w:t>
            </w:r>
          </w:p>
        </w:tc>
        <w:tc>
          <w:tcPr>
            <w:tcW w:w="70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5 159</w:t>
            </w:r>
          </w:p>
        </w:tc>
        <w:tc>
          <w:tcPr>
            <w:tcW w:w="99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101.375</w:t>
            </w:r>
          </w:p>
        </w:tc>
        <w:tc>
          <w:tcPr>
            <w:tcW w:w="993"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12.437</w:t>
            </w:r>
          </w:p>
        </w:tc>
        <w:tc>
          <w:tcPr>
            <w:tcW w:w="99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113.812</w:t>
            </w:r>
          </w:p>
        </w:tc>
      </w:tr>
      <w:tr w:rsidR="00370BDA" w:rsidRPr="00EE4D50" w:rsidTr="00370BDA">
        <w:trPr>
          <w:trHeight w:val="490"/>
          <w:jc w:val="center"/>
        </w:trPr>
        <w:tc>
          <w:tcPr>
            <w:tcW w:w="582" w:type="dxa"/>
            <w:tcBorders>
              <w:top w:val="nil"/>
              <w:left w:val="single" w:sz="8"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2014</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47 851</w:t>
            </w:r>
          </w:p>
        </w:tc>
        <w:tc>
          <w:tcPr>
            <w:tcW w:w="1276"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23 244</w:t>
            </w:r>
          </w:p>
        </w:tc>
        <w:tc>
          <w:tcPr>
            <w:tcW w:w="85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30 634</w:t>
            </w:r>
          </w:p>
        </w:tc>
        <w:tc>
          <w:tcPr>
            <w:tcW w:w="70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5 355</w:t>
            </w:r>
          </w:p>
        </w:tc>
        <w:tc>
          <w:tcPr>
            <w:tcW w:w="99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107.084</w:t>
            </w:r>
          </w:p>
        </w:tc>
        <w:tc>
          <w:tcPr>
            <w:tcW w:w="993"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12.976</w:t>
            </w:r>
          </w:p>
        </w:tc>
        <w:tc>
          <w:tcPr>
            <w:tcW w:w="99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120.060</w:t>
            </w:r>
          </w:p>
        </w:tc>
      </w:tr>
      <w:tr w:rsidR="00370BDA" w:rsidRPr="00EE4D50" w:rsidTr="00370BDA">
        <w:trPr>
          <w:trHeight w:val="515"/>
          <w:jc w:val="center"/>
        </w:trPr>
        <w:tc>
          <w:tcPr>
            <w:tcW w:w="582" w:type="dxa"/>
            <w:tcBorders>
              <w:top w:val="nil"/>
              <w:left w:val="single" w:sz="8" w:space="0" w:color="auto"/>
              <w:bottom w:val="single" w:sz="8"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2015</w:t>
            </w:r>
          </w:p>
        </w:tc>
        <w:tc>
          <w:tcPr>
            <w:tcW w:w="1276" w:type="dxa"/>
            <w:tcBorders>
              <w:top w:val="nil"/>
              <w:left w:val="nil"/>
              <w:bottom w:val="single" w:sz="8"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30 344</w:t>
            </w:r>
          </w:p>
        </w:tc>
        <w:tc>
          <w:tcPr>
            <w:tcW w:w="1276" w:type="dxa"/>
            <w:tcBorders>
              <w:top w:val="nil"/>
              <w:left w:val="nil"/>
              <w:bottom w:val="single" w:sz="8"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15 071</w:t>
            </w:r>
          </w:p>
        </w:tc>
        <w:tc>
          <w:tcPr>
            <w:tcW w:w="850" w:type="dxa"/>
            <w:tcBorders>
              <w:top w:val="nil"/>
              <w:left w:val="nil"/>
              <w:bottom w:val="single" w:sz="8"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21 664</w:t>
            </w:r>
          </w:p>
        </w:tc>
        <w:tc>
          <w:tcPr>
            <w:tcW w:w="709" w:type="dxa"/>
            <w:tcBorders>
              <w:top w:val="nil"/>
              <w:left w:val="nil"/>
              <w:bottom w:val="single" w:sz="8"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4 404</w:t>
            </w:r>
          </w:p>
        </w:tc>
        <w:tc>
          <w:tcPr>
            <w:tcW w:w="99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71.483</w:t>
            </w:r>
          </w:p>
        </w:tc>
        <w:tc>
          <w:tcPr>
            <w:tcW w:w="993"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9.826</w:t>
            </w:r>
          </w:p>
        </w:tc>
        <w:tc>
          <w:tcPr>
            <w:tcW w:w="99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val="es-ES" w:eastAsia="es-ES"/>
              </w:rPr>
            </w:pPr>
            <w:r w:rsidRPr="00EE4D50">
              <w:rPr>
                <w:rFonts w:ascii="Verdana" w:eastAsia="Times New Roman" w:hAnsi="Verdana" w:cs="Times New Roman"/>
                <w:color w:val="000000"/>
                <w:sz w:val="16"/>
                <w:szCs w:val="16"/>
                <w:lang w:val="es-ES" w:eastAsia="es-ES"/>
              </w:rPr>
              <w:t>81.309</w:t>
            </w:r>
          </w:p>
        </w:tc>
      </w:tr>
    </w:tbl>
    <w:p w:rsidR="00370BDA" w:rsidRPr="00EE4D50" w:rsidRDefault="00370BDA" w:rsidP="00EC63DA">
      <w:pPr>
        <w:spacing w:after="0" w:line="240" w:lineRule="auto"/>
        <w:jc w:val="both"/>
        <w:rPr>
          <w:rFonts w:ascii="Verdana" w:hAnsi="Verdana" w:cs="Times New Roman"/>
          <w:sz w:val="20"/>
        </w:rPr>
      </w:pPr>
      <w:r w:rsidRPr="00EE4D50">
        <w:rPr>
          <w:rFonts w:ascii="Verdana" w:hAnsi="Verdana" w:cs="Times New Roman"/>
        </w:rPr>
        <w:t xml:space="preserve">         </w:t>
      </w:r>
      <w:r w:rsidRPr="00EE4D50">
        <w:rPr>
          <w:rFonts w:ascii="Verdana" w:hAnsi="Verdana" w:cs="Times New Roman"/>
          <w:sz w:val="20"/>
        </w:rPr>
        <w:t>Fuente: AEADE (2015)</w:t>
      </w:r>
    </w:p>
    <w:p w:rsidR="00370BDA" w:rsidRPr="00EE4D50" w:rsidRDefault="00370BDA" w:rsidP="00EC63DA">
      <w:pPr>
        <w:spacing w:after="0" w:line="240" w:lineRule="auto"/>
        <w:jc w:val="both"/>
        <w:rPr>
          <w:rFonts w:ascii="Verdana" w:hAnsi="Verdana" w:cs="Times New Roman"/>
          <w:sz w:val="20"/>
        </w:rPr>
      </w:pPr>
      <w:r w:rsidRPr="00EE4D50">
        <w:rPr>
          <w:rFonts w:ascii="Verdana" w:hAnsi="Verdana" w:cs="Times New Roman"/>
          <w:sz w:val="20"/>
        </w:rPr>
        <w:t xml:space="preserve">         Elaboración: Autora</w:t>
      </w:r>
    </w:p>
    <w:p w:rsidR="00BB07EF" w:rsidRPr="00EE4D50" w:rsidRDefault="00BB07EF" w:rsidP="00EC63DA">
      <w:pPr>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Las ventas de vehículos al año 2011 registraron un total de 139.893 unidades (la cifra más alta del periodo analizado). Al año 2012 se vendieron 121.446 unidades, una reducción del -13,2% con respecto al año anterior. Al 2013 las ventas se redujeron en -6,3%, en el 2014 aumentaron en 5,5% y en 2015 -32,3%). Entre los años 2011 y 2015, los vehículos livianos participaron en promedio con el 89% de las ventas, mientras que los vehículos pesados (camiones y buses) participaron en promedio con el 11%. En total, las ventas decrecieron en – 41,9% del 2011 al 2015.</w:t>
      </w:r>
    </w:p>
    <w:p w:rsidR="00EE52B1" w:rsidRPr="00EE4D50" w:rsidRDefault="00EE52B1" w:rsidP="00EC63DA">
      <w:pPr>
        <w:spacing w:after="60"/>
        <w:jc w:val="both"/>
        <w:rPr>
          <w:rFonts w:ascii="Verdana" w:hAnsi="Verdana" w:cs="Times New Roman"/>
        </w:rPr>
      </w:pPr>
    </w:p>
    <w:p w:rsidR="00056722" w:rsidRPr="00EE4D50" w:rsidRDefault="00BB07EF" w:rsidP="00EC63DA">
      <w:pPr>
        <w:jc w:val="both"/>
        <w:rPr>
          <w:rFonts w:ascii="Verdana" w:hAnsi="Verdana" w:cs="Times New Roman"/>
        </w:rPr>
      </w:pPr>
      <w:r w:rsidRPr="00EE4D50">
        <w:rPr>
          <w:rFonts w:ascii="Verdana" w:hAnsi="Verdana" w:cs="Times New Roman"/>
        </w:rPr>
        <w:t>Las ventas de vehículos livianos disminuyeron significativamente al comercializarse 127.444 unidades en 2011 a 71.483 unidades en 2015 (decrecimiento del -44%). Durante esos cinco años, entre la cantidad de ventas de esta categoría, los automóviles participaron en promedio con el 46%, las suv´s 2</w:t>
      </w:r>
      <w:r w:rsidR="00EE52B1" w:rsidRPr="00EE4D50">
        <w:rPr>
          <w:rFonts w:ascii="Verdana" w:hAnsi="Verdana" w:cs="Times New Roman"/>
        </w:rPr>
        <w:t xml:space="preserve">7%, camionetas 22% y van´s 5%. </w:t>
      </w:r>
    </w:p>
    <w:p w:rsidR="00056722" w:rsidRPr="00EE4D50" w:rsidRDefault="00056722" w:rsidP="00EC63DA">
      <w:pPr>
        <w:jc w:val="both"/>
        <w:rPr>
          <w:rFonts w:ascii="Verdana" w:hAnsi="Verdana" w:cs="Times New Roman"/>
        </w:rPr>
      </w:pPr>
    </w:p>
    <w:p w:rsidR="00FC200C" w:rsidRPr="00EE4D50" w:rsidRDefault="00EC77AB" w:rsidP="00EC63DA">
      <w:pPr>
        <w:pStyle w:val="Epgrafe"/>
        <w:spacing w:after="0"/>
        <w:jc w:val="center"/>
        <w:rPr>
          <w:rFonts w:ascii="Verdana" w:hAnsi="Verdana" w:cs="Times New Roman"/>
          <w:b w:val="0"/>
          <w:sz w:val="20"/>
        </w:rPr>
      </w:pPr>
      <w:bookmarkStart w:id="84" w:name="_Toc473640129"/>
      <w:r w:rsidRPr="00EE4D50">
        <w:rPr>
          <w:rFonts w:ascii="Verdana" w:hAnsi="Verdana" w:cs="Times New Roman"/>
          <w:color w:val="auto"/>
          <w:sz w:val="20"/>
          <w:szCs w:val="20"/>
        </w:rPr>
        <w:t xml:space="preserve">Tabla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Tabla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14</w:t>
      </w:r>
      <w:r w:rsidRPr="00EE4D50">
        <w:rPr>
          <w:rFonts w:ascii="Verdana" w:hAnsi="Verdana" w:cs="Times New Roman"/>
          <w:color w:val="auto"/>
          <w:sz w:val="20"/>
          <w:szCs w:val="20"/>
        </w:rPr>
        <w:fldChar w:fldCharType="end"/>
      </w:r>
      <w:r w:rsidR="007B53F9" w:rsidRPr="00EE4D50">
        <w:rPr>
          <w:rFonts w:ascii="Verdana" w:hAnsi="Verdana" w:cs="Times New Roman"/>
          <w:b w:val="0"/>
          <w:color w:val="auto"/>
          <w:sz w:val="20"/>
          <w:szCs w:val="20"/>
        </w:rPr>
        <w:t xml:space="preserve">: </w:t>
      </w:r>
      <w:r w:rsidR="00A66608" w:rsidRPr="00EE4D50">
        <w:rPr>
          <w:rFonts w:ascii="Verdana" w:hAnsi="Verdana" w:cs="Times New Roman"/>
          <w:b w:val="0"/>
          <w:color w:val="auto"/>
          <w:sz w:val="20"/>
          <w:szCs w:val="20"/>
        </w:rPr>
        <w:t>Ventas de vehículos según principales provincias (en unidades)</w:t>
      </w:r>
      <w:bookmarkEnd w:id="84"/>
    </w:p>
    <w:tbl>
      <w:tblPr>
        <w:tblW w:w="7940" w:type="dxa"/>
        <w:jc w:val="center"/>
        <w:tblInd w:w="55" w:type="dxa"/>
        <w:tblCellMar>
          <w:left w:w="70" w:type="dxa"/>
          <w:right w:w="70" w:type="dxa"/>
        </w:tblCellMar>
        <w:tblLook w:val="04A0" w:firstRow="1" w:lastRow="0" w:firstColumn="1" w:lastColumn="0" w:noHBand="0" w:noVBand="1"/>
      </w:tblPr>
      <w:tblGrid>
        <w:gridCol w:w="547"/>
        <w:gridCol w:w="649"/>
        <w:gridCol w:w="778"/>
        <w:gridCol w:w="649"/>
        <w:gridCol w:w="778"/>
        <w:gridCol w:w="649"/>
        <w:gridCol w:w="676"/>
        <w:gridCol w:w="547"/>
        <w:gridCol w:w="676"/>
        <w:gridCol w:w="649"/>
        <w:gridCol w:w="778"/>
        <w:gridCol w:w="751"/>
      </w:tblGrid>
      <w:tr w:rsidR="00FC200C" w:rsidRPr="00EE4D50" w:rsidTr="00FC200C">
        <w:trPr>
          <w:trHeight w:val="585"/>
          <w:jc w:val="center"/>
        </w:trPr>
        <w:tc>
          <w:tcPr>
            <w:tcW w:w="520" w:type="dxa"/>
            <w:tcBorders>
              <w:top w:val="single" w:sz="8" w:space="0" w:color="auto"/>
              <w:left w:val="single" w:sz="8" w:space="0" w:color="auto"/>
              <w:bottom w:val="single" w:sz="8" w:space="0" w:color="auto"/>
              <w:right w:val="nil"/>
            </w:tcBorders>
            <w:shd w:val="clear" w:color="000000" w:fill="FFFFFF"/>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p>
        </w:tc>
        <w:tc>
          <w:tcPr>
            <w:tcW w:w="1400" w:type="dxa"/>
            <w:gridSpan w:val="2"/>
            <w:tcBorders>
              <w:top w:val="single" w:sz="8" w:space="0" w:color="auto"/>
              <w:left w:val="single" w:sz="8" w:space="0" w:color="auto"/>
              <w:bottom w:val="single" w:sz="8" w:space="0" w:color="auto"/>
              <w:right w:val="single" w:sz="8" w:space="0" w:color="000000"/>
            </w:tcBorders>
            <w:shd w:val="clear" w:color="000000" w:fill="FFFFFF"/>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Pichincha</w:t>
            </w:r>
          </w:p>
        </w:tc>
        <w:tc>
          <w:tcPr>
            <w:tcW w:w="1400" w:type="dxa"/>
            <w:gridSpan w:val="2"/>
            <w:tcBorders>
              <w:top w:val="single" w:sz="8" w:space="0" w:color="auto"/>
              <w:left w:val="nil"/>
              <w:bottom w:val="single" w:sz="8" w:space="0" w:color="auto"/>
              <w:right w:val="single" w:sz="8" w:space="0" w:color="000000"/>
            </w:tcBorders>
            <w:shd w:val="clear" w:color="000000" w:fill="FFFFFF"/>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Guayas</w:t>
            </w:r>
          </w:p>
        </w:tc>
        <w:tc>
          <w:tcPr>
            <w:tcW w:w="1300" w:type="dxa"/>
            <w:gridSpan w:val="2"/>
            <w:tcBorders>
              <w:top w:val="single" w:sz="8" w:space="0" w:color="auto"/>
              <w:left w:val="nil"/>
              <w:bottom w:val="single" w:sz="8" w:space="0" w:color="auto"/>
              <w:right w:val="single" w:sz="8" w:space="0" w:color="000000"/>
            </w:tcBorders>
            <w:shd w:val="clear" w:color="000000" w:fill="FFFFFF"/>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Tungurahua</w:t>
            </w:r>
          </w:p>
        </w:tc>
        <w:tc>
          <w:tcPr>
            <w:tcW w:w="1180" w:type="dxa"/>
            <w:gridSpan w:val="2"/>
            <w:tcBorders>
              <w:top w:val="single" w:sz="8" w:space="0" w:color="auto"/>
              <w:left w:val="nil"/>
              <w:bottom w:val="single" w:sz="8" w:space="0" w:color="auto"/>
              <w:right w:val="single" w:sz="8" w:space="0" w:color="000000"/>
            </w:tcBorders>
            <w:shd w:val="clear" w:color="000000" w:fill="FFFFFF"/>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Azuay</w:t>
            </w:r>
          </w:p>
        </w:tc>
        <w:tc>
          <w:tcPr>
            <w:tcW w:w="1400" w:type="dxa"/>
            <w:gridSpan w:val="2"/>
            <w:tcBorders>
              <w:top w:val="single" w:sz="8" w:space="0" w:color="auto"/>
              <w:left w:val="nil"/>
              <w:bottom w:val="single" w:sz="8" w:space="0" w:color="auto"/>
              <w:right w:val="single" w:sz="8" w:space="0" w:color="000000"/>
            </w:tcBorders>
            <w:shd w:val="clear" w:color="000000" w:fill="FFFFFF"/>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Otras provincias</w:t>
            </w:r>
          </w:p>
        </w:tc>
        <w:tc>
          <w:tcPr>
            <w:tcW w:w="740" w:type="dxa"/>
            <w:tcBorders>
              <w:top w:val="single" w:sz="8" w:space="0" w:color="auto"/>
              <w:left w:val="nil"/>
              <w:bottom w:val="single" w:sz="8" w:space="0" w:color="auto"/>
              <w:right w:val="single" w:sz="8" w:space="0" w:color="auto"/>
            </w:tcBorders>
            <w:shd w:val="clear" w:color="000000" w:fill="FFFFFF"/>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Total</w:t>
            </w:r>
          </w:p>
        </w:tc>
      </w:tr>
      <w:tr w:rsidR="00FC200C" w:rsidRPr="00EE4D50" w:rsidTr="00FC200C">
        <w:trPr>
          <w:trHeight w:val="315"/>
          <w:jc w:val="center"/>
        </w:trPr>
        <w:tc>
          <w:tcPr>
            <w:tcW w:w="520" w:type="dxa"/>
            <w:tcBorders>
              <w:top w:val="nil"/>
              <w:left w:val="single" w:sz="8" w:space="0" w:color="auto"/>
              <w:bottom w:val="single" w:sz="8" w:space="0" w:color="auto"/>
              <w:right w:val="nil"/>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2011</w:t>
            </w:r>
          </w:p>
        </w:tc>
        <w:tc>
          <w:tcPr>
            <w:tcW w:w="625" w:type="dxa"/>
            <w:tcBorders>
              <w:top w:val="nil"/>
              <w:left w:val="single" w:sz="8" w:space="0" w:color="auto"/>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54905</w:t>
            </w:r>
          </w:p>
        </w:tc>
        <w:tc>
          <w:tcPr>
            <w:tcW w:w="775"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39,25%</w:t>
            </w:r>
          </w:p>
        </w:tc>
        <w:tc>
          <w:tcPr>
            <w:tcW w:w="625"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36916</w:t>
            </w:r>
          </w:p>
        </w:tc>
        <w:tc>
          <w:tcPr>
            <w:tcW w:w="775"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28,39%</w:t>
            </w:r>
          </w:p>
        </w:tc>
        <w:tc>
          <w:tcPr>
            <w:tcW w:w="634"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10106</w:t>
            </w:r>
          </w:p>
        </w:tc>
        <w:tc>
          <w:tcPr>
            <w:tcW w:w="666" w:type="dxa"/>
            <w:tcBorders>
              <w:top w:val="nil"/>
              <w:left w:val="nil"/>
              <w:bottom w:val="single" w:sz="8" w:space="0" w:color="auto"/>
              <w:right w:val="nil"/>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7,22%</w:t>
            </w:r>
          </w:p>
        </w:tc>
        <w:tc>
          <w:tcPr>
            <w:tcW w:w="514" w:type="dxa"/>
            <w:tcBorders>
              <w:top w:val="nil"/>
              <w:left w:val="single" w:sz="8" w:space="0" w:color="auto"/>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8999</w:t>
            </w:r>
          </w:p>
        </w:tc>
        <w:tc>
          <w:tcPr>
            <w:tcW w:w="666"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6,43%</w:t>
            </w:r>
          </w:p>
        </w:tc>
        <w:tc>
          <w:tcPr>
            <w:tcW w:w="625"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24457</w:t>
            </w:r>
          </w:p>
        </w:tc>
        <w:tc>
          <w:tcPr>
            <w:tcW w:w="775" w:type="dxa"/>
            <w:tcBorders>
              <w:top w:val="nil"/>
              <w:left w:val="nil"/>
              <w:bottom w:val="single" w:sz="8" w:space="0" w:color="auto"/>
              <w:right w:val="nil"/>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17,48%</w:t>
            </w:r>
          </w:p>
        </w:tc>
        <w:tc>
          <w:tcPr>
            <w:tcW w:w="740" w:type="dxa"/>
            <w:tcBorders>
              <w:top w:val="nil"/>
              <w:left w:val="single" w:sz="8" w:space="0" w:color="auto"/>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139893</w:t>
            </w:r>
          </w:p>
        </w:tc>
      </w:tr>
      <w:tr w:rsidR="00FC200C" w:rsidRPr="00EE4D50" w:rsidTr="00FC200C">
        <w:trPr>
          <w:trHeight w:val="315"/>
          <w:jc w:val="center"/>
        </w:trPr>
        <w:tc>
          <w:tcPr>
            <w:tcW w:w="520" w:type="dxa"/>
            <w:tcBorders>
              <w:top w:val="nil"/>
              <w:left w:val="single" w:sz="8" w:space="0" w:color="auto"/>
              <w:bottom w:val="single" w:sz="8" w:space="0" w:color="auto"/>
              <w:right w:val="nil"/>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2012</w:t>
            </w:r>
          </w:p>
        </w:tc>
        <w:tc>
          <w:tcPr>
            <w:tcW w:w="625" w:type="dxa"/>
            <w:tcBorders>
              <w:top w:val="nil"/>
              <w:left w:val="single" w:sz="8" w:space="0" w:color="auto"/>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48715</w:t>
            </w:r>
          </w:p>
        </w:tc>
        <w:tc>
          <w:tcPr>
            <w:tcW w:w="775"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40,11%</w:t>
            </w:r>
          </w:p>
        </w:tc>
        <w:tc>
          <w:tcPr>
            <w:tcW w:w="625"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32621</w:t>
            </w:r>
          </w:p>
        </w:tc>
        <w:tc>
          <w:tcPr>
            <w:tcW w:w="775"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26,86%</w:t>
            </w:r>
          </w:p>
        </w:tc>
        <w:tc>
          <w:tcPr>
            <w:tcW w:w="634"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8739</w:t>
            </w:r>
          </w:p>
        </w:tc>
        <w:tc>
          <w:tcPr>
            <w:tcW w:w="666" w:type="dxa"/>
            <w:tcBorders>
              <w:top w:val="nil"/>
              <w:left w:val="nil"/>
              <w:bottom w:val="single" w:sz="8" w:space="0" w:color="auto"/>
              <w:right w:val="nil"/>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7,20%</w:t>
            </w:r>
          </w:p>
        </w:tc>
        <w:tc>
          <w:tcPr>
            <w:tcW w:w="514" w:type="dxa"/>
            <w:tcBorders>
              <w:top w:val="nil"/>
              <w:left w:val="single" w:sz="8" w:space="0" w:color="auto"/>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7380</w:t>
            </w:r>
          </w:p>
        </w:tc>
        <w:tc>
          <w:tcPr>
            <w:tcW w:w="666"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6,08%</w:t>
            </w:r>
          </w:p>
        </w:tc>
        <w:tc>
          <w:tcPr>
            <w:tcW w:w="625"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19988</w:t>
            </w:r>
          </w:p>
        </w:tc>
        <w:tc>
          <w:tcPr>
            <w:tcW w:w="775" w:type="dxa"/>
            <w:tcBorders>
              <w:top w:val="nil"/>
              <w:left w:val="nil"/>
              <w:bottom w:val="single" w:sz="8" w:space="0" w:color="auto"/>
              <w:right w:val="nil"/>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16,46%</w:t>
            </w:r>
          </w:p>
        </w:tc>
        <w:tc>
          <w:tcPr>
            <w:tcW w:w="740" w:type="dxa"/>
            <w:tcBorders>
              <w:top w:val="nil"/>
              <w:left w:val="single" w:sz="8" w:space="0" w:color="auto"/>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121446</w:t>
            </w:r>
          </w:p>
        </w:tc>
      </w:tr>
      <w:tr w:rsidR="00FC200C" w:rsidRPr="00EE4D50" w:rsidTr="00FC200C">
        <w:trPr>
          <w:trHeight w:val="315"/>
          <w:jc w:val="center"/>
        </w:trPr>
        <w:tc>
          <w:tcPr>
            <w:tcW w:w="520" w:type="dxa"/>
            <w:tcBorders>
              <w:top w:val="nil"/>
              <w:left w:val="single" w:sz="8" w:space="0" w:color="auto"/>
              <w:bottom w:val="single" w:sz="8" w:space="0" w:color="auto"/>
              <w:right w:val="nil"/>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2013</w:t>
            </w:r>
          </w:p>
        </w:tc>
        <w:tc>
          <w:tcPr>
            <w:tcW w:w="625" w:type="dxa"/>
            <w:tcBorders>
              <w:top w:val="nil"/>
              <w:left w:val="single" w:sz="8" w:space="0" w:color="auto"/>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46478</w:t>
            </w:r>
          </w:p>
        </w:tc>
        <w:tc>
          <w:tcPr>
            <w:tcW w:w="775"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40,84%</w:t>
            </w:r>
          </w:p>
        </w:tc>
        <w:tc>
          <w:tcPr>
            <w:tcW w:w="625"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30824</w:t>
            </w:r>
          </w:p>
        </w:tc>
        <w:tc>
          <w:tcPr>
            <w:tcW w:w="775"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27,08%</w:t>
            </w:r>
          </w:p>
        </w:tc>
        <w:tc>
          <w:tcPr>
            <w:tcW w:w="634"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8016</w:t>
            </w:r>
          </w:p>
        </w:tc>
        <w:tc>
          <w:tcPr>
            <w:tcW w:w="666" w:type="dxa"/>
            <w:tcBorders>
              <w:top w:val="nil"/>
              <w:left w:val="nil"/>
              <w:bottom w:val="single" w:sz="8" w:space="0" w:color="auto"/>
              <w:right w:val="nil"/>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7,04%</w:t>
            </w:r>
          </w:p>
        </w:tc>
        <w:tc>
          <w:tcPr>
            <w:tcW w:w="514" w:type="dxa"/>
            <w:tcBorders>
              <w:top w:val="nil"/>
              <w:left w:val="single" w:sz="8" w:space="0" w:color="auto"/>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6461</w:t>
            </w:r>
          </w:p>
        </w:tc>
        <w:tc>
          <w:tcPr>
            <w:tcW w:w="666"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5,68%</w:t>
            </w:r>
          </w:p>
        </w:tc>
        <w:tc>
          <w:tcPr>
            <w:tcW w:w="625"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18077</w:t>
            </w:r>
          </w:p>
        </w:tc>
        <w:tc>
          <w:tcPr>
            <w:tcW w:w="775" w:type="dxa"/>
            <w:tcBorders>
              <w:top w:val="nil"/>
              <w:left w:val="nil"/>
              <w:bottom w:val="single" w:sz="8" w:space="0" w:color="auto"/>
              <w:right w:val="nil"/>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15,88%</w:t>
            </w:r>
          </w:p>
        </w:tc>
        <w:tc>
          <w:tcPr>
            <w:tcW w:w="740" w:type="dxa"/>
            <w:tcBorders>
              <w:top w:val="nil"/>
              <w:left w:val="single" w:sz="8" w:space="0" w:color="auto"/>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113812</w:t>
            </w:r>
          </w:p>
        </w:tc>
      </w:tr>
      <w:tr w:rsidR="00FC200C" w:rsidRPr="00EE4D50" w:rsidTr="00FC200C">
        <w:trPr>
          <w:trHeight w:val="315"/>
          <w:jc w:val="center"/>
        </w:trPr>
        <w:tc>
          <w:tcPr>
            <w:tcW w:w="520" w:type="dxa"/>
            <w:tcBorders>
              <w:top w:val="nil"/>
              <w:left w:val="single" w:sz="8" w:space="0" w:color="auto"/>
              <w:bottom w:val="single" w:sz="8" w:space="0" w:color="auto"/>
              <w:right w:val="nil"/>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2014</w:t>
            </w:r>
          </w:p>
        </w:tc>
        <w:tc>
          <w:tcPr>
            <w:tcW w:w="625" w:type="dxa"/>
            <w:tcBorders>
              <w:top w:val="nil"/>
              <w:left w:val="single" w:sz="8" w:space="0" w:color="auto"/>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49702</w:t>
            </w:r>
          </w:p>
        </w:tc>
        <w:tc>
          <w:tcPr>
            <w:tcW w:w="775"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41,40%</w:t>
            </w:r>
          </w:p>
        </w:tc>
        <w:tc>
          <w:tcPr>
            <w:tcW w:w="625"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32373</w:t>
            </w:r>
          </w:p>
        </w:tc>
        <w:tc>
          <w:tcPr>
            <w:tcW w:w="775"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26,96%</w:t>
            </w:r>
          </w:p>
        </w:tc>
        <w:tc>
          <w:tcPr>
            <w:tcW w:w="634"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8235</w:t>
            </w:r>
          </w:p>
        </w:tc>
        <w:tc>
          <w:tcPr>
            <w:tcW w:w="666" w:type="dxa"/>
            <w:tcBorders>
              <w:top w:val="nil"/>
              <w:left w:val="nil"/>
              <w:bottom w:val="single" w:sz="8" w:space="0" w:color="auto"/>
              <w:right w:val="nil"/>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6,86%</w:t>
            </w:r>
          </w:p>
        </w:tc>
        <w:tc>
          <w:tcPr>
            <w:tcW w:w="514" w:type="dxa"/>
            <w:tcBorders>
              <w:top w:val="nil"/>
              <w:left w:val="single" w:sz="8" w:space="0" w:color="auto"/>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7114</w:t>
            </w:r>
          </w:p>
        </w:tc>
        <w:tc>
          <w:tcPr>
            <w:tcW w:w="666"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5,93%</w:t>
            </w:r>
          </w:p>
        </w:tc>
        <w:tc>
          <w:tcPr>
            <w:tcW w:w="625"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18558</w:t>
            </w:r>
          </w:p>
        </w:tc>
        <w:tc>
          <w:tcPr>
            <w:tcW w:w="775" w:type="dxa"/>
            <w:tcBorders>
              <w:top w:val="nil"/>
              <w:left w:val="nil"/>
              <w:bottom w:val="single" w:sz="8" w:space="0" w:color="auto"/>
              <w:right w:val="nil"/>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15,46%</w:t>
            </w:r>
          </w:p>
        </w:tc>
        <w:tc>
          <w:tcPr>
            <w:tcW w:w="740" w:type="dxa"/>
            <w:tcBorders>
              <w:top w:val="nil"/>
              <w:left w:val="single" w:sz="8" w:space="0" w:color="auto"/>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120060</w:t>
            </w:r>
          </w:p>
        </w:tc>
      </w:tr>
      <w:tr w:rsidR="00FC200C" w:rsidRPr="00EE4D50" w:rsidTr="00FC200C">
        <w:trPr>
          <w:trHeight w:val="315"/>
          <w:jc w:val="center"/>
        </w:trPr>
        <w:tc>
          <w:tcPr>
            <w:tcW w:w="520" w:type="dxa"/>
            <w:tcBorders>
              <w:top w:val="nil"/>
              <w:left w:val="single" w:sz="8" w:space="0" w:color="auto"/>
              <w:bottom w:val="single" w:sz="8" w:space="0" w:color="auto"/>
              <w:right w:val="nil"/>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2015</w:t>
            </w:r>
          </w:p>
        </w:tc>
        <w:tc>
          <w:tcPr>
            <w:tcW w:w="625" w:type="dxa"/>
            <w:tcBorders>
              <w:top w:val="nil"/>
              <w:left w:val="single" w:sz="8" w:space="0" w:color="auto"/>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32566</w:t>
            </w:r>
          </w:p>
        </w:tc>
        <w:tc>
          <w:tcPr>
            <w:tcW w:w="775"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40,05%</w:t>
            </w:r>
          </w:p>
        </w:tc>
        <w:tc>
          <w:tcPr>
            <w:tcW w:w="625"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22268</w:t>
            </w:r>
          </w:p>
        </w:tc>
        <w:tc>
          <w:tcPr>
            <w:tcW w:w="775"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27,39%</w:t>
            </w:r>
          </w:p>
        </w:tc>
        <w:tc>
          <w:tcPr>
            <w:tcW w:w="634"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5495</w:t>
            </w:r>
          </w:p>
        </w:tc>
        <w:tc>
          <w:tcPr>
            <w:tcW w:w="666" w:type="dxa"/>
            <w:tcBorders>
              <w:top w:val="nil"/>
              <w:left w:val="nil"/>
              <w:bottom w:val="single" w:sz="8" w:space="0" w:color="auto"/>
              <w:right w:val="nil"/>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6,76%</w:t>
            </w:r>
          </w:p>
        </w:tc>
        <w:tc>
          <w:tcPr>
            <w:tcW w:w="514" w:type="dxa"/>
            <w:tcBorders>
              <w:top w:val="nil"/>
              <w:left w:val="single" w:sz="8" w:space="0" w:color="auto"/>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4986</w:t>
            </w:r>
          </w:p>
        </w:tc>
        <w:tc>
          <w:tcPr>
            <w:tcW w:w="666"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6,13%</w:t>
            </w:r>
          </w:p>
        </w:tc>
        <w:tc>
          <w:tcPr>
            <w:tcW w:w="625" w:type="dxa"/>
            <w:tcBorders>
              <w:top w:val="nil"/>
              <w:left w:val="nil"/>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12886</w:t>
            </w:r>
          </w:p>
        </w:tc>
        <w:tc>
          <w:tcPr>
            <w:tcW w:w="775" w:type="dxa"/>
            <w:tcBorders>
              <w:top w:val="nil"/>
              <w:left w:val="nil"/>
              <w:bottom w:val="single" w:sz="8" w:space="0" w:color="auto"/>
              <w:right w:val="nil"/>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15,85%</w:t>
            </w:r>
          </w:p>
        </w:tc>
        <w:tc>
          <w:tcPr>
            <w:tcW w:w="740" w:type="dxa"/>
            <w:tcBorders>
              <w:top w:val="nil"/>
              <w:left w:val="single" w:sz="8" w:space="0" w:color="auto"/>
              <w:bottom w:val="single" w:sz="8" w:space="0" w:color="auto"/>
              <w:right w:val="single" w:sz="8" w:space="0" w:color="auto"/>
            </w:tcBorders>
            <w:shd w:val="clear" w:color="000000" w:fill="FFFFFF"/>
            <w:noWrap/>
            <w:vAlign w:val="center"/>
            <w:hideMark/>
          </w:tcPr>
          <w:p w:rsidR="00FC200C" w:rsidRPr="00EE4D50" w:rsidRDefault="00FC200C"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81309</w:t>
            </w:r>
          </w:p>
        </w:tc>
      </w:tr>
    </w:tbl>
    <w:p w:rsidR="00A66608" w:rsidRPr="00EE4D50" w:rsidRDefault="00FC200C" w:rsidP="00EC63DA">
      <w:pPr>
        <w:spacing w:after="0" w:line="240" w:lineRule="auto"/>
        <w:jc w:val="both"/>
        <w:rPr>
          <w:rFonts w:ascii="Verdana" w:hAnsi="Verdana" w:cs="Times New Roman"/>
          <w:sz w:val="20"/>
        </w:rPr>
      </w:pPr>
      <w:r w:rsidRPr="00EE4D50">
        <w:rPr>
          <w:rFonts w:ascii="Verdana" w:hAnsi="Verdana" w:cs="Times New Roman"/>
          <w:b/>
        </w:rPr>
        <w:t xml:space="preserve">      </w:t>
      </w:r>
      <w:r w:rsidR="00A66608" w:rsidRPr="00EE4D50">
        <w:rPr>
          <w:rFonts w:ascii="Verdana" w:hAnsi="Verdana" w:cs="Times New Roman"/>
          <w:sz w:val="20"/>
        </w:rPr>
        <w:t>Fuente: AEADE (2015)</w:t>
      </w:r>
    </w:p>
    <w:p w:rsidR="00A66608" w:rsidRPr="00EE4D50" w:rsidRDefault="00A66608" w:rsidP="00EC63DA">
      <w:pPr>
        <w:spacing w:after="0" w:line="240" w:lineRule="auto"/>
        <w:jc w:val="both"/>
        <w:rPr>
          <w:rFonts w:ascii="Verdana" w:hAnsi="Verdana" w:cs="Times New Roman"/>
          <w:sz w:val="20"/>
        </w:rPr>
      </w:pPr>
      <w:r w:rsidRPr="00EE4D50">
        <w:rPr>
          <w:rFonts w:ascii="Verdana" w:hAnsi="Verdana" w:cs="Times New Roman"/>
          <w:sz w:val="20"/>
        </w:rPr>
        <w:t xml:space="preserve">    </w:t>
      </w:r>
      <w:r w:rsidR="00FC200C" w:rsidRPr="00EE4D50">
        <w:rPr>
          <w:rFonts w:ascii="Verdana" w:hAnsi="Verdana" w:cs="Times New Roman"/>
          <w:sz w:val="20"/>
        </w:rPr>
        <w:t xml:space="preserve"> </w:t>
      </w:r>
      <w:r w:rsidRPr="00EE4D50">
        <w:rPr>
          <w:rFonts w:ascii="Verdana" w:hAnsi="Verdana" w:cs="Times New Roman"/>
          <w:sz w:val="20"/>
        </w:rPr>
        <w:t xml:space="preserve"> Elaboración: Autora</w:t>
      </w:r>
    </w:p>
    <w:p w:rsidR="00BB07EF" w:rsidRPr="00EE4D50" w:rsidRDefault="00BB07EF" w:rsidP="00EC63DA">
      <w:pPr>
        <w:jc w:val="both"/>
        <w:rPr>
          <w:rFonts w:ascii="Verdana" w:hAnsi="Verdana" w:cs="Times New Roman"/>
        </w:rPr>
      </w:pPr>
    </w:p>
    <w:p w:rsidR="00056722" w:rsidRPr="00EE4D50" w:rsidRDefault="00BB07EF" w:rsidP="00EC63DA">
      <w:pPr>
        <w:spacing w:after="60"/>
        <w:jc w:val="both"/>
        <w:rPr>
          <w:rFonts w:ascii="Verdana" w:hAnsi="Verdana" w:cs="Times New Roman"/>
        </w:rPr>
      </w:pPr>
      <w:r w:rsidRPr="00EE4D50">
        <w:rPr>
          <w:rFonts w:ascii="Verdana" w:hAnsi="Verdana" w:cs="Times New Roman"/>
        </w:rPr>
        <w:lastRenderedPageBreak/>
        <w:t>La mayor cantidad de ventas de vehículos se dieron en las provincias con altos índices de actividades económicas y de población. Pichincha lideró con un 40% del total de las ventas que en promedio se vendieron 48.000 unidades durante los años 2011 al 2014. Sin embargo, al año 2015 se redujeron las ventas a 32.566 unidades. Luego, en Guayas la cantidad de vehículos vendidos fueron del 27% del total que en promedio se vendieron 33.000 unidades durante los años 2011 al 2014, pero al año 2015 se redujeron a 22.268 unidades. Tungurahua y Azuay participaron</w:t>
      </w:r>
      <w:r w:rsidR="00056722" w:rsidRPr="00EE4D50">
        <w:rPr>
          <w:rFonts w:ascii="Verdana" w:hAnsi="Verdana" w:cs="Times New Roman"/>
        </w:rPr>
        <w:t xml:space="preserve"> con el 7% y 6% respetivamente.</w:t>
      </w:r>
    </w:p>
    <w:p w:rsidR="00862CCC" w:rsidRPr="00EE4D50" w:rsidRDefault="00862CCC" w:rsidP="00EC63DA">
      <w:pPr>
        <w:spacing w:after="60"/>
        <w:jc w:val="both"/>
        <w:rPr>
          <w:rFonts w:ascii="Verdana" w:hAnsi="Verdana" w:cs="Times New Roman"/>
        </w:rPr>
      </w:pPr>
    </w:p>
    <w:p w:rsidR="00BB07EF" w:rsidRPr="00EE4D50" w:rsidRDefault="00EC77AB" w:rsidP="00EC63DA">
      <w:pPr>
        <w:pStyle w:val="Epgrafe"/>
        <w:spacing w:after="0"/>
        <w:jc w:val="center"/>
        <w:rPr>
          <w:rFonts w:ascii="Verdana" w:hAnsi="Verdana" w:cs="Times New Roman"/>
          <w:b w:val="0"/>
          <w:bCs w:val="0"/>
          <w:color w:val="auto"/>
          <w:sz w:val="20"/>
          <w:szCs w:val="20"/>
        </w:rPr>
      </w:pPr>
      <w:bookmarkStart w:id="85" w:name="_Toc473640130"/>
      <w:r w:rsidRPr="00EE4D50">
        <w:rPr>
          <w:rFonts w:ascii="Verdana" w:hAnsi="Verdana" w:cs="Times New Roman"/>
          <w:color w:val="auto"/>
          <w:sz w:val="20"/>
          <w:szCs w:val="20"/>
        </w:rPr>
        <w:t xml:space="preserve">Tabla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Tabla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15</w:t>
      </w:r>
      <w:r w:rsidRPr="00EE4D50">
        <w:rPr>
          <w:rFonts w:ascii="Verdana" w:hAnsi="Verdana" w:cs="Times New Roman"/>
          <w:color w:val="auto"/>
          <w:sz w:val="20"/>
          <w:szCs w:val="20"/>
        </w:rPr>
        <w:fldChar w:fldCharType="end"/>
      </w:r>
      <w:r w:rsidR="00FC200C" w:rsidRPr="00EE4D50">
        <w:rPr>
          <w:rFonts w:ascii="Verdana" w:hAnsi="Verdana" w:cs="Times New Roman"/>
          <w:b w:val="0"/>
          <w:color w:val="auto"/>
          <w:sz w:val="20"/>
          <w:szCs w:val="20"/>
        </w:rPr>
        <w:t xml:space="preserve">: </w:t>
      </w:r>
      <w:r w:rsidR="00BB07EF" w:rsidRPr="00EE4D50">
        <w:rPr>
          <w:rFonts w:ascii="Verdana" w:hAnsi="Verdana" w:cs="Times New Roman"/>
          <w:b w:val="0"/>
          <w:color w:val="auto"/>
          <w:sz w:val="20"/>
          <w:szCs w:val="20"/>
        </w:rPr>
        <w:t>Precios promedios de ventas de vehículos según segmento (en dólares)</w:t>
      </w:r>
      <w:bookmarkEnd w:id="85"/>
    </w:p>
    <w:tbl>
      <w:tblPr>
        <w:tblW w:w="7434" w:type="dxa"/>
        <w:jc w:val="center"/>
        <w:tblInd w:w="-68" w:type="dxa"/>
        <w:tblCellMar>
          <w:left w:w="70" w:type="dxa"/>
          <w:right w:w="70" w:type="dxa"/>
        </w:tblCellMar>
        <w:tblLook w:val="00A0" w:firstRow="1" w:lastRow="0" w:firstColumn="1" w:lastColumn="0" w:noHBand="0" w:noVBand="0"/>
      </w:tblPr>
      <w:tblGrid>
        <w:gridCol w:w="2094"/>
        <w:gridCol w:w="1068"/>
        <w:gridCol w:w="1068"/>
        <w:gridCol w:w="1068"/>
        <w:gridCol w:w="1068"/>
        <w:gridCol w:w="1068"/>
      </w:tblGrid>
      <w:tr w:rsidR="00BB07EF" w:rsidRPr="00EE4D50" w:rsidTr="00A66608">
        <w:trPr>
          <w:trHeight w:val="315"/>
          <w:jc w:val="center"/>
        </w:trPr>
        <w:tc>
          <w:tcPr>
            <w:tcW w:w="2094"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2011</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2012</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2013</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2014</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2015</w:t>
            </w:r>
          </w:p>
        </w:tc>
      </w:tr>
      <w:tr w:rsidR="00BB07EF" w:rsidRPr="00EE4D50" w:rsidTr="00A66608">
        <w:trPr>
          <w:trHeight w:val="300"/>
          <w:jc w:val="center"/>
        </w:trPr>
        <w:tc>
          <w:tcPr>
            <w:tcW w:w="2094"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Automóviles</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16.029</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17298</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17902</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19199</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23965</w:t>
            </w:r>
          </w:p>
        </w:tc>
      </w:tr>
      <w:tr w:rsidR="00BB07EF" w:rsidRPr="00EE4D50" w:rsidTr="00A66608">
        <w:trPr>
          <w:trHeight w:val="300"/>
          <w:jc w:val="center"/>
        </w:trPr>
        <w:tc>
          <w:tcPr>
            <w:tcW w:w="2094"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Camionetas</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17034</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31020</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31118</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32371</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29029</w:t>
            </w:r>
          </w:p>
        </w:tc>
      </w:tr>
      <w:tr w:rsidR="00BB07EF" w:rsidRPr="00EE4D50" w:rsidTr="00A66608">
        <w:trPr>
          <w:trHeight w:val="300"/>
          <w:jc w:val="center"/>
        </w:trPr>
        <w:tc>
          <w:tcPr>
            <w:tcW w:w="2094"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Suv´s</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28485</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31437</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33572</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35387</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40188</w:t>
            </w:r>
          </w:p>
        </w:tc>
      </w:tr>
      <w:tr w:rsidR="00BB07EF" w:rsidRPr="00EE4D50" w:rsidTr="00A66608">
        <w:trPr>
          <w:trHeight w:val="300"/>
          <w:jc w:val="center"/>
        </w:trPr>
        <w:tc>
          <w:tcPr>
            <w:tcW w:w="2094"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Van´s</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23704</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24894</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24738</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24806</w:t>
            </w:r>
          </w:p>
        </w:tc>
        <w:tc>
          <w:tcPr>
            <w:tcW w:w="1068" w:type="dxa"/>
            <w:tcBorders>
              <w:top w:val="single" w:sz="4" w:space="0" w:color="auto"/>
              <w:left w:val="single" w:sz="4" w:space="0" w:color="auto"/>
              <w:bottom w:val="single" w:sz="4" w:space="0" w:color="auto"/>
              <w:right w:val="single" w:sz="4" w:space="0" w:color="auto"/>
            </w:tcBorders>
            <w:noWrap/>
            <w:vAlign w:val="bottom"/>
          </w:tcPr>
          <w:p w:rsidR="00BB07EF" w:rsidRPr="00EE4D50" w:rsidRDefault="00BB07EF" w:rsidP="00EC63DA">
            <w:pPr>
              <w:spacing w:after="0" w:line="240" w:lineRule="auto"/>
              <w:jc w:val="center"/>
              <w:rPr>
                <w:rFonts w:ascii="Verdana" w:hAnsi="Verdana" w:cs="Times New Roman"/>
                <w:color w:val="000000"/>
                <w:sz w:val="20"/>
                <w:szCs w:val="20"/>
                <w:lang w:eastAsia="es-ES"/>
              </w:rPr>
            </w:pPr>
            <w:r w:rsidRPr="00EE4D50">
              <w:rPr>
                <w:rFonts w:ascii="Verdana" w:hAnsi="Verdana" w:cs="Times New Roman"/>
                <w:color w:val="000000"/>
                <w:sz w:val="20"/>
                <w:szCs w:val="20"/>
                <w:lang w:eastAsia="es-ES"/>
              </w:rPr>
              <w:t>28332</w:t>
            </w:r>
          </w:p>
        </w:tc>
      </w:tr>
    </w:tbl>
    <w:p w:rsidR="00BB07EF" w:rsidRPr="00EE4D50" w:rsidRDefault="00A66608" w:rsidP="00EC63DA">
      <w:pPr>
        <w:pStyle w:val="NormalWeb"/>
        <w:spacing w:before="0" w:beforeAutospacing="0" w:after="0" w:afterAutospacing="0"/>
        <w:jc w:val="both"/>
        <w:rPr>
          <w:rFonts w:ascii="Verdana" w:hAnsi="Verdana"/>
          <w:color w:val="000000"/>
          <w:sz w:val="20"/>
          <w:szCs w:val="20"/>
        </w:rPr>
      </w:pPr>
      <w:r w:rsidRPr="00EE4D50">
        <w:rPr>
          <w:rFonts w:ascii="Verdana" w:hAnsi="Verdana"/>
          <w:color w:val="000000"/>
          <w:sz w:val="22"/>
          <w:szCs w:val="22"/>
        </w:rPr>
        <w:t xml:space="preserve">          </w:t>
      </w:r>
      <w:r w:rsidR="00BB07EF" w:rsidRPr="00EE4D50">
        <w:rPr>
          <w:rFonts w:ascii="Verdana" w:hAnsi="Verdana"/>
          <w:color w:val="000000"/>
          <w:sz w:val="20"/>
          <w:szCs w:val="20"/>
        </w:rPr>
        <w:t>Fuente: AEADE</w:t>
      </w:r>
    </w:p>
    <w:p w:rsidR="00A66608" w:rsidRPr="00EE4D50" w:rsidRDefault="00A66608" w:rsidP="00EC63DA">
      <w:pPr>
        <w:pStyle w:val="NormalWeb"/>
        <w:spacing w:before="0" w:beforeAutospacing="0" w:after="0" w:afterAutospacing="0"/>
        <w:jc w:val="both"/>
        <w:rPr>
          <w:rFonts w:ascii="Verdana" w:hAnsi="Verdana"/>
          <w:color w:val="000000"/>
          <w:sz w:val="20"/>
          <w:szCs w:val="20"/>
        </w:rPr>
      </w:pPr>
      <w:r w:rsidRPr="00EE4D50">
        <w:rPr>
          <w:rFonts w:ascii="Verdana" w:hAnsi="Verdana"/>
          <w:sz w:val="20"/>
          <w:szCs w:val="20"/>
        </w:rPr>
        <w:t xml:space="preserve">  </w:t>
      </w:r>
      <w:r w:rsidR="00C44099">
        <w:rPr>
          <w:rFonts w:ascii="Verdana" w:hAnsi="Verdana"/>
          <w:sz w:val="20"/>
          <w:szCs w:val="20"/>
        </w:rPr>
        <w:t xml:space="preserve">  </w:t>
      </w:r>
      <w:r w:rsidRPr="00EE4D50">
        <w:rPr>
          <w:rFonts w:ascii="Verdana" w:hAnsi="Verdana"/>
          <w:sz w:val="20"/>
          <w:szCs w:val="20"/>
        </w:rPr>
        <w:t xml:space="preserve">      Elaboración: Autora</w:t>
      </w:r>
    </w:p>
    <w:p w:rsidR="00BB07EF" w:rsidRPr="00EE4D50" w:rsidRDefault="00BB07EF" w:rsidP="00EC63DA">
      <w:pPr>
        <w:spacing w:after="60"/>
        <w:jc w:val="both"/>
        <w:rPr>
          <w:rFonts w:ascii="Verdana" w:hAnsi="Verdana" w:cs="Times New Roman"/>
          <w:b/>
          <w:bCs/>
        </w:rPr>
      </w:pPr>
    </w:p>
    <w:p w:rsidR="00261705" w:rsidRPr="00EE4D50" w:rsidRDefault="00BB07EF" w:rsidP="00EC63DA">
      <w:pPr>
        <w:pStyle w:val="Default"/>
        <w:spacing w:after="60" w:line="276" w:lineRule="auto"/>
        <w:jc w:val="both"/>
        <w:rPr>
          <w:rFonts w:ascii="Verdana" w:hAnsi="Verdana" w:cs="Times New Roman"/>
          <w:sz w:val="22"/>
          <w:szCs w:val="22"/>
        </w:rPr>
      </w:pPr>
      <w:r w:rsidRPr="00EE4D50">
        <w:rPr>
          <w:rFonts w:ascii="Verdana" w:hAnsi="Verdana" w:cs="Times New Roman"/>
          <w:sz w:val="22"/>
          <w:szCs w:val="22"/>
        </w:rPr>
        <w:t>Análisis de los precios promedio de ventas de vehículos desde el año 2011 al 2015:</w:t>
      </w:r>
    </w:p>
    <w:p w:rsidR="00BB07EF" w:rsidRPr="00EE4D50" w:rsidRDefault="00BB07EF" w:rsidP="00EC63DA">
      <w:pPr>
        <w:pStyle w:val="Default"/>
        <w:spacing w:after="60" w:line="276" w:lineRule="auto"/>
        <w:jc w:val="both"/>
        <w:rPr>
          <w:rFonts w:ascii="Verdana" w:hAnsi="Verdana" w:cs="Times New Roman"/>
          <w:sz w:val="22"/>
          <w:szCs w:val="22"/>
        </w:rPr>
      </w:pPr>
      <w:r w:rsidRPr="00EE4D50">
        <w:rPr>
          <w:rFonts w:ascii="Verdana" w:hAnsi="Verdana" w:cs="Times New Roman"/>
          <w:sz w:val="22"/>
          <w:szCs w:val="22"/>
        </w:rPr>
        <w:t xml:space="preserve">Automóviles año 2011 – USD 16.029, año 2015 – USD 23965. Incremento: 49,5%. </w:t>
      </w:r>
    </w:p>
    <w:p w:rsidR="00BB07EF" w:rsidRPr="00EE4D50" w:rsidRDefault="00BB07EF" w:rsidP="00EC63DA">
      <w:pPr>
        <w:pStyle w:val="Default"/>
        <w:spacing w:after="60" w:line="276" w:lineRule="auto"/>
        <w:jc w:val="both"/>
        <w:rPr>
          <w:rFonts w:ascii="Verdana" w:hAnsi="Verdana" w:cs="Times New Roman"/>
          <w:sz w:val="22"/>
          <w:szCs w:val="22"/>
        </w:rPr>
      </w:pPr>
      <w:r w:rsidRPr="00EE4D50">
        <w:rPr>
          <w:rFonts w:ascii="Verdana" w:hAnsi="Verdana" w:cs="Times New Roman"/>
          <w:sz w:val="22"/>
          <w:szCs w:val="22"/>
        </w:rPr>
        <w:t xml:space="preserve">Camionetas año 2011 – USD 17.034, año 2015 – USD </w:t>
      </w:r>
      <w:r w:rsidRPr="00EE4D50">
        <w:rPr>
          <w:rFonts w:ascii="Verdana" w:hAnsi="Verdana" w:cs="Times New Roman"/>
          <w:sz w:val="22"/>
          <w:szCs w:val="22"/>
          <w:lang w:eastAsia="es-ES"/>
        </w:rPr>
        <w:t>29029. I</w:t>
      </w:r>
      <w:r w:rsidRPr="00EE4D50">
        <w:rPr>
          <w:rFonts w:ascii="Verdana" w:hAnsi="Verdana" w:cs="Times New Roman"/>
          <w:sz w:val="22"/>
          <w:szCs w:val="22"/>
        </w:rPr>
        <w:t>ncremento: 70,4%.</w:t>
      </w:r>
    </w:p>
    <w:p w:rsidR="00BB07EF" w:rsidRPr="00EE4D50" w:rsidRDefault="00BB07EF" w:rsidP="00EC63DA">
      <w:pPr>
        <w:pStyle w:val="Default"/>
        <w:spacing w:after="60" w:line="276" w:lineRule="auto"/>
        <w:jc w:val="both"/>
        <w:rPr>
          <w:rFonts w:ascii="Verdana" w:hAnsi="Verdana" w:cs="Times New Roman"/>
          <w:sz w:val="22"/>
          <w:szCs w:val="22"/>
        </w:rPr>
      </w:pPr>
      <w:r w:rsidRPr="00EE4D50">
        <w:rPr>
          <w:rFonts w:ascii="Verdana" w:hAnsi="Verdana" w:cs="Times New Roman"/>
          <w:sz w:val="22"/>
          <w:szCs w:val="22"/>
        </w:rPr>
        <w:t xml:space="preserve">Suv´s año 2011 – USD </w:t>
      </w:r>
      <w:r w:rsidRPr="00EE4D50">
        <w:rPr>
          <w:rFonts w:ascii="Verdana" w:hAnsi="Verdana" w:cs="Times New Roman"/>
          <w:sz w:val="22"/>
          <w:szCs w:val="22"/>
          <w:lang w:eastAsia="es-ES"/>
        </w:rPr>
        <w:t>28485</w:t>
      </w:r>
      <w:r w:rsidRPr="00EE4D50">
        <w:rPr>
          <w:rFonts w:ascii="Verdana" w:hAnsi="Verdana" w:cs="Times New Roman"/>
          <w:sz w:val="22"/>
          <w:szCs w:val="22"/>
        </w:rPr>
        <w:t>, año 2015 - USD</w:t>
      </w:r>
      <w:r w:rsidRPr="00EE4D50">
        <w:rPr>
          <w:rFonts w:ascii="Verdana" w:hAnsi="Verdana" w:cs="Times New Roman"/>
          <w:sz w:val="22"/>
          <w:szCs w:val="22"/>
          <w:lang w:eastAsia="es-ES"/>
        </w:rPr>
        <w:t>40188</w:t>
      </w:r>
      <w:r w:rsidRPr="00EE4D50">
        <w:rPr>
          <w:rFonts w:ascii="Verdana" w:hAnsi="Verdana" w:cs="Times New Roman"/>
          <w:sz w:val="22"/>
          <w:szCs w:val="22"/>
        </w:rPr>
        <w:t>. Incremento: 41,1%.</w:t>
      </w:r>
    </w:p>
    <w:p w:rsidR="00BB07EF" w:rsidRPr="00EE4D50" w:rsidRDefault="00BB07EF" w:rsidP="00EC63DA">
      <w:pPr>
        <w:pStyle w:val="Default"/>
        <w:spacing w:after="60" w:line="276" w:lineRule="auto"/>
        <w:jc w:val="both"/>
        <w:rPr>
          <w:rFonts w:ascii="Verdana" w:hAnsi="Verdana" w:cs="Times New Roman"/>
          <w:sz w:val="22"/>
          <w:szCs w:val="22"/>
        </w:rPr>
      </w:pPr>
      <w:r w:rsidRPr="00EE4D50">
        <w:rPr>
          <w:rFonts w:ascii="Verdana" w:hAnsi="Verdana" w:cs="Times New Roman"/>
          <w:sz w:val="22"/>
          <w:szCs w:val="22"/>
        </w:rPr>
        <w:t xml:space="preserve">Van´s año 2011 – USD </w:t>
      </w:r>
      <w:r w:rsidRPr="00EE4D50">
        <w:rPr>
          <w:rFonts w:ascii="Verdana" w:hAnsi="Verdana" w:cs="Times New Roman"/>
          <w:sz w:val="22"/>
          <w:szCs w:val="22"/>
          <w:lang w:eastAsia="es-ES"/>
        </w:rPr>
        <w:t>23704</w:t>
      </w:r>
      <w:r w:rsidRPr="00EE4D50">
        <w:rPr>
          <w:rFonts w:ascii="Verdana" w:hAnsi="Verdana" w:cs="Times New Roman"/>
          <w:sz w:val="22"/>
          <w:szCs w:val="22"/>
        </w:rPr>
        <w:t xml:space="preserve">, año 2015 – USD </w:t>
      </w:r>
      <w:r w:rsidRPr="00EE4D50">
        <w:rPr>
          <w:rFonts w:ascii="Verdana" w:hAnsi="Verdana" w:cs="Times New Roman"/>
          <w:sz w:val="22"/>
          <w:szCs w:val="22"/>
          <w:lang w:eastAsia="es-ES"/>
        </w:rPr>
        <w:t>28332</w:t>
      </w:r>
      <w:r w:rsidRPr="00EE4D50">
        <w:rPr>
          <w:rFonts w:ascii="Verdana" w:hAnsi="Verdana" w:cs="Times New Roman"/>
          <w:sz w:val="22"/>
          <w:szCs w:val="22"/>
        </w:rPr>
        <w:t>. Incremento: 19,5%.</w:t>
      </w:r>
    </w:p>
    <w:p w:rsidR="00BB07EF" w:rsidRPr="00EE4D50" w:rsidRDefault="00BB07EF" w:rsidP="00EC63DA">
      <w:pPr>
        <w:pStyle w:val="Sinespaciado"/>
        <w:spacing w:line="276" w:lineRule="auto"/>
        <w:jc w:val="both"/>
        <w:rPr>
          <w:rFonts w:ascii="Verdana" w:hAnsi="Verdana" w:cs="Times New Roman"/>
          <w:b/>
          <w:bCs/>
        </w:rPr>
      </w:pPr>
    </w:p>
    <w:p w:rsidR="00BB07EF" w:rsidRPr="00EE4D50" w:rsidRDefault="00BB07EF" w:rsidP="00EC63DA">
      <w:pPr>
        <w:pStyle w:val="Ttulo2"/>
        <w:rPr>
          <w:rFonts w:cs="Times New Roman"/>
        </w:rPr>
      </w:pPr>
      <w:bookmarkStart w:id="86" w:name="_Toc485137220"/>
      <w:r w:rsidRPr="00EE4D50">
        <w:rPr>
          <w:rFonts w:cs="Times New Roman"/>
        </w:rPr>
        <w:t>Composición del mercado automotor ecuatoriano según principales marcas comercializadas.</w:t>
      </w:r>
      <w:bookmarkEnd w:id="86"/>
    </w:p>
    <w:p w:rsidR="00261705" w:rsidRPr="00EE4D50" w:rsidRDefault="00261705" w:rsidP="00EC63DA">
      <w:pPr>
        <w:rPr>
          <w:rFonts w:ascii="Verdana" w:hAnsi="Verdana" w:cs="Times New Roman"/>
          <w:lang w:val="es-MX"/>
        </w:rPr>
      </w:pPr>
    </w:p>
    <w:p w:rsidR="00BB07EF" w:rsidRPr="00EE4D50" w:rsidRDefault="00EC77AB" w:rsidP="00EC63DA">
      <w:pPr>
        <w:pStyle w:val="Epgrafe"/>
        <w:spacing w:after="0"/>
        <w:jc w:val="center"/>
        <w:rPr>
          <w:rFonts w:ascii="Verdana" w:hAnsi="Verdana" w:cs="Times New Roman"/>
          <w:b w:val="0"/>
          <w:color w:val="auto"/>
          <w:sz w:val="20"/>
          <w:szCs w:val="20"/>
        </w:rPr>
      </w:pPr>
      <w:bookmarkStart w:id="87" w:name="_Toc473640131"/>
      <w:r w:rsidRPr="00EE4D50">
        <w:rPr>
          <w:rFonts w:ascii="Verdana" w:hAnsi="Verdana" w:cs="Times New Roman"/>
          <w:color w:val="auto"/>
          <w:sz w:val="20"/>
          <w:szCs w:val="20"/>
        </w:rPr>
        <w:t xml:space="preserve">Tabla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Tabla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16</w:t>
      </w:r>
      <w:r w:rsidRPr="00EE4D50">
        <w:rPr>
          <w:rFonts w:ascii="Verdana" w:hAnsi="Verdana" w:cs="Times New Roman"/>
          <w:color w:val="auto"/>
          <w:sz w:val="20"/>
          <w:szCs w:val="20"/>
        </w:rPr>
        <w:fldChar w:fldCharType="end"/>
      </w:r>
      <w:r w:rsidR="00FC200C" w:rsidRPr="00EE4D50">
        <w:rPr>
          <w:rFonts w:ascii="Verdana" w:hAnsi="Verdana" w:cs="Times New Roman"/>
          <w:b w:val="0"/>
          <w:color w:val="auto"/>
          <w:sz w:val="20"/>
          <w:szCs w:val="20"/>
        </w:rPr>
        <w:t xml:space="preserve">: </w:t>
      </w:r>
      <w:r w:rsidR="00CB53A6" w:rsidRPr="00EE4D50">
        <w:rPr>
          <w:rFonts w:ascii="Verdana" w:hAnsi="Verdana" w:cs="Times New Roman"/>
          <w:b w:val="0"/>
          <w:color w:val="auto"/>
          <w:sz w:val="20"/>
          <w:szCs w:val="20"/>
        </w:rPr>
        <w:t>Ventas según sus marcas 2011-</w:t>
      </w:r>
      <w:bookmarkEnd w:id="87"/>
      <w:r w:rsidR="00CB53A6" w:rsidRPr="00EE4D50">
        <w:rPr>
          <w:rFonts w:ascii="Verdana" w:hAnsi="Verdana" w:cs="Times New Roman"/>
          <w:b w:val="0"/>
          <w:color w:val="auto"/>
          <w:sz w:val="20"/>
          <w:szCs w:val="20"/>
        </w:rPr>
        <w:t>2015</w:t>
      </w:r>
    </w:p>
    <w:tbl>
      <w:tblPr>
        <w:tblW w:w="8720" w:type="dxa"/>
        <w:jc w:val="center"/>
        <w:tblInd w:w="55" w:type="dxa"/>
        <w:tblCellMar>
          <w:left w:w="70" w:type="dxa"/>
          <w:right w:w="70" w:type="dxa"/>
        </w:tblCellMar>
        <w:tblLook w:val="04A0" w:firstRow="1" w:lastRow="0" w:firstColumn="1" w:lastColumn="0" w:noHBand="0" w:noVBand="1"/>
      </w:tblPr>
      <w:tblGrid>
        <w:gridCol w:w="1020"/>
        <w:gridCol w:w="809"/>
        <w:gridCol w:w="778"/>
        <w:gridCol w:w="809"/>
        <w:gridCol w:w="778"/>
        <w:gridCol w:w="809"/>
        <w:gridCol w:w="778"/>
        <w:gridCol w:w="809"/>
        <w:gridCol w:w="778"/>
        <w:gridCol w:w="707"/>
        <w:gridCol w:w="778"/>
      </w:tblGrid>
      <w:tr w:rsidR="008F42B8" w:rsidRPr="00EE4D50" w:rsidTr="00FC200C">
        <w:trPr>
          <w:trHeight w:val="300"/>
          <w:jc w:val="center"/>
        </w:trPr>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MARCAS</w:t>
            </w:r>
          </w:p>
        </w:tc>
        <w:tc>
          <w:tcPr>
            <w:tcW w:w="800" w:type="dxa"/>
            <w:tcBorders>
              <w:top w:val="single" w:sz="4" w:space="0" w:color="auto"/>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2011</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w:t>
            </w:r>
          </w:p>
        </w:tc>
        <w:tc>
          <w:tcPr>
            <w:tcW w:w="800" w:type="dxa"/>
            <w:tcBorders>
              <w:top w:val="single" w:sz="4" w:space="0" w:color="auto"/>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2012</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w:t>
            </w:r>
          </w:p>
        </w:tc>
        <w:tc>
          <w:tcPr>
            <w:tcW w:w="800" w:type="dxa"/>
            <w:tcBorders>
              <w:top w:val="single" w:sz="4" w:space="0" w:color="auto"/>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2013</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w:t>
            </w:r>
          </w:p>
        </w:tc>
        <w:tc>
          <w:tcPr>
            <w:tcW w:w="800" w:type="dxa"/>
            <w:tcBorders>
              <w:top w:val="single" w:sz="4" w:space="0" w:color="auto"/>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2014</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2015</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w:t>
            </w:r>
          </w:p>
        </w:tc>
      </w:tr>
      <w:tr w:rsidR="008F42B8" w:rsidRPr="00EE4D50" w:rsidTr="00FC200C">
        <w:trPr>
          <w:trHeight w:val="300"/>
          <w:jc w:val="center"/>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Chevrolet</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59.189</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42,31%</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54.947</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45,24%</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50.195</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44,10%</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53.574</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44,62%</w:t>
            </w:r>
          </w:p>
        </w:tc>
        <w:tc>
          <w:tcPr>
            <w:tcW w:w="7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40.265</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49,52%</w:t>
            </w:r>
          </w:p>
        </w:tc>
      </w:tr>
      <w:tr w:rsidR="008F42B8" w:rsidRPr="00EE4D50" w:rsidTr="00FC200C">
        <w:trPr>
          <w:trHeight w:val="300"/>
          <w:jc w:val="center"/>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Kia</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11.965</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8,55%</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10.144</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8,35%</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12.300</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10,81%</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12.038</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10,03%</w:t>
            </w:r>
          </w:p>
        </w:tc>
        <w:tc>
          <w:tcPr>
            <w:tcW w:w="7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7.647</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9,40%</w:t>
            </w:r>
          </w:p>
        </w:tc>
      </w:tr>
      <w:tr w:rsidR="008F42B8" w:rsidRPr="00EE4D50" w:rsidTr="00FC200C">
        <w:trPr>
          <w:trHeight w:val="300"/>
          <w:jc w:val="center"/>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Hyundai</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14.879</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10,64%</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12.296</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10,12%</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9.629</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8,46%</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10.623</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8,85%</w:t>
            </w:r>
          </w:p>
        </w:tc>
        <w:tc>
          <w:tcPr>
            <w:tcW w:w="7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5.678</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6,98%</w:t>
            </w:r>
          </w:p>
        </w:tc>
      </w:tr>
      <w:tr w:rsidR="008F42B8" w:rsidRPr="00EE4D50" w:rsidTr="00FC200C">
        <w:trPr>
          <w:trHeight w:val="300"/>
          <w:jc w:val="center"/>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Nissan</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10.080</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7,21%</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7.051</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5,81%</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6.576</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5,78%</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6.019</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5,01%</w:t>
            </w:r>
          </w:p>
        </w:tc>
        <w:tc>
          <w:tcPr>
            <w:tcW w:w="7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3.794</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4,67%</w:t>
            </w:r>
          </w:p>
        </w:tc>
      </w:tr>
      <w:tr w:rsidR="008F42B8" w:rsidRPr="00EE4D50" w:rsidTr="00FC200C">
        <w:trPr>
          <w:trHeight w:val="300"/>
          <w:jc w:val="center"/>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Mazda</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8.012</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5,73%</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5.120</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4,22%</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6.402</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5,63%</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6.916</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5,76%</w:t>
            </w:r>
          </w:p>
        </w:tc>
        <w:tc>
          <w:tcPr>
            <w:tcW w:w="7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3.651</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4,49%</w:t>
            </w:r>
          </w:p>
        </w:tc>
      </w:tr>
      <w:tr w:rsidR="008F42B8" w:rsidRPr="00EE4D50" w:rsidTr="00FC200C">
        <w:trPr>
          <w:trHeight w:val="300"/>
          <w:jc w:val="center"/>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Toyota</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6.730</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4,81%</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6.840</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5,63%</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6.425</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5,65%</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6.476</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5,39%</w:t>
            </w:r>
          </w:p>
        </w:tc>
        <w:tc>
          <w:tcPr>
            <w:tcW w:w="7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3.651</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4,49%</w:t>
            </w:r>
          </w:p>
        </w:tc>
      </w:tr>
      <w:tr w:rsidR="008F42B8" w:rsidRPr="00EE4D50" w:rsidTr="00FC200C">
        <w:trPr>
          <w:trHeight w:val="300"/>
          <w:jc w:val="center"/>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Otros</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29.038</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20,75%</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25.048</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20,63%</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22.285</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19,57%</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24.414</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20,34%</w:t>
            </w:r>
          </w:p>
        </w:tc>
        <w:tc>
          <w:tcPr>
            <w:tcW w:w="7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16.623</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20,45%</w:t>
            </w:r>
          </w:p>
        </w:tc>
      </w:tr>
      <w:tr w:rsidR="008F42B8" w:rsidRPr="00EE4D50" w:rsidTr="00FC200C">
        <w:trPr>
          <w:trHeight w:val="300"/>
          <w:jc w:val="center"/>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Total</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139.893</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100%</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121.446</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100%</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113.812</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100%</w:t>
            </w:r>
          </w:p>
        </w:tc>
        <w:tc>
          <w:tcPr>
            <w:tcW w:w="8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120.060</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100%</w:t>
            </w:r>
          </w:p>
        </w:tc>
        <w:tc>
          <w:tcPr>
            <w:tcW w:w="70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81.309</w:t>
            </w:r>
          </w:p>
        </w:tc>
        <w:tc>
          <w:tcPr>
            <w:tcW w:w="760" w:type="dxa"/>
            <w:tcBorders>
              <w:top w:val="nil"/>
              <w:left w:val="nil"/>
              <w:bottom w:val="single" w:sz="4" w:space="0" w:color="auto"/>
              <w:right w:val="single" w:sz="4" w:space="0" w:color="auto"/>
            </w:tcBorders>
            <w:shd w:val="clear" w:color="auto" w:fill="auto"/>
            <w:noWrap/>
            <w:vAlign w:val="bottom"/>
            <w:hideMark/>
          </w:tcPr>
          <w:p w:rsidR="00BB07EF" w:rsidRPr="00EE4D50" w:rsidRDefault="00BB07EF" w:rsidP="00EC63DA">
            <w:pPr>
              <w:spacing w:after="0" w:line="240" w:lineRule="auto"/>
              <w:jc w:val="center"/>
              <w:rPr>
                <w:rFonts w:ascii="Verdana" w:eastAsia="Times New Roman" w:hAnsi="Verdana" w:cs="Times New Roman"/>
                <w:color w:val="000000"/>
                <w:sz w:val="16"/>
                <w:szCs w:val="16"/>
                <w:lang w:eastAsia="es-EC"/>
              </w:rPr>
            </w:pPr>
            <w:r w:rsidRPr="00EE4D50">
              <w:rPr>
                <w:rFonts w:ascii="Verdana" w:eastAsia="Times New Roman" w:hAnsi="Verdana" w:cs="Times New Roman"/>
                <w:color w:val="000000"/>
                <w:sz w:val="16"/>
                <w:szCs w:val="16"/>
                <w:lang w:eastAsia="es-EC"/>
              </w:rPr>
              <w:t>100%</w:t>
            </w:r>
          </w:p>
        </w:tc>
      </w:tr>
    </w:tbl>
    <w:p w:rsidR="00BB07EF" w:rsidRPr="00EE4D50" w:rsidRDefault="00FC200C" w:rsidP="00EC63DA">
      <w:pPr>
        <w:spacing w:after="0" w:line="240" w:lineRule="auto"/>
        <w:jc w:val="both"/>
        <w:rPr>
          <w:rFonts w:ascii="Verdana" w:hAnsi="Verdana" w:cs="Times New Roman"/>
          <w:color w:val="000000"/>
          <w:sz w:val="20"/>
        </w:rPr>
      </w:pPr>
      <w:r w:rsidRPr="00EE4D50">
        <w:rPr>
          <w:rFonts w:ascii="Verdana" w:hAnsi="Verdana" w:cs="Times New Roman"/>
          <w:color w:val="000000"/>
        </w:rPr>
        <w:t xml:space="preserve"> </w:t>
      </w:r>
      <w:r w:rsidR="00BB07EF" w:rsidRPr="00EE4D50">
        <w:rPr>
          <w:rFonts w:ascii="Verdana" w:hAnsi="Verdana" w:cs="Times New Roman"/>
          <w:color w:val="000000"/>
          <w:sz w:val="20"/>
        </w:rPr>
        <w:t>Fuente: AEADE</w:t>
      </w:r>
    </w:p>
    <w:p w:rsidR="00A66608" w:rsidRDefault="00FC200C" w:rsidP="00EC63DA">
      <w:pPr>
        <w:spacing w:after="0" w:line="240" w:lineRule="auto"/>
        <w:jc w:val="both"/>
        <w:rPr>
          <w:rFonts w:ascii="Verdana" w:hAnsi="Verdana" w:cs="Times New Roman"/>
          <w:sz w:val="20"/>
        </w:rPr>
      </w:pPr>
      <w:r w:rsidRPr="00EE4D50">
        <w:rPr>
          <w:rFonts w:ascii="Verdana" w:hAnsi="Verdana" w:cs="Times New Roman"/>
          <w:sz w:val="20"/>
        </w:rPr>
        <w:t xml:space="preserve"> </w:t>
      </w:r>
      <w:r w:rsidR="00A66608" w:rsidRPr="00EE4D50">
        <w:rPr>
          <w:rFonts w:ascii="Verdana" w:hAnsi="Verdana" w:cs="Times New Roman"/>
          <w:sz w:val="20"/>
        </w:rPr>
        <w:t>Elaboración: Autora</w:t>
      </w:r>
    </w:p>
    <w:p w:rsidR="00250095" w:rsidRPr="00EE4D50" w:rsidRDefault="00250095" w:rsidP="00EC63DA">
      <w:pPr>
        <w:spacing w:after="0" w:line="240" w:lineRule="auto"/>
        <w:jc w:val="both"/>
        <w:rPr>
          <w:rFonts w:ascii="Verdana" w:hAnsi="Verdana" w:cs="Times New Roman"/>
          <w:sz w:val="20"/>
        </w:rPr>
      </w:pPr>
    </w:p>
    <w:p w:rsidR="00BB07EF" w:rsidRPr="00EE4D50" w:rsidRDefault="00BB07EF" w:rsidP="00EC63DA">
      <w:pPr>
        <w:jc w:val="both"/>
        <w:rPr>
          <w:rFonts w:ascii="Verdana" w:hAnsi="Verdana" w:cs="Times New Roman"/>
          <w:color w:val="000000"/>
        </w:rPr>
      </w:pPr>
      <w:r w:rsidRPr="00EE4D50">
        <w:rPr>
          <w:rFonts w:ascii="Verdana" w:hAnsi="Verdana" w:cs="Times New Roman"/>
          <w:color w:val="000000"/>
        </w:rPr>
        <w:lastRenderedPageBreak/>
        <w:t>En el ranking de las marcas más vendidas en el país, entre el periodo 2011 y 2015 la marca Chevrolet mantuvo el liderazgo en el mercado. En el 2011, Chevrolet vendió 59.189 unidades, lo que representó un 42,31%; posteriormente, se redujeron sus ventas, pero el porcentaje de participación aumentó a un 49,52% en 2015 con 40.265 unidades vendidas. Esto quiere decir que los consumidores optaron por comprar esta marca tradicional frente a las demás. La misma situación se puede observar en la marca Kia, ya que sus ventas empezaron en el año 2011 con 11.965 vehículos y en 2015 se redujeron a 7.647, pero sus porcentajes de participación frente a las otras marcas aumentaron, pasando del 8,55% en el 2011 al 9,4% en 2015. Mientras que la marca Hyundai sus ventas y participación en el mercado disminuyeron en el periodo analizado, pasando de 14.879 unidades en 2011 a 5.678 unidades en 2015 con porcentajes de 10,64% a 6,98% respectivamente.</w:t>
      </w:r>
    </w:p>
    <w:p w:rsidR="00056722" w:rsidRPr="00EE4D50" w:rsidRDefault="00056722" w:rsidP="00EC63DA">
      <w:pPr>
        <w:pStyle w:val="Ttulo1"/>
        <w:rPr>
          <w:rFonts w:ascii="Verdana" w:eastAsiaTheme="minorHAnsi" w:hAnsi="Verdana" w:cs="Times New Roman"/>
          <w:b w:val="0"/>
          <w:bCs w:val="0"/>
          <w:color w:val="000000"/>
          <w:sz w:val="22"/>
          <w:szCs w:val="22"/>
          <w:lang w:val="es-EC"/>
        </w:rPr>
      </w:pPr>
    </w:p>
    <w:p w:rsidR="007F7AFC" w:rsidRPr="00EE4D50" w:rsidRDefault="00665EC5" w:rsidP="00665EC5">
      <w:pPr>
        <w:pStyle w:val="Ttulo2"/>
      </w:pPr>
      <w:bookmarkStart w:id="88" w:name="_Toc485137221"/>
      <w:r>
        <w:t>Conclusiones capítulo 2</w:t>
      </w:r>
      <w:bookmarkEnd w:id="88"/>
    </w:p>
    <w:p w:rsidR="008931F8" w:rsidRDefault="008931F8" w:rsidP="00EC63DA">
      <w:pPr>
        <w:rPr>
          <w:rFonts w:ascii="Verdana" w:hAnsi="Verdana" w:cs="Times New Roman"/>
        </w:rPr>
      </w:pPr>
    </w:p>
    <w:p w:rsidR="00665EC5" w:rsidRPr="00CB40D7" w:rsidRDefault="00665EC5" w:rsidP="00665EC5">
      <w:pPr>
        <w:jc w:val="both"/>
        <w:rPr>
          <w:rFonts w:ascii="Verdana" w:hAnsi="Verdana"/>
        </w:rPr>
      </w:pPr>
      <w:r w:rsidRPr="00CB40D7">
        <w:rPr>
          <w:rFonts w:ascii="Verdana" w:hAnsi="Verdana"/>
        </w:rPr>
        <w:t>Este capítulo se le denomina ciclo de estabilidad ya que luego de la crisis hubo una armonía en el país, con ayuda de las remesas y la seguridad otra vez en las entidades financieras. Al analizar los niveles de producción nacional, exportación, importación y ventas de vehículos se concluye que este periodo ha sido esencial  para el desarrollo</w:t>
      </w:r>
      <w:r>
        <w:rPr>
          <w:rFonts w:ascii="Verdana" w:hAnsi="Verdana"/>
        </w:rPr>
        <w:t xml:space="preserve"> en sí del sector</w:t>
      </w:r>
      <w:r w:rsidRPr="00CB40D7">
        <w:rPr>
          <w:rFonts w:ascii="Verdana" w:hAnsi="Verdana"/>
        </w:rPr>
        <w:t xml:space="preserve">, donde aumentaron los autopartistas en un 40% los cuales han llegado hacer parte indispensable </w:t>
      </w:r>
      <w:r>
        <w:rPr>
          <w:rFonts w:ascii="Verdana" w:hAnsi="Verdana"/>
        </w:rPr>
        <w:t>en</w:t>
      </w:r>
      <w:r w:rsidRPr="00CB40D7">
        <w:rPr>
          <w:rFonts w:ascii="Verdana" w:hAnsi="Verdana"/>
        </w:rPr>
        <w:t xml:space="preserve"> el desarrollo del país.</w:t>
      </w:r>
    </w:p>
    <w:p w:rsidR="00665EC5" w:rsidRPr="00CB40D7" w:rsidRDefault="00665EC5" w:rsidP="00665EC5">
      <w:pPr>
        <w:jc w:val="both"/>
        <w:rPr>
          <w:rFonts w:ascii="Verdana" w:hAnsi="Verdana"/>
        </w:rPr>
      </w:pPr>
      <w:r w:rsidRPr="00CB40D7">
        <w:rPr>
          <w:rFonts w:ascii="Verdana" w:hAnsi="Verdana"/>
        </w:rPr>
        <w:t>Las diversas ensambladoras han mostrado crecimiento en este periodo, donde han logrado consolidarse en Ecuador y cumpliendo normas internacionales, las cuales les han ayudado a estar a la par de los líderes mundiales. Las tres ensambladoras que acogieron el mercado fueron Maresa, Aymesa y Omnibus BB, lo cual genero el cierre de la ensambla</w:t>
      </w:r>
      <w:r>
        <w:rPr>
          <w:rFonts w:ascii="Verdana" w:hAnsi="Verdana"/>
        </w:rPr>
        <w:t>dora Coenanza, que solo funcionó</w:t>
      </w:r>
      <w:r w:rsidRPr="00CB40D7">
        <w:rPr>
          <w:rFonts w:ascii="Verdana" w:hAnsi="Verdana"/>
        </w:rPr>
        <w:t xml:space="preserve"> 7 años. Estas ensambladoras son muy fuertes en el</w:t>
      </w:r>
      <w:r>
        <w:rPr>
          <w:rFonts w:ascii="Verdana" w:hAnsi="Verdana"/>
        </w:rPr>
        <w:t xml:space="preserve"> país y no se observó una nueva </w:t>
      </w:r>
      <w:r w:rsidRPr="00CB40D7">
        <w:rPr>
          <w:rFonts w:ascii="Verdana" w:hAnsi="Verdana"/>
        </w:rPr>
        <w:t>ensambladora en este periodo.</w:t>
      </w:r>
    </w:p>
    <w:p w:rsidR="00665EC5" w:rsidRDefault="00665EC5" w:rsidP="00665EC5">
      <w:pPr>
        <w:jc w:val="both"/>
        <w:rPr>
          <w:rFonts w:ascii="Verdana" w:hAnsi="Verdana"/>
        </w:rPr>
      </w:pPr>
      <w:r w:rsidRPr="00CB40D7">
        <w:rPr>
          <w:rFonts w:ascii="Verdana" w:hAnsi="Verdana"/>
        </w:rPr>
        <w:t>Para finales de este periodo, la crisis del  90 genero bajas en las ventas por la inestabilidad económica que se generó en ese entonces</w:t>
      </w:r>
      <w:r>
        <w:rPr>
          <w:rFonts w:ascii="Verdana" w:hAnsi="Verdana"/>
        </w:rPr>
        <w:t xml:space="preserve">, los niveles de ventas ensamblaje, importación y hasta el PIB bajaron considerablemente. </w:t>
      </w:r>
    </w:p>
    <w:p w:rsidR="00261705" w:rsidRDefault="00261705" w:rsidP="00EC63DA">
      <w:pPr>
        <w:rPr>
          <w:rFonts w:ascii="Verdana" w:hAnsi="Verdana" w:cs="Times New Roman"/>
        </w:rPr>
      </w:pPr>
    </w:p>
    <w:p w:rsidR="00B160A0" w:rsidRPr="00EE4D50" w:rsidRDefault="00B160A0" w:rsidP="00EC63DA">
      <w:pPr>
        <w:rPr>
          <w:rFonts w:ascii="Verdana" w:hAnsi="Verdana" w:cs="Times New Roman"/>
        </w:rPr>
      </w:pPr>
    </w:p>
    <w:p w:rsidR="007F7AFC" w:rsidRDefault="007F7AFC" w:rsidP="00EC63DA">
      <w:pPr>
        <w:rPr>
          <w:rFonts w:ascii="Verdana" w:hAnsi="Verdana" w:cs="Times New Roman"/>
        </w:rPr>
      </w:pPr>
    </w:p>
    <w:p w:rsidR="001A1E18" w:rsidRPr="00EE4D50" w:rsidRDefault="001A1E18" w:rsidP="00EC63DA">
      <w:pPr>
        <w:rPr>
          <w:rFonts w:ascii="Verdana" w:hAnsi="Verdana" w:cs="Times New Roman"/>
        </w:rPr>
      </w:pPr>
    </w:p>
    <w:p w:rsidR="009E610C" w:rsidRPr="00EE4D50" w:rsidRDefault="00BB07EF" w:rsidP="00EC63DA">
      <w:pPr>
        <w:pStyle w:val="Ttulo1"/>
        <w:spacing w:after="60"/>
        <w:jc w:val="center"/>
        <w:rPr>
          <w:rFonts w:ascii="Verdana" w:hAnsi="Verdana" w:cs="Times New Roman"/>
          <w:i/>
          <w:color w:val="auto"/>
          <w:sz w:val="32"/>
          <w:szCs w:val="36"/>
        </w:rPr>
      </w:pPr>
      <w:bookmarkStart w:id="89" w:name="_Toc485137222"/>
      <w:r w:rsidRPr="00EE4D50">
        <w:rPr>
          <w:rFonts w:ascii="Verdana" w:hAnsi="Verdana" w:cs="Times New Roman"/>
          <w:i/>
          <w:color w:val="auto"/>
          <w:sz w:val="32"/>
          <w:szCs w:val="36"/>
        </w:rPr>
        <w:lastRenderedPageBreak/>
        <w:t>Capítulo 3</w:t>
      </w:r>
      <w:bookmarkEnd w:id="89"/>
    </w:p>
    <w:p w:rsidR="009E610C" w:rsidRPr="00EE4D50" w:rsidRDefault="009E610C" w:rsidP="00EC63DA">
      <w:pPr>
        <w:spacing w:after="60"/>
        <w:rPr>
          <w:rFonts w:ascii="Verdana" w:hAnsi="Verdana" w:cs="Times New Roman"/>
          <w:lang w:val="es-MX"/>
        </w:rPr>
      </w:pPr>
    </w:p>
    <w:p w:rsidR="00BB07EF" w:rsidRPr="00EE4D50" w:rsidRDefault="00BB07EF" w:rsidP="00EC63DA">
      <w:pPr>
        <w:spacing w:after="60"/>
        <w:jc w:val="both"/>
        <w:rPr>
          <w:rFonts w:ascii="Verdana" w:eastAsia="Calibri" w:hAnsi="Verdana" w:cs="Times New Roman"/>
        </w:rPr>
      </w:pPr>
      <w:r w:rsidRPr="00EE4D50">
        <w:rPr>
          <w:rFonts w:ascii="Verdana" w:hAnsi="Verdana" w:cs="Times New Roman"/>
        </w:rPr>
        <w:t xml:space="preserve">Este capítulo inicia con un análisis del sector industrial dedicado al ensamblaje de vehículos en la economía del Ecuador, con variables como su participación en el PIB, empleo, pago de tributos y </w:t>
      </w:r>
      <w:r w:rsidRPr="00EE4D50">
        <w:rPr>
          <w:rFonts w:ascii="Verdana" w:eastAsia="Calibri" w:hAnsi="Verdana" w:cs="Times New Roman"/>
        </w:rPr>
        <w:t>formación bruta de capital fijo para dar cuenta de la importancia que tiene como actividad económica. También se revisa casos internacionales de este sector en la región. Luego, se examina a las principales medidas que han afectado a este sector por parte del gobierno ecuatoriano en el período 2011-2015. Con estos elementos se presenta una lista de las fortalezas, oportunidades, debilidades y amenazas para la industria automotriz. Finalmente, se presenta un diagnóstico de su estado actual, es decir a los años 2015 y 2016. Y para tener una perspectiva que nutra a la investigación, se concluye con una entrevista a un experto en la materia, como lo es el presidente ejecutivo de la Cámara de la Industria Automotriz Ecuatoriana.</w:t>
      </w:r>
    </w:p>
    <w:p w:rsidR="00BB07EF" w:rsidRPr="00EE4D50" w:rsidRDefault="00BB07EF" w:rsidP="00EC63DA">
      <w:pPr>
        <w:spacing w:after="60"/>
        <w:jc w:val="both"/>
        <w:rPr>
          <w:rFonts w:ascii="Verdana" w:hAnsi="Verdana" w:cs="Times New Roman"/>
        </w:rPr>
      </w:pPr>
    </w:p>
    <w:p w:rsidR="00BB07EF" w:rsidRPr="00EE4D50" w:rsidRDefault="00BB07EF" w:rsidP="00EC63DA">
      <w:pPr>
        <w:pStyle w:val="Ttulo2"/>
        <w:rPr>
          <w:rFonts w:cs="Times New Roman"/>
        </w:rPr>
      </w:pPr>
      <w:bookmarkStart w:id="90" w:name="_Toc485137223"/>
      <w:r w:rsidRPr="00EE4D50">
        <w:rPr>
          <w:rFonts w:cs="Times New Roman"/>
        </w:rPr>
        <w:t>El sector automotriz en la economía ecuatoriana</w:t>
      </w:r>
      <w:bookmarkEnd w:id="90"/>
    </w:p>
    <w:p w:rsidR="00EE52B1" w:rsidRPr="00EE4D50" w:rsidRDefault="00EE52B1" w:rsidP="00EC63DA">
      <w:pPr>
        <w:spacing w:after="60"/>
        <w:jc w:val="both"/>
        <w:rPr>
          <w:rFonts w:ascii="Verdana" w:hAnsi="Verdana" w:cs="Times New Roman"/>
          <w:lang w:val="es-MX"/>
        </w:rPr>
      </w:pPr>
    </w:p>
    <w:p w:rsidR="00BB07EF" w:rsidRPr="00EE4D50" w:rsidRDefault="00BB07EF" w:rsidP="00EC63DA">
      <w:pPr>
        <w:spacing w:after="60"/>
        <w:jc w:val="both"/>
        <w:rPr>
          <w:rFonts w:ascii="Verdana" w:eastAsia="Calibri" w:hAnsi="Verdana" w:cs="Times New Roman"/>
        </w:rPr>
      </w:pPr>
      <w:r w:rsidRPr="00EE4D50">
        <w:rPr>
          <w:rFonts w:ascii="Verdana" w:eastAsia="Calibri" w:hAnsi="Verdana" w:cs="Times New Roman"/>
        </w:rPr>
        <w:t>La importancia de este sector es reconocida por los ingresos que genera en las actividades económicas directas e indirectas que se relacionan. Esta actividad industrial contribuye a la economía con producción con valor agregado, impuestos y fuentes de empleos desde el ensamblaje, la distribución y venta de vehículos.</w:t>
      </w:r>
    </w:p>
    <w:p w:rsidR="00EE52B1" w:rsidRPr="00EE4D50" w:rsidRDefault="00EE52B1" w:rsidP="00EC63DA">
      <w:pPr>
        <w:spacing w:after="60"/>
        <w:jc w:val="both"/>
        <w:rPr>
          <w:rFonts w:ascii="Verdana" w:eastAsia="Calibri" w:hAnsi="Verdana" w:cs="Times New Roman"/>
        </w:rPr>
      </w:pPr>
    </w:p>
    <w:p w:rsidR="00BB07EF" w:rsidRPr="00EE4D50" w:rsidRDefault="00BB07EF" w:rsidP="00EC63DA">
      <w:pPr>
        <w:spacing w:after="60"/>
        <w:jc w:val="both"/>
        <w:rPr>
          <w:rFonts w:ascii="Verdana" w:eastAsia="Calibri" w:hAnsi="Verdana" w:cs="Times New Roman"/>
        </w:rPr>
      </w:pPr>
      <w:r w:rsidRPr="00EE4D50">
        <w:rPr>
          <w:rFonts w:ascii="Verdana" w:hAnsi="Verdana" w:cs="Times New Roman"/>
        </w:rPr>
        <w:t>Uno de los sectores productivos de mayor aportación de tributos al Estado ecuatoriano es el sector automotriz. En el año 2011, según AEADE (2011</w:t>
      </w:r>
      <w:r w:rsidR="00CA6631">
        <w:rPr>
          <w:rFonts w:ascii="Verdana" w:hAnsi="Verdana" w:cs="Times New Roman"/>
        </w:rPr>
        <w:t>: 6</w:t>
      </w:r>
      <w:r w:rsidRPr="00EE4D50">
        <w:rPr>
          <w:rFonts w:ascii="Verdana" w:hAnsi="Verdana" w:cs="Times New Roman"/>
        </w:rPr>
        <w:t>), este sector aportó al fisco USD 949 millones por impuestos, tasas y aranceles. Mientras que en 2015, según AEADE (2016</w:t>
      </w:r>
      <w:r w:rsidR="00CA6631">
        <w:rPr>
          <w:rFonts w:ascii="Verdana" w:hAnsi="Verdana" w:cs="Times New Roman"/>
        </w:rPr>
        <w:t xml:space="preserve">: </w:t>
      </w:r>
      <w:r w:rsidR="00BE157D">
        <w:rPr>
          <w:rFonts w:ascii="Verdana" w:hAnsi="Verdana" w:cs="Times New Roman"/>
        </w:rPr>
        <w:t>1</w:t>
      </w:r>
      <w:r w:rsidRPr="00EE4D50">
        <w:rPr>
          <w:rFonts w:ascii="Verdana" w:hAnsi="Verdana" w:cs="Times New Roman"/>
        </w:rPr>
        <w:t>), l</w:t>
      </w:r>
      <w:r w:rsidRPr="00EE4D50">
        <w:rPr>
          <w:rFonts w:ascii="Verdana" w:eastAsia="Calibri" w:hAnsi="Verdana" w:cs="Times New Roman"/>
        </w:rPr>
        <w:t>os tributos pagados por las empresas ensambladoras e importadoras sumaron USD 770 millones, los cuales se distribuyeron de la siguiente manera: arancel ad-valorem USD 233 millones, IVA (Impuesto al Valor Agregado) USD 218 millones,  ICE (Impuesto a los Consumos Especiales) USD 132 millones, ISD (Impuesto a la salida de divisas) USD 74 millones, Impuesto a la renta USD 58 millones, Salvaguardia USD 53 millones y FODINFA (impuesto Fondo de Desarrollo para la Infancia) USD 7 millones.</w:t>
      </w:r>
    </w:p>
    <w:p w:rsidR="00EE52B1" w:rsidRPr="00EE4D50" w:rsidRDefault="00EE52B1" w:rsidP="00EC63DA">
      <w:pPr>
        <w:spacing w:after="60"/>
        <w:jc w:val="both"/>
        <w:rPr>
          <w:rFonts w:ascii="Verdana" w:eastAsia="Calibri" w:hAnsi="Verdana" w:cs="Times New Roman"/>
        </w:rPr>
      </w:pPr>
    </w:p>
    <w:p w:rsidR="00BB07EF" w:rsidRPr="00EE4D50" w:rsidRDefault="00BB07EF" w:rsidP="00EC63DA">
      <w:pPr>
        <w:jc w:val="both"/>
        <w:rPr>
          <w:rFonts w:ascii="Verdana" w:hAnsi="Verdana" w:cs="Times New Roman"/>
        </w:rPr>
      </w:pPr>
      <w:r w:rsidRPr="00EE4D50">
        <w:rPr>
          <w:rFonts w:ascii="Verdana" w:hAnsi="Verdana" w:cs="Times New Roman"/>
        </w:rPr>
        <w:t>Según las estadísticas de recaudación del Servicio de Rentas Internas (SRI), en el 2015 las matrículas de los vehículos permitieron recaudar USD 223 millones, cifra superior que en 2010 que ascendió a USD 155,6 millones. Esto permite decir que el aumento del parque automotor se debe al crecimiento de la industria automotriz nacional con la importancia de las empresas ensambladoras, cuya producción representa la mitad de las ventas de vehículos en el mercado.</w:t>
      </w:r>
    </w:p>
    <w:p w:rsidR="00BB07EF" w:rsidRPr="00EE4D50" w:rsidRDefault="00BB07EF" w:rsidP="00EC63DA">
      <w:pPr>
        <w:pStyle w:val="Ttulo3"/>
        <w:spacing w:after="60"/>
        <w:rPr>
          <w:rFonts w:ascii="Verdana" w:hAnsi="Verdana" w:cs="Times New Roman"/>
          <w:i/>
          <w:color w:val="auto"/>
          <w:sz w:val="28"/>
          <w:szCs w:val="32"/>
        </w:rPr>
      </w:pPr>
      <w:bookmarkStart w:id="91" w:name="_Toc485137224"/>
      <w:r w:rsidRPr="00EE4D50">
        <w:rPr>
          <w:rFonts w:ascii="Verdana" w:hAnsi="Verdana" w:cs="Times New Roman"/>
          <w:i/>
          <w:color w:val="auto"/>
          <w:sz w:val="28"/>
          <w:szCs w:val="32"/>
        </w:rPr>
        <w:lastRenderedPageBreak/>
        <w:t>Participación del sector en el PIB</w:t>
      </w:r>
      <w:bookmarkEnd w:id="91"/>
    </w:p>
    <w:p w:rsidR="00EE52B1" w:rsidRPr="00EE4D50" w:rsidRDefault="00EE52B1" w:rsidP="00EC63DA">
      <w:pPr>
        <w:spacing w:after="60"/>
        <w:rPr>
          <w:rFonts w:ascii="Verdana" w:hAnsi="Verdana" w:cs="Times New Roman"/>
        </w:rPr>
      </w:pPr>
    </w:p>
    <w:p w:rsidR="00BB07EF" w:rsidRPr="00EE4D50" w:rsidRDefault="00BB07EF" w:rsidP="00EC63DA">
      <w:pPr>
        <w:spacing w:after="60"/>
        <w:jc w:val="both"/>
        <w:rPr>
          <w:rFonts w:ascii="Verdana" w:eastAsia="Calibri" w:hAnsi="Verdana" w:cs="Times New Roman"/>
        </w:rPr>
      </w:pPr>
      <w:r w:rsidRPr="00EE4D50">
        <w:rPr>
          <w:rFonts w:ascii="Verdana" w:eastAsia="Calibri" w:hAnsi="Verdana" w:cs="Times New Roman"/>
        </w:rPr>
        <w:t>Teniendo en cuenta el desenvolvimiento del PIB nominal del año 2015, según cifras de las cuentas nacionales N.28 del Banco Central del Ecuador (BCE, 2016), fue de USD 100.176.808.000. Este valor calculado por el método de la producción proviene de dos componentes: el “valor agregado bruto (VAB</w:t>
      </w:r>
      <w:r w:rsidRPr="00EE4D50">
        <w:rPr>
          <w:rStyle w:val="Refdenotaalpie"/>
          <w:rFonts w:ascii="Verdana" w:eastAsia="Calibri" w:hAnsi="Verdana" w:cs="Times New Roman"/>
        </w:rPr>
        <w:footnoteReference w:id="13"/>
      </w:r>
      <w:r w:rsidRPr="00EE4D50">
        <w:rPr>
          <w:rFonts w:ascii="Verdana" w:eastAsia="Calibri" w:hAnsi="Verdana" w:cs="Times New Roman"/>
        </w:rPr>
        <w:t>)”de las 18 industrias de la producción nacional que suman un valor de USD 92.746.412.000 y la categoría “otros elementos del PIB (OE PIB)</w:t>
      </w:r>
      <w:r w:rsidRPr="00EE4D50">
        <w:rPr>
          <w:rStyle w:val="Refdenotaalpie"/>
          <w:rFonts w:ascii="Verdana" w:eastAsia="Calibri" w:hAnsi="Verdana" w:cs="Times New Roman"/>
        </w:rPr>
        <w:footnoteReference w:id="14"/>
      </w:r>
      <w:r w:rsidRPr="00EE4D50">
        <w:rPr>
          <w:rFonts w:ascii="Verdana" w:eastAsia="Calibri" w:hAnsi="Verdana" w:cs="Times New Roman"/>
        </w:rPr>
        <w:t>” con un valor de USD 7.430.396.000. La fabricación de equipos de transporte (USD 508.543.000) representó 0,55% en el total del VAB y 0,51% en el PIB.</w:t>
      </w:r>
    </w:p>
    <w:p w:rsidR="00EE52B1" w:rsidRPr="00EE4D50" w:rsidRDefault="00EE52B1" w:rsidP="00EC63DA">
      <w:pPr>
        <w:spacing w:after="60"/>
        <w:jc w:val="both"/>
        <w:rPr>
          <w:rFonts w:ascii="Verdana" w:eastAsia="Calibri" w:hAnsi="Verdana" w:cs="Times New Roman"/>
        </w:rPr>
      </w:pPr>
    </w:p>
    <w:p w:rsidR="00BB07EF" w:rsidRPr="00EE4D50" w:rsidRDefault="00BB07EF" w:rsidP="00EC63DA">
      <w:pPr>
        <w:spacing w:after="60"/>
        <w:jc w:val="both"/>
        <w:rPr>
          <w:rFonts w:ascii="Verdana" w:eastAsia="Calibri" w:hAnsi="Verdana" w:cs="Times New Roman"/>
        </w:rPr>
      </w:pPr>
      <w:r w:rsidRPr="00EE4D50">
        <w:rPr>
          <w:rFonts w:ascii="Verdana" w:eastAsia="Calibri" w:hAnsi="Verdana" w:cs="Times New Roman"/>
        </w:rPr>
        <w:t>Para el 2015, el VAB de la industria manufacturera nacional, a precios corrientes, alcanzó la cifra de USD 14.564.848.000, lo que significó el 14,5% del PIB. En esta industria existen 32 ramas de producción, cada una de las cuales tuvieron una participación que varió entre el 0,3% y el 7,5%; y la fabricación de equipos de transporte, que incluye vehículos automotores y otro equipo y material de transporte</w:t>
      </w:r>
      <w:r w:rsidRPr="00EE4D50">
        <w:rPr>
          <w:rStyle w:val="Refdenotaalpie"/>
          <w:rFonts w:ascii="Verdana" w:eastAsia="Calibri" w:hAnsi="Verdana" w:cs="Times New Roman"/>
        </w:rPr>
        <w:footnoteReference w:id="15"/>
      </w:r>
      <w:r w:rsidRPr="00EE4D50">
        <w:rPr>
          <w:rFonts w:ascii="Verdana" w:eastAsia="Calibri" w:hAnsi="Verdana" w:cs="Times New Roman"/>
        </w:rPr>
        <w:t>, aportó con el 3,5%, ubicándose por encima del promedio de dicho rango de porcentajes. En cuanto a participación en el PIB, las aportaciones de cada una de las 32 ramas oscilaron entre el 1,1% y el 0,1%; y la fabricación de equipos de transporte es una de las ramas que aportó con un 0,5% al PIB.</w:t>
      </w:r>
    </w:p>
    <w:p w:rsidR="00EE52B1" w:rsidRPr="00EE4D50" w:rsidRDefault="00EE52B1" w:rsidP="00EC63DA">
      <w:pPr>
        <w:spacing w:after="60"/>
        <w:jc w:val="both"/>
        <w:rPr>
          <w:rFonts w:ascii="Verdana" w:eastAsia="Calibri" w:hAnsi="Verdana" w:cs="Times New Roman"/>
        </w:rPr>
      </w:pPr>
    </w:p>
    <w:p w:rsidR="00BB07EF" w:rsidRPr="00EE4D50" w:rsidRDefault="00BB07EF" w:rsidP="00EC63DA">
      <w:pPr>
        <w:jc w:val="both"/>
        <w:rPr>
          <w:rFonts w:ascii="Verdana" w:eastAsia="Calibri" w:hAnsi="Verdana" w:cs="Times New Roman"/>
        </w:rPr>
      </w:pPr>
      <w:r w:rsidRPr="00EE4D50">
        <w:rPr>
          <w:rFonts w:ascii="Verdana" w:eastAsia="Calibri" w:hAnsi="Verdana" w:cs="Times New Roman"/>
        </w:rPr>
        <w:t>Con el objetivo de elaborar un análisis de la evolución de la fabricación de equipos de transporte y su porcentaje con respecto al PIB real, se detalla a continuación valores a precios constantes con año base 2007, de manera que se pueda comparar las cifras durante los años 2011-2015.</w:t>
      </w:r>
    </w:p>
    <w:p w:rsidR="00BB07EF" w:rsidRPr="00EE4D50" w:rsidRDefault="00BB07EF" w:rsidP="00EC63DA">
      <w:pPr>
        <w:jc w:val="both"/>
        <w:rPr>
          <w:rFonts w:ascii="Verdana" w:eastAsia="Calibri" w:hAnsi="Verdana" w:cs="Times New Roman"/>
        </w:rPr>
      </w:pPr>
    </w:p>
    <w:p w:rsidR="00BB07EF" w:rsidRPr="00EE4D50" w:rsidRDefault="00BB07EF" w:rsidP="00EC63DA">
      <w:pPr>
        <w:jc w:val="both"/>
        <w:rPr>
          <w:rFonts w:ascii="Verdana" w:eastAsia="Calibri" w:hAnsi="Verdana" w:cs="Times New Roman"/>
        </w:rPr>
      </w:pPr>
    </w:p>
    <w:p w:rsidR="00056722" w:rsidRPr="00EE4D50" w:rsidRDefault="00056722" w:rsidP="00EC63DA">
      <w:pPr>
        <w:jc w:val="both"/>
        <w:rPr>
          <w:rFonts w:ascii="Verdana" w:eastAsia="Calibri" w:hAnsi="Verdana" w:cs="Times New Roman"/>
        </w:rPr>
      </w:pPr>
    </w:p>
    <w:p w:rsidR="00261705" w:rsidRPr="00EE4D50" w:rsidRDefault="00261705" w:rsidP="00EC63DA">
      <w:pPr>
        <w:jc w:val="both"/>
        <w:rPr>
          <w:rFonts w:ascii="Verdana" w:eastAsia="Calibri" w:hAnsi="Verdana" w:cs="Times New Roman"/>
        </w:rPr>
      </w:pPr>
    </w:p>
    <w:p w:rsidR="00BB07EF" w:rsidRPr="00EE4D50" w:rsidRDefault="00BB07EF" w:rsidP="00EC63DA">
      <w:pPr>
        <w:jc w:val="both"/>
        <w:rPr>
          <w:rFonts w:ascii="Verdana" w:eastAsia="Calibri" w:hAnsi="Verdana" w:cs="Times New Roman"/>
        </w:rPr>
      </w:pPr>
    </w:p>
    <w:p w:rsidR="00BB07EF" w:rsidRPr="00EE4D50" w:rsidRDefault="00EC77AB" w:rsidP="00EC63DA">
      <w:pPr>
        <w:pStyle w:val="Epgrafe"/>
        <w:spacing w:after="0"/>
        <w:jc w:val="center"/>
        <w:rPr>
          <w:rFonts w:ascii="Verdana" w:eastAsia="Calibri" w:hAnsi="Verdana" w:cs="Times New Roman"/>
          <w:b w:val="0"/>
          <w:color w:val="auto"/>
          <w:sz w:val="20"/>
          <w:szCs w:val="20"/>
        </w:rPr>
      </w:pPr>
      <w:bookmarkStart w:id="92" w:name="_Toc473640132"/>
      <w:r w:rsidRPr="00EE4D50">
        <w:rPr>
          <w:rFonts w:ascii="Verdana" w:hAnsi="Verdana" w:cs="Times New Roman"/>
          <w:color w:val="auto"/>
          <w:sz w:val="20"/>
          <w:szCs w:val="20"/>
        </w:rPr>
        <w:lastRenderedPageBreak/>
        <w:t xml:space="preserve">Tabla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Tabla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17</w:t>
      </w:r>
      <w:r w:rsidRPr="00EE4D50">
        <w:rPr>
          <w:rFonts w:ascii="Verdana" w:hAnsi="Verdana" w:cs="Times New Roman"/>
          <w:color w:val="auto"/>
          <w:sz w:val="20"/>
          <w:szCs w:val="20"/>
        </w:rPr>
        <w:fldChar w:fldCharType="end"/>
      </w:r>
      <w:r w:rsidR="00BB07EF" w:rsidRPr="00EE4D50">
        <w:rPr>
          <w:rFonts w:ascii="Verdana" w:eastAsia="Calibri" w:hAnsi="Verdana" w:cs="Times New Roman"/>
          <w:b w:val="0"/>
          <w:color w:val="auto"/>
          <w:sz w:val="20"/>
          <w:szCs w:val="20"/>
        </w:rPr>
        <w:t>: Fabricación de equipos de transporte con respecto al PIB real y a la industria manufacturera con año base 2007</w:t>
      </w:r>
      <w:bookmarkEnd w:id="92"/>
    </w:p>
    <w:tbl>
      <w:tblPr>
        <w:tblW w:w="8140" w:type="dxa"/>
        <w:jc w:val="center"/>
        <w:tblInd w:w="55" w:type="dxa"/>
        <w:tblCellMar>
          <w:left w:w="70" w:type="dxa"/>
          <w:right w:w="70" w:type="dxa"/>
        </w:tblCellMar>
        <w:tblLook w:val="04A0" w:firstRow="1" w:lastRow="0" w:firstColumn="1" w:lastColumn="0" w:noHBand="0" w:noVBand="1"/>
      </w:tblPr>
      <w:tblGrid>
        <w:gridCol w:w="2533"/>
        <w:gridCol w:w="1099"/>
        <w:gridCol w:w="1211"/>
        <w:gridCol w:w="1099"/>
        <w:gridCol w:w="1099"/>
        <w:gridCol w:w="1099"/>
      </w:tblGrid>
      <w:tr w:rsidR="00BB07EF" w:rsidRPr="00250095" w:rsidTr="00A66608">
        <w:trPr>
          <w:trHeight w:val="339"/>
          <w:jc w:val="center"/>
        </w:trPr>
        <w:tc>
          <w:tcPr>
            <w:tcW w:w="2533" w:type="dxa"/>
            <w:tcBorders>
              <w:top w:val="nil"/>
              <w:left w:val="nil"/>
              <w:bottom w:val="nil"/>
              <w:right w:val="nil"/>
            </w:tcBorders>
            <w:shd w:val="clear" w:color="auto" w:fill="auto"/>
            <w:noWrap/>
            <w:vAlign w:val="bottom"/>
            <w:hideMark/>
          </w:tcPr>
          <w:p w:rsidR="00BB07EF" w:rsidRPr="00250095" w:rsidRDefault="00BB07EF" w:rsidP="00EC63DA">
            <w:pPr>
              <w:spacing w:after="0" w:line="240" w:lineRule="auto"/>
              <w:jc w:val="both"/>
              <w:rPr>
                <w:rFonts w:ascii="Verdana" w:eastAsia="Times New Roman" w:hAnsi="Verdana" w:cs="Times New Roman"/>
                <w:color w:val="000000"/>
                <w:sz w:val="16"/>
                <w:szCs w:val="16"/>
                <w:lang w:eastAsia="es-ES"/>
              </w:rPr>
            </w:pPr>
          </w:p>
        </w:tc>
        <w:tc>
          <w:tcPr>
            <w:tcW w:w="10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both"/>
              <w:rPr>
                <w:rFonts w:ascii="Verdana" w:eastAsia="Times New Roman" w:hAnsi="Verdana" w:cs="Times New Roman"/>
                <w:b/>
                <w:bCs/>
                <w:color w:val="000000"/>
                <w:sz w:val="16"/>
                <w:szCs w:val="16"/>
                <w:lang w:eastAsia="es-ES"/>
              </w:rPr>
            </w:pPr>
            <w:r w:rsidRPr="00250095">
              <w:rPr>
                <w:rFonts w:ascii="Verdana" w:eastAsia="Times New Roman" w:hAnsi="Verdana" w:cs="Times New Roman"/>
                <w:b/>
                <w:bCs/>
                <w:color w:val="000000"/>
                <w:sz w:val="16"/>
                <w:szCs w:val="16"/>
                <w:lang w:eastAsia="es-ES"/>
              </w:rPr>
              <w:t>2011</w:t>
            </w:r>
          </w:p>
        </w:tc>
        <w:tc>
          <w:tcPr>
            <w:tcW w:w="1211" w:type="dxa"/>
            <w:tcBorders>
              <w:top w:val="single" w:sz="4" w:space="0" w:color="auto"/>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both"/>
              <w:rPr>
                <w:rFonts w:ascii="Verdana" w:eastAsia="Times New Roman" w:hAnsi="Verdana" w:cs="Times New Roman"/>
                <w:b/>
                <w:bCs/>
                <w:color w:val="000000"/>
                <w:sz w:val="16"/>
                <w:szCs w:val="16"/>
                <w:lang w:eastAsia="es-ES"/>
              </w:rPr>
            </w:pPr>
            <w:r w:rsidRPr="00250095">
              <w:rPr>
                <w:rFonts w:ascii="Verdana" w:eastAsia="Times New Roman" w:hAnsi="Verdana" w:cs="Times New Roman"/>
                <w:b/>
                <w:bCs/>
                <w:color w:val="000000"/>
                <w:sz w:val="16"/>
                <w:szCs w:val="16"/>
                <w:lang w:eastAsia="es-ES"/>
              </w:rPr>
              <w:t>2012</w:t>
            </w:r>
          </w:p>
        </w:tc>
        <w:tc>
          <w:tcPr>
            <w:tcW w:w="1099" w:type="dxa"/>
            <w:tcBorders>
              <w:top w:val="single" w:sz="4" w:space="0" w:color="auto"/>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both"/>
              <w:rPr>
                <w:rFonts w:ascii="Verdana" w:eastAsia="Times New Roman" w:hAnsi="Verdana" w:cs="Times New Roman"/>
                <w:b/>
                <w:bCs/>
                <w:color w:val="000000"/>
                <w:sz w:val="16"/>
                <w:szCs w:val="16"/>
                <w:lang w:eastAsia="es-ES"/>
              </w:rPr>
            </w:pPr>
            <w:r w:rsidRPr="00250095">
              <w:rPr>
                <w:rFonts w:ascii="Verdana" w:eastAsia="Times New Roman" w:hAnsi="Verdana" w:cs="Times New Roman"/>
                <w:b/>
                <w:bCs/>
                <w:color w:val="000000"/>
                <w:sz w:val="16"/>
                <w:szCs w:val="16"/>
                <w:lang w:eastAsia="es-ES"/>
              </w:rPr>
              <w:t>2013</w:t>
            </w:r>
          </w:p>
        </w:tc>
        <w:tc>
          <w:tcPr>
            <w:tcW w:w="1099" w:type="dxa"/>
            <w:tcBorders>
              <w:top w:val="single" w:sz="4" w:space="0" w:color="auto"/>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both"/>
              <w:rPr>
                <w:rFonts w:ascii="Verdana" w:eastAsia="Times New Roman" w:hAnsi="Verdana" w:cs="Times New Roman"/>
                <w:b/>
                <w:bCs/>
                <w:color w:val="000000"/>
                <w:sz w:val="16"/>
                <w:szCs w:val="16"/>
                <w:lang w:eastAsia="es-ES"/>
              </w:rPr>
            </w:pPr>
            <w:r w:rsidRPr="00250095">
              <w:rPr>
                <w:rFonts w:ascii="Verdana" w:eastAsia="Times New Roman" w:hAnsi="Verdana" w:cs="Times New Roman"/>
                <w:b/>
                <w:bCs/>
                <w:color w:val="000000"/>
                <w:sz w:val="16"/>
                <w:szCs w:val="16"/>
                <w:lang w:eastAsia="es-ES"/>
              </w:rPr>
              <w:t>2014 (sd)</w:t>
            </w:r>
          </w:p>
        </w:tc>
        <w:tc>
          <w:tcPr>
            <w:tcW w:w="1099" w:type="dxa"/>
            <w:tcBorders>
              <w:top w:val="single" w:sz="4" w:space="0" w:color="auto"/>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both"/>
              <w:rPr>
                <w:rFonts w:ascii="Verdana" w:eastAsia="Times New Roman" w:hAnsi="Verdana" w:cs="Times New Roman"/>
                <w:b/>
                <w:bCs/>
                <w:color w:val="000000"/>
                <w:sz w:val="16"/>
                <w:szCs w:val="16"/>
                <w:lang w:eastAsia="es-ES"/>
              </w:rPr>
            </w:pPr>
            <w:r w:rsidRPr="00250095">
              <w:rPr>
                <w:rFonts w:ascii="Verdana" w:eastAsia="Times New Roman" w:hAnsi="Verdana" w:cs="Times New Roman"/>
                <w:b/>
                <w:bCs/>
                <w:color w:val="000000"/>
                <w:sz w:val="16"/>
                <w:szCs w:val="16"/>
                <w:lang w:eastAsia="es-ES"/>
              </w:rPr>
              <w:t>2015 (p)</w:t>
            </w:r>
          </w:p>
        </w:tc>
      </w:tr>
      <w:tr w:rsidR="00BB07EF" w:rsidRPr="00250095" w:rsidTr="00A66608">
        <w:trPr>
          <w:trHeight w:val="610"/>
          <w:jc w:val="center"/>
        </w:trPr>
        <w:tc>
          <w:tcPr>
            <w:tcW w:w="25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eastAsia="es-ES"/>
              </w:rPr>
            </w:pPr>
            <w:r w:rsidRPr="00250095">
              <w:rPr>
                <w:rFonts w:ascii="Verdana" w:eastAsia="Times New Roman" w:hAnsi="Verdana" w:cs="Times New Roman"/>
                <w:b/>
                <w:bCs/>
                <w:color w:val="000000"/>
                <w:sz w:val="16"/>
                <w:szCs w:val="16"/>
                <w:lang w:eastAsia="es-ES"/>
              </w:rPr>
              <w:t>PIB real (miles de USD)</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60.925.064</w:t>
            </w:r>
          </w:p>
        </w:tc>
        <w:tc>
          <w:tcPr>
            <w:tcW w:w="121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64.362.433</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67.546.128</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70.243.048</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70.353.852</w:t>
            </w:r>
          </w:p>
        </w:tc>
      </w:tr>
      <w:tr w:rsidR="00BB07EF" w:rsidRPr="00250095" w:rsidTr="00A66608">
        <w:trPr>
          <w:trHeight w:val="576"/>
          <w:jc w:val="center"/>
        </w:trPr>
        <w:tc>
          <w:tcPr>
            <w:tcW w:w="2533" w:type="dxa"/>
            <w:tcBorders>
              <w:top w:val="nil"/>
              <w:left w:val="single" w:sz="4" w:space="0" w:color="auto"/>
              <w:bottom w:val="single" w:sz="4" w:space="0" w:color="auto"/>
              <w:right w:val="single" w:sz="4" w:space="0" w:color="auto"/>
            </w:tcBorders>
            <w:shd w:val="clear" w:color="auto" w:fill="auto"/>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eastAsia="es-ES"/>
              </w:rPr>
            </w:pPr>
            <w:r w:rsidRPr="00250095">
              <w:rPr>
                <w:rFonts w:ascii="Verdana" w:eastAsia="Times New Roman" w:hAnsi="Verdana" w:cs="Times New Roman"/>
                <w:b/>
                <w:bCs/>
                <w:color w:val="000000"/>
                <w:sz w:val="16"/>
                <w:szCs w:val="16"/>
                <w:lang w:eastAsia="es-ES"/>
              </w:rPr>
              <w:t>Fabricación equipos de transporte (miles de USD)</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178.002</w:t>
            </w:r>
          </w:p>
        </w:tc>
        <w:tc>
          <w:tcPr>
            <w:tcW w:w="121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184.522</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169.110</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156.659</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149.026</w:t>
            </w:r>
          </w:p>
        </w:tc>
      </w:tr>
      <w:tr w:rsidR="00BB07EF" w:rsidRPr="00250095" w:rsidTr="00A66608">
        <w:trPr>
          <w:trHeight w:val="1000"/>
          <w:jc w:val="center"/>
        </w:trPr>
        <w:tc>
          <w:tcPr>
            <w:tcW w:w="2533" w:type="dxa"/>
            <w:tcBorders>
              <w:top w:val="nil"/>
              <w:left w:val="single" w:sz="4" w:space="0" w:color="auto"/>
              <w:bottom w:val="single" w:sz="4" w:space="0" w:color="auto"/>
              <w:right w:val="single" w:sz="4" w:space="0" w:color="auto"/>
            </w:tcBorders>
            <w:shd w:val="clear" w:color="auto" w:fill="auto"/>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eastAsia="es-ES"/>
              </w:rPr>
            </w:pPr>
            <w:r w:rsidRPr="00250095">
              <w:rPr>
                <w:rFonts w:ascii="Verdana" w:eastAsia="Times New Roman" w:hAnsi="Verdana" w:cs="Times New Roman"/>
                <w:b/>
                <w:bCs/>
                <w:color w:val="000000"/>
                <w:sz w:val="16"/>
                <w:szCs w:val="16"/>
                <w:lang w:eastAsia="es-ES"/>
              </w:rPr>
              <w:t>Tasa de Variación fabricación equipos de transporte (%)</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5,3%</w:t>
            </w:r>
          </w:p>
        </w:tc>
        <w:tc>
          <w:tcPr>
            <w:tcW w:w="121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3,7%</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-8,4%</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-7,4%</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-4,9%</w:t>
            </w:r>
          </w:p>
        </w:tc>
      </w:tr>
      <w:tr w:rsidR="00BB07EF" w:rsidRPr="00250095" w:rsidTr="00A66608">
        <w:trPr>
          <w:trHeight w:val="576"/>
          <w:jc w:val="center"/>
        </w:trPr>
        <w:tc>
          <w:tcPr>
            <w:tcW w:w="2533" w:type="dxa"/>
            <w:tcBorders>
              <w:top w:val="nil"/>
              <w:left w:val="single" w:sz="4" w:space="0" w:color="auto"/>
              <w:bottom w:val="single" w:sz="4" w:space="0" w:color="auto"/>
              <w:right w:val="single" w:sz="4" w:space="0" w:color="auto"/>
            </w:tcBorders>
            <w:shd w:val="clear" w:color="auto" w:fill="auto"/>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eastAsia="es-ES"/>
              </w:rPr>
            </w:pPr>
            <w:r w:rsidRPr="00250095">
              <w:rPr>
                <w:rFonts w:ascii="Verdana" w:eastAsia="Times New Roman" w:hAnsi="Verdana" w:cs="Times New Roman"/>
                <w:b/>
                <w:bCs/>
                <w:color w:val="000000"/>
                <w:sz w:val="16"/>
                <w:szCs w:val="16"/>
                <w:lang w:eastAsia="es-ES"/>
              </w:rPr>
              <w:t>Fabricación equipos de transporte/PIB (%)</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0,3%</w:t>
            </w:r>
          </w:p>
        </w:tc>
        <w:tc>
          <w:tcPr>
            <w:tcW w:w="121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0,3%</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0,3%</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0,2%</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0,2%</w:t>
            </w:r>
          </w:p>
        </w:tc>
      </w:tr>
      <w:tr w:rsidR="00BB07EF" w:rsidRPr="00250095" w:rsidTr="00A66608">
        <w:trPr>
          <w:trHeight w:val="661"/>
          <w:jc w:val="center"/>
        </w:trPr>
        <w:tc>
          <w:tcPr>
            <w:tcW w:w="2533" w:type="dxa"/>
            <w:tcBorders>
              <w:top w:val="nil"/>
              <w:left w:val="single" w:sz="4" w:space="0" w:color="auto"/>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eastAsia="es-ES"/>
              </w:rPr>
            </w:pPr>
            <w:r w:rsidRPr="00250095">
              <w:rPr>
                <w:rFonts w:ascii="Verdana" w:eastAsia="Times New Roman" w:hAnsi="Verdana" w:cs="Times New Roman"/>
                <w:b/>
                <w:bCs/>
                <w:color w:val="000000"/>
                <w:sz w:val="16"/>
                <w:szCs w:val="16"/>
                <w:lang w:eastAsia="es-ES"/>
              </w:rPr>
              <w:t>Manufactura (miles de USD)</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8.261.467</w:t>
            </w:r>
          </w:p>
        </w:tc>
        <w:tc>
          <w:tcPr>
            <w:tcW w:w="121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8.599.236</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8.784.903</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8.756.191</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8.677.892</w:t>
            </w:r>
          </w:p>
        </w:tc>
      </w:tr>
      <w:tr w:rsidR="00BB07EF" w:rsidRPr="00250095" w:rsidTr="00A66608">
        <w:trPr>
          <w:trHeight w:val="576"/>
          <w:jc w:val="center"/>
        </w:trPr>
        <w:tc>
          <w:tcPr>
            <w:tcW w:w="2533" w:type="dxa"/>
            <w:tcBorders>
              <w:top w:val="nil"/>
              <w:left w:val="single" w:sz="4" w:space="0" w:color="auto"/>
              <w:bottom w:val="single" w:sz="4" w:space="0" w:color="auto"/>
              <w:right w:val="single" w:sz="4" w:space="0" w:color="auto"/>
            </w:tcBorders>
            <w:shd w:val="clear" w:color="auto" w:fill="auto"/>
            <w:vAlign w:val="center"/>
            <w:hideMark/>
          </w:tcPr>
          <w:p w:rsidR="00BB07EF" w:rsidRPr="00250095" w:rsidRDefault="00BB07EF" w:rsidP="00EC63DA">
            <w:pPr>
              <w:spacing w:after="0" w:line="240" w:lineRule="auto"/>
              <w:jc w:val="center"/>
              <w:rPr>
                <w:rFonts w:ascii="Verdana" w:eastAsia="Times New Roman" w:hAnsi="Verdana" w:cs="Times New Roman"/>
                <w:b/>
                <w:bCs/>
                <w:color w:val="000000"/>
                <w:sz w:val="16"/>
                <w:szCs w:val="16"/>
                <w:lang w:eastAsia="es-ES"/>
              </w:rPr>
            </w:pPr>
            <w:r w:rsidRPr="00250095">
              <w:rPr>
                <w:rFonts w:ascii="Verdana" w:eastAsia="Times New Roman" w:hAnsi="Verdana" w:cs="Times New Roman"/>
                <w:b/>
                <w:bCs/>
                <w:color w:val="000000"/>
                <w:sz w:val="16"/>
                <w:szCs w:val="16"/>
                <w:lang w:eastAsia="es-ES"/>
              </w:rPr>
              <w:t>Fabricación equipos de transporte/Manufactura (%)</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2,2%</w:t>
            </w:r>
          </w:p>
        </w:tc>
        <w:tc>
          <w:tcPr>
            <w:tcW w:w="1211"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2,1%</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1,9%</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1,8%</w:t>
            </w:r>
          </w:p>
        </w:tc>
        <w:tc>
          <w:tcPr>
            <w:tcW w:w="1099" w:type="dxa"/>
            <w:tcBorders>
              <w:top w:val="nil"/>
              <w:left w:val="nil"/>
              <w:bottom w:val="single" w:sz="4" w:space="0" w:color="auto"/>
              <w:right w:val="single" w:sz="4" w:space="0" w:color="auto"/>
            </w:tcBorders>
            <w:shd w:val="clear" w:color="auto" w:fill="auto"/>
            <w:noWrap/>
            <w:vAlign w:val="center"/>
            <w:hideMark/>
          </w:tcPr>
          <w:p w:rsidR="00BB07EF" w:rsidRPr="00250095" w:rsidRDefault="00BB07EF" w:rsidP="00EC63DA">
            <w:pPr>
              <w:spacing w:after="0" w:line="240" w:lineRule="auto"/>
              <w:jc w:val="center"/>
              <w:rPr>
                <w:rFonts w:ascii="Verdana" w:eastAsia="Times New Roman" w:hAnsi="Verdana" w:cs="Times New Roman"/>
                <w:color w:val="000000"/>
                <w:sz w:val="16"/>
                <w:szCs w:val="16"/>
                <w:lang w:eastAsia="es-ES"/>
              </w:rPr>
            </w:pPr>
            <w:r w:rsidRPr="00250095">
              <w:rPr>
                <w:rFonts w:ascii="Verdana" w:eastAsia="Times New Roman" w:hAnsi="Verdana" w:cs="Times New Roman"/>
                <w:color w:val="000000"/>
                <w:sz w:val="16"/>
                <w:szCs w:val="16"/>
                <w:lang w:eastAsia="es-ES"/>
              </w:rPr>
              <w:t>1,7%</w:t>
            </w:r>
          </w:p>
        </w:tc>
      </w:tr>
    </w:tbl>
    <w:p w:rsidR="00BB07EF" w:rsidRPr="00EE4D50" w:rsidRDefault="00C44099" w:rsidP="00EC63DA">
      <w:pPr>
        <w:spacing w:after="0" w:line="240" w:lineRule="auto"/>
        <w:jc w:val="both"/>
        <w:rPr>
          <w:rFonts w:ascii="Verdana" w:eastAsia="Calibri" w:hAnsi="Verdana" w:cs="Times New Roman"/>
          <w:sz w:val="20"/>
        </w:rPr>
      </w:pPr>
      <w:r>
        <w:rPr>
          <w:rFonts w:ascii="Verdana" w:eastAsia="Calibri" w:hAnsi="Verdana" w:cs="Times New Roman"/>
          <w:sz w:val="20"/>
        </w:rPr>
        <w:t xml:space="preserve">      </w:t>
      </w:r>
      <w:r w:rsidR="00BB07EF" w:rsidRPr="00EE4D50">
        <w:rPr>
          <w:rFonts w:ascii="Verdana" w:eastAsia="Calibri" w:hAnsi="Verdana" w:cs="Times New Roman"/>
          <w:sz w:val="20"/>
        </w:rPr>
        <w:t>Fuente: BCE (2016)</w:t>
      </w:r>
    </w:p>
    <w:p w:rsidR="00A66608" w:rsidRPr="00EE4D50" w:rsidRDefault="00C44099" w:rsidP="00EC63DA">
      <w:pPr>
        <w:spacing w:after="0" w:line="240" w:lineRule="auto"/>
        <w:jc w:val="both"/>
        <w:rPr>
          <w:rFonts w:ascii="Verdana" w:hAnsi="Verdana" w:cs="Times New Roman"/>
          <w:sz w:val="20"/>
        </w:rPr>
      </w:pPr>
      <w:r>
        <w:rPr>
          <w:rFonts w:ascii="Verdana" w:hAnsi="Verdana" w:cs="Times New Roman"/>
          <w:sz w:val="20"/>
        </w:rPr>
        <w:t xml:space="preserve">      </w:t>
      </w:r>
      <w:r w:rsidR="00A66608" w:rsidRPr="00EE4D50">
        <w:rPr>
          <w:rFonts w:ascii="Verdana" w:hAnsi="Verdana" w:cs="Times New Roman"/>
          <w:sz w:val="20"/>
        </w:rPr>
        <w:t>Elaboración: Autora</w:t>
      </w:r>
    </w:p>
    <w:p w:rsidR="00A66608" w:rsidRPr="00EE4D50" w:rsidRDefault="00A66608" w:rsidP="00EC63DA">
      <w:pPr>
        <w:spacing w:after="60"/>
        <w:jc w:val="both"/>
        <w:rPr>
          <w:rFonts w:ascii="Verdana" w:eastAsia="Calibri" w:hAnsi="Verdana" w:cs="Times New Roman"/>
        </w:rPr>
      </w:pPr>
    </w:p>
    <w:p w:rsidR="00BB07EF" w:rsidRPr="00EE4D50" w:rsidRDefault="00BB07EF" w:rsidP="00EC63DA">
      <w:pPr>
        <w:spacing w:after="60"/>
        <w:jc w:val="both"/>
        <w:rPr>
          <w:rFonts w:ascii="Verdana" w:eastAsia="Calibri" w:hAnsi="Verdana" w:cs="Times New Roman"/>
        </w:rPr>
      </w:pPr>
      <w:r w:rsidRPr="00EE4D50">
        <w:rPr>
          <w:rFonts w:ascii="Verdana" w:eastAsia="Calibri" w:hAnsi="Verdana" w:cs="Times New Roman"/>
        </w:rPr>
        <w:t>La fabricación de equipos de transporte es una de los rubros que aportan en buena medida a la industria manufacturera a precios de 2007, pero ha ido disminuyendo su participación de 2,2% en el 2011 al 1,7% en el 2015. Con respecto al PIB real, su contribución fue de 0,3% desde el 2011 al 2014 y menor en 2015 con un 0,2% (mientras que las otras 31 ramas de la manufactura varían entre el 0,01% y el 1%). Asimismo, la fabricación de equipos de transporte redujo su participación en la manufactura al pasar del 2,2% en 2011 a 1,7% en 2015.</w:t>
      </w:r>
    </w:p>
    <w:p w:rsidR="00EE52B1" w:rsidRPr="00EE4D50" w:rsidRDefault="00EE52B1" w:rsidP="00EC63DA">
      <w:pPr>
        <w:spacing w:after="60"/>
        <w:jc w:val="both"/>
        <w:rPr>
          <w:rFonts w:ascii="Verdana" w:eastAsia="Calibri" w:hAnsi="Verdana" w:cs="Times New Roman"/>
        </w:rPr>
      </w:pPr>
    </w:p>
    <w:p w:rsidR="00BB07EF" w:rsidRPr="00EE4D50" w:rsidRDefault="00BB07EF" w:rsidP="00EC63DA">
      <w:pPr>
        <w:spacing w:after="60"/>
        <w:jc w:val="both"/>
        <w:rPr>
          <w:rFonts w:ascii="Verdana" w:eastAsia="Calibri" w:hAnsi="Verdana" w:cs="Times New Roman"/>
        </w:rPr>
      </w:pPr>
      <w:r w:rsidRPr="00EE4D50">
        <w:rPr>
          <w:rFonts w:ascii="Verdana" w:eastAsia="Calibri" w:hAnsi="Verdana" w:cs="Times New Roman"/>
        </w:rPr>
        <w:t>La fabricación de equipos de transporte tuvo crecimientos significativos en los años 2011 y 2012 siendo 5,3% y 3,7% respectivamente. Pero a partir de 2013 la tasa de variación anual fue negativa en -8,4%, terminando en 2015 con decrecimiento del -4,9%. El porcentaje de variación del 2015 con respecto al 2011 fue de -16,3%.</w:t>
      </w:r>
    </w:p>
    <w:p w:rsidR="00EE52B1" w:rsidRPr="00EE4D50" w:rsidRDefault="00EE52B1" w:rsidP="00EC63DA">
      <w:pPr>
        <w:spacing w:after="60"/>
        <w:jc w:val="both"/>
        <w:rPr>
          <w:rFonts w:ascii="Verdana" w:eastAsia="Calibri" w:hAnsi="Verdana" w:cs="Times New Roman"/>
        </w:rPr>
      </w:pPr>
    </w:p>
    <w:p w:rsidR="00BB07EF" w:rsidRPr="00EE4D50" w:rsidRDefault="00BB07EF" w:rsidP="00EC63DA">
      <w:pPr>
        <w:jc w:val="both"/>
        <w:rPr>
          <w:rFonts w:ascii="Verdana" w:eastAsia="Calibri" w:hAnsi="Verdana" w:cs="Times New Roman"/>
        </w:rPr>
      </w:pPr>
      <w:r w:rsidRPr="00EE4D50">
        <w:rPr>
          <w:rFonts w:ascii="Verdana" w:eastAsia="Calibri" w:hAnsi="Verdana" w:cs="Times New Roman"/>
        </w:rPr>
        <w:t>Como dato adicional, el servicio de reparación y mantenimiento de vehículos de motor y motocicletas, a precios de 2007,</w:t>
      </w:r>
      <w:r w:rsidR="00CF4FE1" w:rsidRPr="00EE4D50">
        <w:rPr>
          <w:rFonts w:ascii="Verdana" w:eastAsia="Calibri" w:hAnsi="Verdana" w:cs="Times New Roman"/>
        </w:rPr>
        <w:t xml:space="preserve"> </w:t>
      </w:r>
      <w:r w:rsidRPr="00EE4D50">
        <w:rPr>
          <w:rFonts w:ascii="Verdana" w:eastAsia="Calibri" w:hAnsi="Verdana" w:cs="Times New Roman"/>
        </w:rPr>
        <w:t>aportó 1,2% al PIB en 2011; y desde 2012 al 2015 aumentó al 1,3% (BCE, 2016).</w:t>
      </w:r>
    </w:p>
    <w:p w:rsidR="00261705" w:rsidRDefault="00261705" w:rsidP="00EC63DA">
      <w:pPr>
        <w:jc w:val="both"/>
        <w:rPr>
          <w:rFonts w:ascii="Verdana" w:eastAsia="Calibri" w:hAnsi="Verdana" w:cs="Times New Roman"/>
          <w:b/>
          <w:i/>
          <w:sz w:val="32"/>
        </w:rPr>
      </w:pPr>
    </w:p>
    <w:p w:rsidR="001A1E18" w:rsidRPr="00EE4D50" w:rsidRDefault="001A1E18" w:rsidP="00EC63DA">
      <w:pPr>
        <w:jc w:val="both"/>
        <w:rPr>
          <w:rFonts w:ascii="Verdana" w:eastAsia="Calibri" w:hAnsi="Verdana" w:cs="Times New Roman"/>
          <w:b/>
          <w:i/>
          <w:sz w:val="32"/>
        </w:rPr>
      </w:pPr>
    </w:p>
    <w:p w:rsidR="00862CCC" w:rsidRPr="00EE4D50" w:rsidRDefault="00862CCC" w:rsidP="00EC63DA">
      <w:pPr>
        <w:jc w:val="both"/>
        <w:rPr>
          <w:rFonts w:ascii="Verdana" w:eastAsia="Calibri" w:hAnsi="Verdana" w:cs="Times New Roman"/>
          <w:b/>
          <w:i/>
          <w:sz w:val="32"/>
        </w:rPr>
      </w:pPr>
    </w:p>
    <w:p w:rsidR="00BB07EF" w:rsidRPr="00EE4D50" w:rsidRDefault="00BB07EF" w:rsidP="00EC63DA">
      <w:pPr>
        <w:pStyle w:val="Ttulo3"/>
        <w:spacing w:after="60"/>
        <w:rPr>
          <w:rFonts w:ascii="Verdana" w:hAnsi="Verdana" w:cs="Times New Roman"/>
          <w:i/>
          <w:color w:val="auto"/>
          <w:sz w:val="28"/>
        </w:rPr>
      </w:pPr>
      <w:bookmarkStart w:id="93" w:name="_Toc485137225"/>
      <w:r w:rsidRPr="00EE4D50">
        <w:rPr>
          <w:rFonts w:ascii="Verdana" w:hAnsi="Verdana" w:cs="Times New Roman"/>
          <w:i/>
          <w:color w:val="auto"/>
          <w:sz w:val="28"/>
        </w:rPr>
        <w:lastRenderedPageBreak/>
        <w:t>Formación bruta de capital fijo</w:t>
      </w:r>
      <w:bookmarkEnd w:id="93"/>
    </w:p>
    <w:p w:rsidR="00EE52B1" w:rsidRPr="00EE4D50" w:rsidRDefault="00EE52B1" w:rsidP="00EC63DA">
      <w:pPr>
        <w:spacing w:after="60"/>
        <w:jc w:val="both"/>
        <w:rPr>
          <w:rFonts w:ascii="Verdana" w:hAnsi="Verdana" w:cs="Times New Roman"/>
        </w:rPr>
      </w:pPr>
    </w:p>
    <w:p w:rsidR="00BB07EF" w:rsidRPr="00EE4D50" w:rsidRDefault="00BB07EF" w:rsidP="00EC63DA">
      <w:pPr>
        <w:spacing w:after="60"/>
        <w:jc w:val="both"/>
        <w:rPr>
          <w:rFonts w:ascii="Verdana" w:eastAsia="Calibri" w:hAnsi="Verdana" w:cs="Times New Roman"/>
        </w:rPr>
      </w:pPr>
      <w:r w:rsidRPr="00EE4D50">
        <w:rPr>
          <w:rFonts w:ascii="Verdana" w:eastAsia="Calibri" w:hAnsi="Verdana" w:cs="Times New Roman"/>
        </w:rPr>
        <w:t>La Formación Bruta de Capital Fijo</w:t>
      </w:r>
      <w:r w:rsidRPr="00EE4D50">
        <w:rPr>
          <w:rStyle w:val="Refdenotaalpie"/>
          <w:rFonts w:ascii="Verdana" w:eastAsia="Calibri" w:hAnsi="Verdana" w:cs="Times New Roman"/>
        </w:rPr>
        <w:footnoteReference w:id="16"/>
      </w:r>
      <w:r w:rsidRPr="00EE4D50">
        <w:rPr>
          <w:rFonts w:ascii="Verdana" w:eastAsia="Calibri" w:hAnsi="Verdana" w:cs="Times New Roman"/>
        </w:rPr>
        <w:t xml:space="preserve"> (FBKF) es el monto de inversión que “permite identificar a los sectores económicos que incrementan su capacidad productiva para la generación de más trabajo y mayor producción” (BCE, 2015). Según cifras del BCE, este indicador sumó USD 26.359.701.000 a precios corrientes en el año 2015, lo cual significó el 26,3% del PIB nominal; siendo 14,1% para el sector privado y 12,2% para el sector público. Del total de la FBKF, a precios corrientes, los servicios prestados a las empresas y de producción representaron el 0,6%, los productos de la agricultura, silvicultura y pesca 2,9%, los trabajos de la construcción 69,1% y los productos manufacturados 29,2%.</w:t>
      </w:r>
    </w:p>
    <w:p w:rsidR="00EE52B1" w:rsidRPr="00EE4D50" w:rsidRDefault="00EE52B1" w:rsidP="00EC63DA">
      <w:pPr>
        <w:spacing w:after="60"/>
        <w:jc w:val="both"/>
        <w:rPr>
          <w:rFonts w:ascii="Verdana" w:eastAsia="Calibri" w:hAnsi="Verdana" w:cs="Times New Roman"/>
        </w:rPr>
      </w:pPr>
    </w:p>
    <w:p w:rsidR="00BB07EF" w:rsidRPr="00EE4D50" w:rsidRDefault="00BB07EF" w:rsidP="00EC63DA">
      <w:pPr>
        <w:spacing w:after="60"/>
        <w:jc w:val="both"/>
        <w:rPr>
          <w:rFonts w:ascii="Verdana" w:eastAsia="Calibri" w:hAnsi="Verdana" w:cs="Times New Roman"/>
        </w:rPr>
      </w:pPr>
      <w:r w:rsidRPr="00EE4D50">
        <w:rPr>
          <w:rFonts w:ascii="Verdana" w:eastAsia="Calibri" w:hAnsi="Verdana" w:cs="Times New Roman"/>
        </w:rPr>
        <w:t>Los productos manufacturados, a precios corrientes de 2015, sumaron en total USD 7.688.412.000, de los cuales los productos metálicos participaron con el 9,4%, maquinaria, equipo y aparatos eléctricos con el 61%, los muebles con el 5,7%, otros productos manufacturados con el 3,9% y equipo de transporte con el 20,6% (USD 1.586.178.000). Y con respecto al total de la FBKF el equipo de transporte aportó con el 6%. A continuación se analizará al producto equipo de transporte para el período 2011-2015 a precios constantes con año base 2007, de manera que se pueda comparar las cifras.</w:t>
      </w:r>
    </w:p>
    <w:p w:rsidR="00EE52B1" w:rsidRPr="00EE4D50" w:rsidRDefault="00EE52B1" w:rsidP="00EC63DA">
      <w:pPr>
        <w:spacing w:after="60"/>
        <w:jc w:val="both"/>
        <w:rPr>
          <w:rFonts w:ascii="Verdana" w:eastAsia="Calibri" w:hAnsi="Verdana" w:cs="Times New Roman"/>
        </w:rPr>
      </w:pPr>
    </w:p>
    <w:p w:rsidR="006E0E23" w:rsidRPr="00EE4D50" w:rsidRDefault="006E0E23" w:rsidP="00EC63DA">
      <w:pPr>
        <w:spacing w:after="60"/>
        <w:jc w:val="both"/>
        <w:rPr>
          <w:rFonts w:ascii="Verdana" w:eastAsia="Calibri" w:hAnsi="Verdana" w:cs="Times New Roman"/>
        </w:rPr>
      </w:pPr>
    </w:p>
    <w:p w:rsidR="006E0E23" w:rsidRPr="00EE4D50" w:rsidRDefault="006E0E23" w:rsidP="00EC63DA">
      <w:pPr>
        <w:spacing w:after="60"/>
        <w:jc w:val="both"/>
        <w:rPr>
          <w:rFonts w:ascii="Verdana" w:eastAsia="Calibri" w:hAnsi="Verdana" w:cs="Times New Roman"/>
        </w:rPr>
      </w:pPr>
    </w:p>
    <w:p w:rsidR="006E0E23" w:rsidRPr="00EE4D50" w:rsidRDefault="006E0E23" w:rsidP="00EC63DA">
      <w:pPr>
        <w:spacing w:after="60"/>
        <w:jc w:val="both"/>
        <w:rPr>
          <w:rFonts w:ascii="Verdana" w:eastAsia="Calibri" w:hAnsi="Verdana" w:cs="Times New Roman"/>
        </w:rPr>
      </w:pPr>
    </w:p>
    <w:p w:rsidR="006E0E23" w:rsidRPr="00EE4D50" w:rsidRDefault="006E0E23" w:rsidP="00EC63DA">
      <w:pPr>
        <w:spacing w:after="60"/>
        <w:jc w:val="both"/>
        <w:rPr>
          <w:rFonts w:ascii="Verdana" w:eastAsia="Calibri" w:hAnsi="Verdana" w:cs="Times New Roman"/>
        </w:rPr>
      </w:pPr>
    </w:p>
    <w:p w:rsidR="006E0E23" w:rsidRPr="00EE4D50" w:rsidRDefault="006E0E23" w:rsidP="00EC63DA">
      <w:pPr>
        <w:spacing w:after="60"/>
        <w:jc w:val="both"/>
        <w:rPr>
          <w:rFonts w:ascii="Verdana" w:eastAsia="Calibri" w:hAnsi="Verdana" w:cs="Times New Roman"/>
        </w:rPr>
      </w:pPr>
    </w:p>
    <w:p w:rsidR="006E0E23" w:rsidRPr="00EE4D50" w:rsidRDefault="006E0E23" w:rsidP="00EC63DA">
      <w:pPr>
        <w:spacing w:after="60"/>
        <w:jc w:val="both"/>
        <w:rPr>
          <w:rFonts w:ascii="Verdana" w:eastAsia="Calibri" w:hAnsi="Verdana" w:cs="Times New Roman"/>
        </w:rPr>
      </w:pPr>
    </w:p>
    <w:p w:rsidR="006E0E23" w:rsidRPr="00EE4D50" w:rsidRDefault="006E0E23" w:rsidP="00EC63DA">
      <w:pPr>
        <w:spacing w:after="60"/>
        <w:jc w:val="both"/>
        <w:rPr>
          <w:rFonts w:ascii="Verdana" w:eastAsia="Calibri" w:hAnsi="Verdana" w:cs="Times New Roman"/>
        </w:rPr>
      </w:pPr>
    </w:p>
    <w:p w:rsidR="006E0E23" w:rsidRPr="00EE4D50" w:rsidRDefault="006E0E23" w:rsidP="00EC63DA">
      <w:pPr>
        <w:spacing w:after="60"/>
        <w:jc w:val="both"/>
        <w:rPr>
          <w:rFonts w:ascii="Verdana" w:eastAsia="Calibri" w:hAnsi="Verdana" w:cs="Times New Roman"/>
        </w:rPr>
      </w:pPr>
    </w:p>
    <w:p w:rsidR="006E0E23" w:rsidRPr="00EE4D50" w:rsidRDefault="006E0E23" w:rsidP="00EC63DA">
      <w:pPr>
        <w:spacing w:after="60"/>
        <w:jc w:val="both"/>
        <w:rPr>
          <w:rFonts w:ascii="Verdana" w:eastAsia="Calibri" w:hAnsi="Verdana" w:cs="Times New Roman"/>
        </w:rPr>
      </w:pPr>
    </w:p>
    <w:p w:rsidR="006E0E23" w:rsidRPr="00EE4D50" w:rsidRDefault="006E0E23" w:rsidP="00EC63DA">
      <w:pPr>
        <w:spacing w:after="60"/>
        <w:jc w:val="both"/>
        <w:rPr>
          <w:rFonts w:ascii="Verdana" w:eastAsia="Calibri" w:hAnsi="Verdana" w:cs="Times New Roman"/>
        </w:rPr>
      </w:pPr>
    </w:p>
    <w:p w:rsidR="006E0E23" w:rsidRPr="00EE4D50" w:rsidRDefault="006E0E23" w:rsidP="00EC63DA">
      <w:pPr>
        <w:spacing w:after="60"/>
        <w:jc w:val="both"/>
        <w:rPr>
          <w:rFonts w:ascii="Verdana" w:eastAsia="Calibri" w:hAnsi="Verdana" w:cs="Times New Roman"/>
        </w:rPr>
      </w:pPr>
    </w:p>
    <w:p w:rsidR="006E0E23" w:rsidRPr="00EE4D50" w:rsidRDefault="006E0E23" w:rsidP="00EC63DA">
      <w:pPr>
        <w:spacing w:after="60"/>
        <w:jc w:val="both"/>
        <w:rPr>
          <w:rFonts w:ascii="Verdana" w:eastAsia="Calibri" w:hAnsi="Verdana" w:cs="Times New Roman"/>
        </w:rPr>
      </w:pPr>
    </w:p>
    <w:p w:rsidR="006E0E23" w:rsidRPr="00EE4D50" w:rsidRDefault="006E0E23" w:rsidP="00EC63DA">
      <w:pPr>
        <w:spacing w:after="60"/>
        <w:jc w:val="both"/>
        <w:rPr>
          <w:rFonts w:ascii="Verdana" w:eastAsia="Calibri" w:hAnsi="Verdana" w:cs="Times New Roman"/>
        </w:rPr>
      </w:pPr>
    </w:p>
    <w:p w:rsidR="006E0E23" w:rsidRPr="00EE4D50" w:rsidRDefault="006E0E23" w:rsidP="00EC63DA">
      <w:pPr>
        <w:spacing w:after="60"/>
        <w:jc w:val="both"/>
        <w:rPr>
          <w:rFonts w:ascii="Verdana" w:eastAsia="Calibri" w:hAnsi="Verdana" w:cs="Times New Roman"/>
        </w:rPr>
      </w:pPr>
    </w:p>
    <w:p w:rsidR="00BB07EF" w:rsidRPr="00EE4D50" w:rsidRDefault="00EC77AB" w:rsidP="00EC63DA">
      <w:pPr>
        <w:pStyle w:val="Epgrafe"/>
        <w:spacing w:after="0"/>
        <w:jc w:val="center"/>
        <w:rPr>
          <w:rFonts w:ascii="Verdana" w:eastAsia="Calibri" w:hAnsi="Verdana" w:cs="Times New Roman"/>
          <w:b w:val="0"/>
          <w:color w:val="auto"/>
          <w:sz w:val="20"/>
          <w:szCs w:val="20"/>
        </w:rPr>
      </w:pPr>
      <w:bookmarkStart w:id="94" w:name="_Toc473640133"/>
      <w:r w:rsidRPr="00EE4D50">
        <w:rPr>
          <w:rFonts w:ascii="Verdana" w:hAnsi="Verdana" w:cs="Times New Roman"/>
          <w:color w:val="auto"/>
          <w:sz w:val="20"/>
          <w:szCs w:val="20"/>
        </w:rPr>
        <w:lastRenderedPageBreak/>
        <w:t xml:space="preserve">Tabla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Tabla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18</w:t>
      </w:r>
      <w:r w:rsidRPr="00EE4D50">
        <w:rPr>
          <w:rFonts w:ascii="Verdana" w:hAnsi="Verdana" w:cs="Times New Roman"/>
          <w:color w:val="auto"/>
          <w:sz w:val="20"/>
          <w:szCs w:val="20"/>
        </w:rPr>
        <w:fldChar w:fldCharType="end"/>
      </w:r>
      <w:r w:rsidR="00BB07EF" w:rsidRPr="00EE4D50">
        <w:rPr>
          <w:rFonts w:ascii="Verdana" w:eastAsia="Calibri" w:hAnsi="Verdana" w:cs="Times New Roman"/>
          <w:b w:val="0"/>
          <w:color w:val="auto"/>
          <w:sz w:val="20"/>
          <w:szCs w:val="20"/>
        </w:rPr>
        <w:t>: FBKF de equipos de transporte con respecto a la FBKF total y al de los productos manufacturados con año base 2007</w:t>
      </w:r>
      <w:bookmarkEnd w:id="94"/>
    </w:p>
    <w:tbl>
      <w:tblPr>
        <w:tblW w:w="8659" w:type="dxa"/>
        <w:jc w:val="center"/>
        <w:tblInd w:w="-13" w:type="dxa"/>
        <w:tblCellMar>
          <w:left w:w="70" w:type="dxa"/>
          <w:right w:w="70" w:type="dxa"/>
        </w:tblCellMar>
        <w:tblLook w:val="04A0" w:firstRow="1" w:lastRow="0" w:firstColumn="1" w:lastColumn="0" w:noHBand="0" w:noVBand="1"/>
      </w:tblPr>
      <w:tblGrid>
        <w:gridCol w:w="2375"/>
        <w:gridCol w:w="1214"/>
        <w:gridCol w:w="1289"/>
        <w:gridCol w:w="1187"/>
        <w:gridCol w:w="1274"/>
        <w:gridCol w:w="1320"/>
      </w:tblGrid>
      <w:tr w:rsidR="00BB07EF" w:rsidRPr="00EE4D50" w:rsidTr="006E0E23">
        <w:trPr>
          <w:trHeight w:val="338"/>
          <w:jc w:val="center"/>
        </w:trPr>
        <w:tc>
          <w:tcPr>
            <w:tcW w:w="2375" w:type="dxa"/>
            <w:tcBorders>
              <w:top w:val="nil"/>
              <w:left w:val="nil"/>
              <w:bottom w:val="nil"/>
              <w:right w:val="nil"/>
            </w:tcBorders>
            <w:shd w:val="clear" w:color="auto" w:fill="auto"/>
            <w:noWrap/>
            <w:vAlign w:val="center"/>
            <w:hideMark/>
          </w:tcPr>
          <w:p w:rsidR="00BB07EF" w:rsidRPr="00EE4D50" w:rsidRDefault="00BB07EF" w:rsidP="00EC63DA">
            <w:pPr>
              <w:spacing w:after="0" w:line="240" w:lineRule="auto"/>
              <w:jc w:val="both"/>
              <w:rPr>
                <w:rFonts w:ascii="Verdana" w:eastAsia="Times New Roman" w:hAnsi="Verdana" w:cs="Times New Roman"/>
                <w:color w:val="000000"/>
                <w:sz w:val="18"/>
                <w:szCs w:val="18"/>
                <w:lang w:eastAsia="es-ES"/>
              </w:rPr>
            </w:pPr>
          </w:p>
        </w:tc>
        <w:tc>
          <w:tcPr>
            <w:tcW w:w="12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both"/>
              <w:rPr>
                <w:rFonts w:ascii="Verdana" w:eastAsia="Times New Roman" w:hAnsi="Verdana" w:cs="Times New Roman"/>
                <w:b/>
                <w:bCs/>
                <w:color w:val="000000"/>
                <w:sz w:val="18"/>
                <w:szCs w:val="18"/>
                <w:lang w:eastAsia="es-ES"/>
              </w:rPr>
            </w:pPr>
            <w:r w:rsidRPr="00EE4D50">
              <w:rPr>
                <w:rFonts w:ascii="Verdana" w:eastAsia="Times New Roman" w:hAnsi="Verdana" w:cs="Times New Roman"/>
                <w:b/>
                <w:bCs/>
                <w:color w:val="000000"/>
                <w:sz w:val="18"/>
                <w:szCs w:val="18"/>
                <w:lang w:eastAsia="es-ES"/>
              </w:rPr>
              <w:t>2011</w:t>
            </w:r>
          </w:p>
        </w:tc>
        <w:tc>
          <w:tcPr>
            <w:tcW w:w="1289"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both"/>
              <w:rPr>
                <w:rFonts w:ascii="Verdana" w:eastAsia="Times New Roman" w:hAnsi="Verdana" w:cs="Times New Roman"/>
                <w:b/>
                <w:bCs/>
                <w:color w:val="000000"/>
                <w:sz w:val="18"/>
                <w:szCs w:val="18"/>
                <w:lang w:eastAsia="es-ES"/>
              </w:rPr>
            </w:pPr>
            <w:r w:rsidRPr="00EE4D50">
              <w:rPr>
                <w:rFonts w:ascii="Verdana" w:eastAsia="Times New Roman" w:hAnsi="Verdana" w:cs="Times New Roman"/>
                <w:b/>
                <w:bCs/>
                <w:color w:val="000000"/>
                <w:sz w:val="18"/>
                <w:szCs w:val="18"/>
                <w:lang w:eastAsia="es-ES"/>
              </w:rPr>
              <w:t>2012</w:t>
            </w:r>
          </w:p>
        </w:tc>
        <w:tc>
          <w:tcPr>
            <w:tcW w:w="1187"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both"/>
              <w:rPr>
                <w:rFonts w:ascii="Verdana" w:eastAsia="Times New Roman" w:hAnsi="Verdana" w:cs="Times New Roman"/>
                <w:b/>
                <w:bCs/>
                <w:color w:val="000000"/>
                <w:sz w:val="18"/>
                <w:szCs w:val="18"/>
                <w:lang w:eastAsia="es-ES"/>
              </w:rPr>
            </w:pPr>
            <w:r w:rsidRPr="00EE4D50">
              <w:rPr>
                <w:rFonts w:ascii="Verdana" w:eastAsia="Times New Roman" w:hAnsi="Verdana" w:cs="Times New Roman"/>
                <w:b/>
                <w:bCs/>
                <w:color w:val="000000"/>
                <w:sz w:val="18"/>
                <w:szCs w:val="18"/>
                <w:lang w:eastAsia="es-ES"/>
              </w:rPr>
              <w:t>2013</w:t>
            </w:r>
          </w:p>
        </w:tc>
        <w:tc>
          <w:tcPr>
            <w:tcW w:w="1274"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both"/>
              <w:rPr>
                <w:rFonts w:ascii="Verdana" w:eastAsia="Times New Roman" w:hAnsi="Verdana" w:cs="Times New Roman"/>
                <w:b/>
                <w:bCs/>
                <w:color w:val="000000"/>
                <w:sz w:val="18"/>
                <w:szCs w:val="18"/>
                <w:lang w:eastAsia="es-ES"/>
              </w:rPr>
            </w:pPr>
            <w:r w:rsidRPr="00EE4D50">
              <w:rPr>
                <w:rFonts w:ascii="Verdana" w:eastAsia="Times New Roman" w:hAnsi="Verdana" w:cs="Times New Roman"/>
                <w:b/>
                <w:bCs/>
                <w:color w:val="000000"/>
                <w:sz w:val="18"/>
                <w:szCs w:val="18"/>
                <w:lang w:eastAsia="es-ES"/>
              </w:rPr>
              <w:t>2014 (sd)</w:t>
            </w:r>
          </w:p>
        </w:tc>
        <w:tc>
          <w:tcPr>
            <w:tcW w:w="1320"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both"/>
              <w:rPr>
                <w:rFonts w:ascii="Verdana" w:eastAsia="Times New Roman" w:hAnsi="Verdana" w:cs="Times New Roman"/>
                <w:b/>
                <w:bCs/>
                <w:color w:val="000000"/>
                <w:sz w:val="18"/>
                <w:szCs w:val="18"/>
                <w:lang w:eastAsia="es-ES"/>
              </w:rPr>
            </w:pPr>
            <w:r w:rsidRPr="00EE4D50">
              <w:rPr>
                <w:rFonts w:ascii="Verdana" w:eastAsia="Times New Roman" w:hAnsi="Verdana" w:cs="Times New Roman"/>
                <w:b/>
                <w:bCs/>
                <w:color w:val="000000"/>
                <w:sz w:val="18"/>
                <w:szCs w:val="18"/>
                <w:lang w:eastAsia="es-ES"/>
              </w:rPr>
              <w:t>2015 (p)</w:t>
            </w:r>
          </w:p>
        </w:tc>
      </w:tr>
      <w:tr w:rsidR="00BB07EF" w:rsidRPr="00EE4D50" w:rsidTr="006E0E23">
        <w:trPr>
          <w:trHeight w:val="426"/>
          <w:jc w:val="center"/>
        </w:trPr>
        <w:tc>
          <w:tcPr>
            <w:tcW w:w="23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8"/>
                <w:szCs w:val="18"/>
                <w:lang w:eastAsia="es-ES"/>
              </w:rPr>
            </w:pPr>
            <w:r w:rsidRPr="00EE4D50">
              <w:rPr>
                <w:rFonts w:ascii="Verdana" w:eastAsia="Times New Roman" w:hAnsi="Verdana" w:cs="Times New Roman"/>
                <w:b/>
                <w:bCs/>
                <w:color w:val="000000"/>
                <w:sz w:val="18"/>
                <w:szCs w:val="18"/>
                <w:lang w:eastAsia="es-ES"/>
              </w:rPr>
              <w:t>FBKF total</w:t>
            </w:r>
          </w:p>
          <w:p w:rsidR="00BB07EF" w:rsidRPr="00EE4D50" w:rsidRDefault="00BB07EF" w:rsidP="00EC63DA">
            <w:pPr>
              <w:spacing w:after="0" w:line="240" w:lineRule="auto"/>
              <w:jc w:val="center"/>
              <w:rPr>
                <w:rFonts w:ascii="Verdana" w:eastAsia="Times New Roman" w:hAnsi="Verdana" w:cs="Times New Roman"/>
                <w:b/>
                <w:bCs/>
                <w:color w:val="000000"/>
                <w:sz w:val="18"/>
                <w:szCs w:val="18"/>
                <w:lang w:eastAsia="es-ES"/>
              </w:rPr>
            </w:pPr>
            <w:r w:rsidRPr="00EE4D50">
              <w:rPr>
                <w:rFonts w:ascii="Verdana" w:eastAsia="Times New Roman" w:hAnsi="Verdana" w:cs="Times New Roman"/>
                <w:b/>
                <w:bCs/>
                <w:color w:val="000000"/>
                <w:sz w:val="18"/>
                <w:szCs w:val="18"/>
                <w:lang w:eastAsia="es-ES"/>
              </w:rPr>
              <w:t>(miles de USD)</w:t>
            </w:r>
          </w:p>
        </w:tc>
        <w:tc>
          <w:tcPr>
            <w:tcW w:w="121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14.920.791</w:t>
            </w:r>
          </w:p>
        </w:tc>
        <w:tc>
          <w:tcPr>
            <w:tcW w:w="128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16.496.168</w:t>
            </w:r>
          </w:p>
        </w:tc>
        <w:tc>
          <w:tcPr>
            <w:tcW w:w="118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18.214.094</w:t>
            </w:r>
          </w:p>
        </w:tc>
        <w:tc>
          <w:tcPr>
            <w:tcW w:w="127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18.904.840</w:t>
            </w:r>
          </w:p>
        </w:tc>
        <w:tc>
          <w:tcPr>
            <w:tcW w:w="132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17.797.927</w:t>
            </w:r>
          </w:p>
        </w:tc>
      </w:tr>
      <w:tr w:rsidR="00BB07EF" w:rsidRPr="00EE4D50" w:rsidTr="006E0E23">
        <w:trPr>
          <w:trHeight w:val="500"/>
          <w:jc w:val="center"/>
        </w:trPr>
        <w:tc>
          <w:tcPr>
            <w:tcW w:w="2375" w:type="dxa"/>
            <w:tcBorders>
              <w:top w:val="nil"/>
              <w:left w:val="single" w:sz="4" w:space="0" w:color="auto"/>
              <w:bottom w:val="single" w:sz="4" w:space="0" w:color="auto"/>
              <w:right w:val="single" w:sz="4" w:space="0" w:color="auto"/>
            </w:tcBorders>
            <w:shd w:val="clear" w:color="auto" w:fill="auto"/>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8"/>
                <w:szCs w:val="18"/>
                <w:lang w:eastAsia="es-ES"/>
              </w:rPr>
            </w:pPr>
            <w:r w:rsidRPr="00EE4D50">
              <w:rPr>
                <w:rFonts w:ascii="Verdana" w:eastAsia="Times New Roman" w:hAnsi="Verdana" w:cs="Times New Roman"/>
                <w:b/>
                <w:bCs/>
                <w:color w:val="000000"/>
                <w:sz w:val="18"/>
                <w:szCs w:val="18"/>
                <w:lang w:eastAsia="es-ES"/>
              </w:rPr>
              <w:t xml:space="preserve">FBKF de equipos de transporte </w:t>
            </w:r>
            <w:r w:rsidRPr="00EE4D50">
              <w:rPr>
                <w:rFonts w:ascii="Verdana" w:eastAsia="Times New Roman" w:hAnsi="Verdana" w:cs="Times New Roman"/>
                <w:b/>
                <w:bCs/>
                <w:color w:val="000000"/>
                <w:sz w:val="18"/>
                <w:szCs w:val="18"/>
                <w:lang w:eastAsia="es-ES"/>
              </w:rPr>
              <w:br/>
              <w:t>(miles de USD)</w:t>
            </w:r>
          </w:p>
        </w:tc>
        <w:tc>
          <w:tcPr>
            <w:tcW w:w="121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1.282.244</w:t>
            </w:r>
          </w:p>
        </w:tc>
        <w:tc>
          <w:tcPr>
            <w:tcW w:w="128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1.241.968</w:t>
            </w:r>
          </w:p>
        </w:tc>
        <w:tc>
          <w:tcPr>
            <w:tcW w:w="118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1.355.548</w:t>
            </w:r>
          </w:p>
        </w:tc>
        <w:tc>
          <w:tcPr>
            <w:tcW w:w="127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1.372.114</w:t>
            </w:r>
          </w:p>
        </w:tc>
        <w:tc>
          <w:tcPr>
            <w:tcW w:w="132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1.034.627</w:t>
            </w:r>
          </w:p>
        </w:tc>
      </w:tr>
      <w:tr w:rsidR="00BB07EF" w:rsidRPr="00EE4D50" w:rsidTr="006E0E23">
        <w:trPr>
          <w:trHeight w:val="500"/>
          <w:jc w:val="center"/>
        </w:trPr>
        <w:tc>
          <w:tcPr>
            <w:tcW w:w="2375" w:type="dxa"/>
            <w:tcBorders>
              <w:top w:val="nil"/>
              <w:left w:val="single" w:sz="4" w:space="0" w:color="auto"/>
              <w:bottom w:val="single" w:sz="4" w:space="0" w:color="auto"/>
              <w:right w:val="single" w:sz="4" w:space="0" w:color="auto"/>
            </w:tcBorders>
            <w:shd w:val="clear" w:color="auto" w:fill="auto"/>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8"/>
                <w:szCs w:val="18"/>
                <w:lang w:eastAsia="es-ES"/>
              </w:rPr>
            </w:pPr>
            <w:r w:rsidRPr="00EE4D50">
              <w:rPr>
                <w:rFonts w:ascii="Verdana" w:eastAsia="Times New Roman" w:hAnsi="Verdana" w:cs="Times New Roman"/>
                <w:b/>
                <w:bCs/>
                <w:color w:val="000000"/>
                <w:sz w:val="18"/>
                <w:szCs w:val="18"/>
                <w:lang w:eastAsia="es-ES"/>
              </w:rPr>
              <w:t>Tasa de Variación FBKF equipos de transporte (%)</w:t>
            </w:r>
          </w:p>
        </w:tc>
        <w:tc>
          <w:tcPr>
            <w:tcW w:w="121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-11,5%</w:t>
            </w:r>
          </w:p>
        </w:tc>
        <w:tc>
          <w:tcPr>
            <w:tcW w:w="128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-3,1%</w:t>
            </w:r>
          </w:p>
        </w:tc>
        <w:tc>
          <w:tcPr>
            <w:tcW w:w="118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9,1%</w:t>
            </w:r>
          </w:p>
        </w:tc>
        <w:tc>
          <w:tcPr>
            <w:tcW w:w="127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1,2%</w:t>
            </w:r>
          </w:p>
        </w:tc>
        <w:tc>
          <w:tcPr>
            <w:tcW w:w="132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-24,6%</w:t>
            </w:r>
          </w:p>
        </w:tc>
      </w:tr>
      <w:tr w:rsidR="00BB07EF" w:rsidRPr="00EE4D50" w:rsidTr="006E0E23">
        <w:trPr>
          <w:trHeight w:val="529"/>
          <w:jc w:val="center"/>
        </w:trPr>
        <w:tc>
          <w:tcPr>
            <w:tcW w:w="2375" w:type="dxa"/>
            <w:tcBorders>
              <w:top w:val="nil"/>
              <w:left w:val="single" w:sz="4" w:space="0" w:color="auto"/>
              <w:bottom w:val="single" w:sz="4" w:space="0" w:color="auto"/>
              <w:right w:val="single" w:sz="4" w:space="0" w:color="auto"/>
            </w:tcBorders>
            <w:shd w:val="clear" w:color="auto" w:fill="auto"/>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8"/>
                <w:szCs w:val="18"/>
                <w:lang w:eastAsia="es-ES"/>
              </w:rPr>
            </w:pPr>
            <w:r w:rsidRPr="00EE4D50">
              <w:rPr>
                <w:rFonts w:ascii="Verdana" w:eastAsia="Times New Roman" w:hAnsi="Verdana" w:cs="Times New Roman"/>
                <w:b/>
                <w:bCs/>
                <w:color w:val="000000"/>
                <w:sz w:val="18"/>
                <w:szCs w:val="18"/>
                <w:lang w:eastAsia="es-ES"/>
              </w:rPr>
              <w:t>FBKF Equipos de transporte/FBKF total (%)</w:t>
            </w:r>
          </w:p>
        </w:tc>
        <w:tc>
          <w:tcPr>
            <w:tcW w:w="121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8,6%</w:t>
            </w:r>
          </w:p>
        </w:tc>
        <w:tc>
          <w:tcPr>
            <w:tcW w:w="128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7,5%</w:t>
            </w:r>
          </w:p>
        </w:tc>
        <w:tc>
          <w:tcPr>
            <w:tcW w:w="118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7,4%</w:t>
            </w:r>
          </w:p>
        </w:tc>
        <w:tc>
          <w:tcPr>
            <w:tcW w:w="127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7,3%</w:t>
            </w:r>
          </w:p>
        </w:tc>
        <w:tc>
          <w:tcPr>
            <w:tcW w:w="132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5,8%</w:t>
            </w:r>
          </w:p>
        </w:tc>
      </w:tr>
      <w:tr w:rsidR="00BB07EF" w:rsidRPr="00EE4D50" w:rsidTr="006E0E23">
        <w:trPr>
          <w:trHeight w:val="500"/>
          <w:jc w:val="center"/>
        </w:trPr>
        <w:tc>
          <w:tcPr>
            <w:tcW w:w="2375" w:type="dxa"/>
            <w:tcBorders>
              <w:top w:val="nil"/>
              <w:left w:val="single" w:sz="4" w:space="0" w:color="auto"/>
              <w:bottom w:val="single" w:sz="4" w:space="0" w:color="auto"/>
              <w:right w:val="single" w:sz="4" w:space="0" w:color="auto"/>
            </w:tcBorders>
            <w:shd w:val="clear" w:color="auto" w:fill="auto"/>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8"/>
                <w:szCs w:val="18"/>
                <w:lang w:eastAsia="es-ES"/>
              </w:rPr>
            </w:pPr>
            <w:r w:rsidRPr="00EE4D50">
              <w:rPr>
                <w:rFonts w:ascii="Verdana" w:eastAsia="Times New Roman" w:hAnsi="Verdana" w:cs="Times New Roman"/>
                <w:b/>
                <w:bCs/>
                <w:color w:val="000000"/>
                <w:sz w:val="18"/>
                <w:szCs w:val="18"/>
                <w:lang w:eastAsia="es-ES"/>
              </w:rPr>
              <w:t>FBKF de productos manufacturados</w:t>
            </w:r>
          </w:p>
          <w:p w:rsidR="00BB07EF" w:rsidRPr="00EE4D50" w:rsidRDefault="00BB07EF" w:rsidP="00EC63DA">
            <w:pPr>
              <w:spacing w:after="0" w:line="240" w:lineRule="auto"/>
              <w:jc w:val="center"/>
              <w:rPr>
                <w:rFonts w:ascii="Verdana" w:eastAsia="Times New Roman" w:hAnsi="Verdana" w:cs="Times New Roman"/>
                <w:b/>
                <w:bCs/>
                <w:color w:val="000000"/>
                <w:sz w:val="18"/>
                <w:szCs w:val="18"/>
                <w:lang w:eastAsia="es-ES"/>
              </w:rPr>
            </w:pPr>
            <w:r w:rsidRPr="00EE4D50">
              <w:rPr>
                <w:rFonts w:ascii="Verdana" w:eastAsia="Times New Roman" w:hAnsi="Verdana" w:cs="Times New Roman"/>
                <w:b/>
                <w:bCs/>
                <w:color w:val="000000"/>
                <w:sz w:val="18"/>
                <w:szCs w:val="18"/>
                <w:lang w:eastAsia="es-ES"/>
              </w:rPr>
              <w:t>(miles de USD)</w:t>
            </w:r>
          </w:p>
        </w:tc>
        <w:tc>
          <w:tcPr>
            <w:tcW w:w="121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5.154.667</w:t>
            </w:r>
          </w:p>
        </w:tc>
        <w:tc>
          <w:tcPr>
            <w:tcW w:w="128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5.392.862</w:t>
            </w:r>
          </w:p>
        </w:tc>
        <w:tc>
          <w:tcPr>
            <w:tcW w:w="118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5.909.588</w:t>
            </w:r>
          </w:p>
        </w:tc>
        <w:tc>
          <w:tcPr>
            <w:tcW w:w="127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5.815.669</w:t>
            </w:r>
          </w:p>
        </w:tc>
        <w:tc>
          <w:tcPr>
            <w:tcW w:w="132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4.943.100</w:t>
            </w:r>
          </w:p>
        </w:tc>
      </w:tr>
      <w:tr w:rsidR="00BB07EF" w:rsidRPr="00EE4D50" w:rsidTr="006E0E23">
        <w:trPr>
          <w:trHeight w:val="500"/>
          <w:jc w:val="center"/>
        </w:trPr>
        <w:tc>
          <w:tcPr>
            <w:tcW w:w="2375" w:type="dxa"/>
            <w:tcBorders>
              <w:top w:val="nil"/>
              <w:left w:val="single" w:sz="4" w:space="0" w:color="auto"/>
              <w:bottom w:val="single" w:sz="4" w:space="0" w:color="auto"/>
              <w:right w:val="single" w:sz="4" w:space="0" w:color="auto"/>
            </w:tcBorders>
            <w:shd w:val="clear" w:color="auto" w:fill="auto"/>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18"/>
                <w:szCs w:val="18"/>
                <w:lang w:eastAsia="es-ES"/>
              </w:rPr>
            </w:pPr>
            <w:r w:rsidRPr="00EE4D50">
              <w:rPr>
                <w:rFonts w:ascii="Verdana" w:eastAsia="Times New Roman" w:hAnsi="Verdana" w:cs="Times New Roman"/>
                <w:b/>
                <w:bCs/>
                <w:color w:val="000000"/>
                <w:sz w:val="18"/>
                <w:szCs w:val="18"/>
                <w:lang w:eastAsia="es-ES"/>
              </w:rPr>
              <w:t>FBKF de equipos de transporte/FBKF de manufactura (%)</w:t>
            </w:r>
          </w:p>
        </w:tc>
        <w:tc>
          <w:tcPr>
            <w:tcW w:w="121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24,9%</w:t>
            </w:r>
          </w:p>
        </w:tc>
        <w:tc>
          <w:tcPr>
            <w:tcW w:w="1289"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23,0%</w:t>
            </w:r>
          </w:p>
        </w:tc>
        <w:tc>
          <w:tcPr>
            <w:tcW w:w="1187"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22,9%</w:t>
            </w:r>
          </w:p>
        </w:tc>
        <w:tc>
          <w:tcPr>
            <w:tcW w:w="1274"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23,6%</w:t>
            </w:r>
          </w:p>
        </w:tc>
        <w:tc>
          <w:tcPr>
            <w:tcW w:w="1320"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18"/>
                <w:szCs w:val="18"/>
                <w:lang w:eastAsia="es-ES"/>
              </w:rPr>
            </w:pPr>
            <w:r w:rsidRPr="00EE4D50">
              <w:rPr>
                <w:rFonts w:ascii="Verdana" w:eastAsia="Times New Roman" w:hAnsi="Verdana" w:cs="Times New Roman"/>
                <w:color w:val="000000"/>
                <w:sz w:val="18"/>
                <w:szCs w:val="18"/>
                <w:lang w:eastAsia="es-ES"/>
              </w:rPr>
              <w:t>20,9%</w:t>
            </w:r>
          </w:p>
        </w:tc>
      </w:tr>
    </w:tbl>
    <w:p w:rsidR="00A66608" w:rsidRPr="00EE4D50" w:rsidRDefault="00C44099" w:rsidP="00EC63DA">
      <w:pPr>
        <w:spacing w:after="0" w:line="240" w:lineRule="auto"/>
        <w:jc w:val="both"/>
        <w:rPr>
          <w:rFonts w:ascii="Verdana" w:eastAsia="Calibri" w:hAnsi="Verdana" w:cs="Times New Roman"/>
          <w:sz w:val="20"/>
        </w:rPr>
      </w:pPr>
      <w:r>
        <w:rPr>
          <w:rFonts w:ascii="Verdana" w:eastAsia="Calibri" w:hAnsi="Verdana" w:cs="Times New Roman"/>
        </w:rPr>
        <w:t xml:space="preserve">   </w:t>
      </w:r>
      <w:r w:rsidR="00BB07EF" w:rsidRPr="00EE4D50">
        <w:rPr>
          <w:rFonts w:ascii="Verdana" w:eastAsia="Calibri" w:hAnsi="Verdana" w:cs="Times New Roman"/>
          <w:sz w:val="20"/>
        </w:rPr>
        <w:t>Fuente: BCE (2016)</w:t>
      </w:r>
    </w:p>
    <w:p w:rsidR="00A66608" w:rsidRPr="00EE4D50" w:rsidRDefault="00C44099" w:rsidP="00EC63DA">
      <w:pPr>
        <w:spacing w:after="0" w:line="240" w:lineRule="auto"/>
        <w:jc w:val="both"/>
        <w:rPr>
          <w:rFonts w:ascii="Verdana" w:eastAsia="Calibri" w:hAnsi="Verdana" w:cs="Times New Roman"/>
          <w:sz w:val="20"/>
        </w:rPr>
      </w:pPr>
      <w:r>
        <w:rPr>
          <w:rFonts w:ascii="Verdana" w:hAnsi="Verdana" w:cs="Times New Roman"/>
          <w:sz w:val="20"/>
        </w:rPr>
        <w:t xml:space="preserve">   </w:t>
      </w:r>
      <w:r w:rsidR="00A66608" w:rsidRPr="00EE4D50">
        <w:rPr>
          <w:rFonts w:ascii="Verdana" w:hAnsi="Verdana" w:cs="Times New Roman"/>
          <w:sz w:val="20"/>
        </w:rPr>
        <w:t>Elaboración: Autora</w:t>
      </w:r>
    </w:p>
    <w:p w:rsidR="00A66608" w:rsidRPr="00EE4D50" w:rsidRDefault="00A66608" w:rsidP="00EC63DA">
      <w:pPr>
        <w:jc w:val="both"/>
        <w:rPr>
          <w:rFonts w:ascii="Verdana" w:eastAsia="Calibri" w:hAnsi="Verdana" w:cs="Times New Roman"/>
        </w:rPr>
      </w:pPr>
    </w:p>
    <w:p w:rsidR="00BB07EF" w:rsidRPr="00EE4D50" w:rsidRDefault="00BB07EF" w:rsidP="00EC63DA">
      <w:pPr>
        <w:spacing w:after="60"/>
        <w:jc w:val="both"/>
        <w:rPr>
          <w:rFonts w:ascii="Verdana" w:eastAsia="Calibri" w:hAnsi="Verdana" w:cs="Times New Roman"/>
        </w:rPr>
      </w:pPr>
      <w:r w:rsidRPr="00EE4D50">
        <w:rPr>
          <w:rFonts w:ascii="Verdana" w:eastAsia="Calibri" w:hAnsi="Verdana" w:cs="Times New Roman"/>
        </w:rPr>
        <w:t>El equipo de transporte es una de los rubros que aportan en buena medida a la industria manufacturera a precios de 2007, pero ha ido disminuyendo su participación de 24,9% en el 2011 al 20,9% en el 2015. Con respecto a la FBKF total, su contribución fue de 8,6% en el 2011, luego disminuye al 7,4% en el 2013 y terminó con una participación del 5,8%en 2015.</w:t>
      </w:r>
    </w:p>
    <w:p w:rsidR="00EE52B1" w:rsidRPr="00EE4D50" w:rsidRDefault="00EE52B1" w:rsidP="00EC63DA">
      <w:pPr>
        <w:spacing w:after="60"/>
        <w:jc w:val="both"/>
        <w:rPr>
          <w:rFonts w:ascii="Verdana" w:eastAsia="Calibri" w:hAnsi="Verdana" w:cs="Times New Roman"/>
        </w:rPr>
      </w:pPr>
    </w:p>
    <w:p w:rsidR="00BB07EF" w:rsidRPr="00EE4D50" w:rsidRDefault="00BB07EF" w:rsidP="00EC63DA">
      <w:pPr>
        <w:spacing w:after="60"/>
        <w:jc w:val="both"/>
        <w:rPr>
          <w:rFonts w:ascii="Verdana" w:eastAsia="Calibri" w:hAnsi="Verdana" w:cs="Times New Roman"/>
        </w:rPr>
      </w:pPr>
      <w:r w:rsidRPr="00EE4D50">
        <w:rPr>
          <w:rFonts w:ascii="Verdana" w:eastAsia="Calibri" w:hAnsi="Verdana" w:cs="Times New Roman"/>
        </w:rPr>
        <w:t>La tasa de variación de la FBKF concerniente a los equipos de transporte tuvo cifra negativa en -11,5% 2011 y -3,1% en 2012. En 2013 la tasa de variación anual fue positiva en 9,1%%, pero terminó en 2015 con decrecimiento del -24,6%. El porcentaje de variación del 2015 con respecto al 2011 fue de -19,3%.</w:t>
      </w:r>
    </w:p>
    <w:p w:rsidR="009E610C" w:rsidRPr="00EE4D50" w:rsidRDefault="009E610C" w:rsidP="00EC63DA">
      <w:pPr>
        <w:spacing w:after="60"/>
        <w:jc w:val="both"/>
        <w:rPr>
          <w:rFonts w:ascii="Verdana" w:eastAsia="Calibri" w:hAnsi="Verdana" w:cs="Times New Roman"/>
          <w:sz w:val="20"/>
        </w:rPr>
      </w:pPr>
    </w:p>
    <w:p w:rsidR="00BB07EF" w:rsidRPr="00EE4D50" w:rsidRDefault="00BB07EF" w:rsidP="00EC63DA">
      <w:pPr>
        <w:pStyle w:val="Ttulo3"/>
        <w:rPr>
          <w:rFonts w:ascii="Verdana" w:hAnsi="Verdana" w:cs="Times New Roman"/>
          <w:i/>
          <w:color w:val="auto"/>
          <w:sz w:val="28"/>
        </w:rPr>
      </w:pPr>
      <w:bookmarkStart w:id="95" w:name="_Toc485137226"/>
      <w:r w:rsidRPr="00EE4D50">
        <w:rPr>
          <w:rFonts w:ascii="Verdana" w:hAnsi="Verdana" w:cs="Times New Roman"/>
          <w:i/>
          <w:color w:val="auto"/>
          <w:sz w:val="28"/>
        </w:rPr>
        <w:t>Empleo generado por el sector</w:t>
      </w:r>
      <w:bookmarkEnd w:id="95"/>
    </w:p>
    <w:p w:rsidR="007B7AFB" w:rsidRPr="00EE4D50" w:rsidRDefault="007B7AFB"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sector automotriz ecuatoriano genera plazas de trabajo en tres tipos de empresas: comerciales manufactureras y de servicios. Según AEADE (2016</w:t>
      </w:r>
      <w:r w:rsidR="00BE157D">
        <w:rPr>
          <w:rFonts w:ascii="Verdana" w:hAnsi="Verdana" w:cs="Times New Roman"/>
        </w:rPr>
        <w:t>: 1</w:t>
      </w:r>
      <w:r w:rsidRPr="00EE4D50">
        <w:rPr>
          <w:rFonts w:ascii="Verdana" w:hAnsi="Verdana" w:cs="Times New Roman"/>
        </w:rPr>
        <w:t>), existen 56.801 personas ocupadas.</w:t>
      </w:r>
    </w:p>
    <w:p w:rsidR="00EE52B1" w:rsidRPr="00EE4D50" w:rsidRDefault="00EE52B1" w:rsidP="00EC63DA">
      <w:pPr>
        <w:spacing w:after="60"/>
        <w:jc w:val="both"/>
        <w:rPr>
          <w:rFonts w:ascii="Verdana" w:hAnsi="Verdana" w:cs="Times New Roman"/>
        </w:rPr>
      </w:pPr>
    </w:p>
    <w:p w:rsidR="006E0E23" w:rsidRPr="00EE4D50" w:rsidRDefault="006E0E23" w:rsidP="00EC63DA">
      <w:pPr>
        <w:spacing w:after="60"/>
        <w:jc w:val="both"/>
        <w:rPr>
          <w:rFonts w:ascii="Verdana" w:hAnsi="Verdana" w:cs="Times New Roman"/>
        </w:rPr>
      </w:pPr>
    </w:p>
    <w:p w:rsidR="006E0E23" w:rsidRPr="00EE4D50" w:rsidRDefault="006E0E23" w:rsidP="00EC63DA">
      <w:pPr>
        <w:spacing w:after="60"/>
        <w:jc w:val="both"/>
        <w:rPr>
          <w:rFonts w:ascii="Verdana" w:hAnsi="Verdana" w:cs="Times New Roman"/>
        </w:rPr>
      </w:pPr>
    </w:p>
    <w:p w:rsidR="006E0E23" w:rsidRPr="00EE4D50" w:rsidRDefault="006E0E23" w:rsidP="00EC63DA">
      <w:pPr>
        <w:spacing w:after="60"/>
        <w:jc w:val="both"/>
        <w:rPr>
          <w:rFonts w:ascii="Verdana" w:hAnsi="Verdana" w:cs="Times New Roman"/>
        </w:rPr>
      </w:pPr>
    </w:p>
    <w:p w:rsidR="006E0E23" w:rsidRDefault="006E0E23" w:rsidP="00EC63DA">
      <w:pPr>
        <w:spacing w:after="60"/>
        <w:jc w:val="both"/>
        <w:rPr>
          <w:rFonts w:ascii="Verdana" w:hAnsi="Verdana" w:cs="Times New Roman"/>
        </w:rPr>
      </w:pPr>
    </w:p>
    <w:p w:rsidR="001A1E18" w:rsidRDefault="001A1E18" w:rsidP="00EC63DA">
      <w:pPr>
        <w:spacing w:after="60"/>
        <w:jc w:val="both"/>
        <w:rPr>
          <w:rFonts w:ascii="Verdana" w:hAnsi="Verdana" w:cs="Times New Roman"/>
        </w:rPr>
      </w:pPr>
    </w:p>
    <w:p w:rsidR="001A1E18" w:rsidRPr="00EE4D50" w:rsidRDefault="001A1E18" w:rsidP="00EC63DA">
      <w:pPr>
        <w:spacing w:after="60"/>
        <w:jc w:val="both"/>
        <w:rPr>
          <w:rFonts w:ascii="Verdana" w:hAnsi="Verdana" w:cs="Times New Roman"/>
        </w:rPr>
      </w:pPr>
    </w:p>
    <w:p w:rsidR="006E0E23" w:rsidRPr="00EE4D50" w:rsidRDefault="006E0E23" w:rsidP="00EC63DA">
      <w:pPr>
        <w:spacing w:after="60"/>
        <w:jc w:val="both"/>
        <w:rPr>
          <w:rFonts w:ascii="Verdana" w:hAnsi="Verdana" w:cs="Times New Roman"/>
        </w:rPr>
      </w:pPr>
    </w:p>
    <w:p w:rsidR="00BB07EF" w:rsidRPr="00EE4D50" w:rsidRDefault="00EC77AB" w:rsidP="00EC63DA">
      <w:pPr>
        <w:pStyle w:val="Epgrafe"/>
        <w:spacing w:after="0"/>
        <w:jc w:val="center"/>
        <w:rPr>
          <w:rFonts w:ascii="Verdana" w:hAnsi="Verdana" w:cs="Times New Roman"/>
          <w:b w:val="0"/>
          <w:color w:val="auto"/>
          <w:sz w:val="20"/>
          <w:szCs w:val="20"/>
        </w:rPr>
      </w:pPr>
      <w:bookmarkStart w:id="96" w:name="_Toc473640134"/>
      <w:r w:rsidRPr="00EE4D50">
        <w:rPr>
          <w:rFonts w:ascii="Verdana" w:hAnsi="Verdana" w:cs="Times New Roman"/>
          <w:color w:val="auto"/>
          <w:sz w:val="20"/>
          <w:szCs w:val="20"/>
        </w:rPr>
        <w:lastRenderedPageBreak/>
        <w:t xml:space="preserve">Tabla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Tabla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19</w:t>
      </w:r>
      <w:r w:rsidRPr="00EE4D50">
        <w:rPr>
          <w:rFonts w:ascii="Verdana" w:hAnsi="Verdana" w:cs="Times New Roman"/>
          <w:color w:val="auto"/>
          <w:sz w:val="20"/>
          <w:szCs w:val="20"/>
        </w:rPr>
        <w:fldChar w:fldCharType="end"/>
      </w:r>
      <w:r w:rsidR="00BB07EF" w:rsidRPr="00EE4D50">
        <w:rPr>
          <w:rFonts w:ascii="Verdana" w:hAnsi="Verdana" w:cs="Times New Roman"/>
          <w:b w:val="0"/>
          <w:color w:val="auto"/>
          <w:sz w:val="20"/>
          <w:szCs w:val="20"/>
        </w:rPr>
        <w:t>: Personal ocupado en el sector automotriz. Año 2015</w:t>
      </w:r>
      <w:bookmarkEnd w:id="96"/>
    </w:p>
    <w:tbl>
      <w:tblPr>
        <w:tblW w:w="6169" w:type="dxa"/>
        <w:jc w:val="center"/>
        <w:tblInd w:w="55" w:type="dxa"/>
        <w:tblCellMar>
          <w:left w:w="70" w:type="dxa"/>
          <w:right w:w="70" w:type="dxa"/>
        </w:tblCellMar>
        <w:tblLook w:val="04A0" w:firstRow="1" w:lastRow="0" w:firstColumn="1" w:lastColumn="0" w:noHBand="0" w:noVBand="1"/>
      </w:tblPr>
      <w:tblGrid>
        <w:gridCol w:w="3756"/>
        <w:gridCol w:w="1359"/>
        <w:gridCol w:w="1355"/>
      </w:tblGrid>
      <w:tr w:rsidR="00BB07EF" w:rsidRPr="00EE4D50" w:rsidTr="00A66608">
        <w:trPr>
          <w:trHeight w:val="542"/>
          <w:jc w:val="center"/>
        </w:trPr>
        <w:tc>
          <w:tcPr>
            <w:tcW w:w="37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20"/>
                <w:szCs w:val="20"/>
                <w:lang w:eastAsia="es-ES"/>
              </w:rPr>
            </w:pPr>
            <w:r w:rsidRPr="00EE4D50">
              <w:rPr>
                <w:rFonts w:ascii="Verdana" w:eastAsia="Times New Roman" w:hAnsi="Verdana" w:cs="Times New Roman"/>
                <w:b/>
                <w:bCs/>
                <w:color w:val="000000"/>
                <w:sz w:val="20"/>
                <w:szCs w:val="20"/>
                <w:lang w:eastAsia="es-ES"/>
              </w:rPr>
              <w:t>Tipos de empresas</w:t>
            </w:r>
          </w:p>
        </w:tc>
        <w:tc>
          <w:tcPr>
            <w:tcW w:w="1242"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20"/>
                <w:szCs w:val="20"/>
                <w:lang w:eastAsia="es-ES"/>
              </w:rPr>
            </w:pPr>
            <w:r w:rsidRPr="00EE4D50">
              <w:rPr>
                <w:rFonts w:ascii="Verdana" w:eastAsia="Times New Roman" w:hAnsi="Verdana" w:cs="Times New Roman"/>
                <w:b/>
                <w:bCs/>
                <w:color w:val="000000"/>
                <w:sz w:val="20"/>
                <w:szCs w:val="20"/>
                <w:lang w:eastAsia="es-ES"/>
              </w:rPr>
              <w:t>Empleados</w:t>
            </w:r>
          </w:p>
        </w:tc>
        <w:tc>
          <w:tcPr>
            <w:tcW w:w="1171"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20"/>
                <w:szCs w:val="20"/>
                <w:lang w:eastAsia="es-ES"/>
              </w:rPr>
            </w:pPr>
            <w:r w:rsidRPr="00EE4D50">
              <w:rPr>
                <w:rFonts w:ascii="Verdana" w:eastAsia="Times New Roman" w:hAnsi="Verdana" w:cs="Times New Roman"/>
                <w:b/>
                <w:bCs/>
                <w:color w:val="000000"/>
                <w:sz w:val="20"/>
                <w:szCs w:val="20"/>
                <w:lang w:eastAsia="es-ES"/>
              </w:rPr>
              <w:t>Porcentaje</w:t>
            </w:r>
          </w:p>
        </w:tc>
      </w:tr>
      <w:tr w:rsidR="00BB07EF" w:rsidRPr="00EE4D50" w:rsidTr="00A66608">
        <w:trPr>
          <w:trHeight w:val="542"/>
          <w:jc w:val="center"/>
        </w:trPr>
        <w:tc>
          <w:tcPr>
            <w:tcW w:w="3756" w:type="dxa"/>
            <w:tcBorders>
              <w:top w:val="nil"/>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eastAsia="es-ES"/>
              </w:rPr>
            </w:pPr>
            <w:r w:rsidRPr="00EE4D50">
              <w:rPr>
                <w:rFonts w:ascii="Verdana" w:eastAsia="Times New Roman" w:hAnsi="Verdana" w:cs="Times New Roman"/>
                <w:color w:val="000000"/>
                <w:sz w:val="20"/>
                <w:szCs w:val="20"/>
                <w:lang w:eastAsia="es-ES"/>
              </w:rPr>
              <w:t>Comercializadoras e importadoras</w:t>
            </w:r>
          </w:p>
        </w:tc>
        <w:tc>
          <w:tcPr>
            <w:tcW w:w="124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eastAsia="es-ES"/>
              </w:rPr>
            </w:pPr>
            <w:r w:rsidRPr="00EE4D50">
              <w:rPr>
                <w:rFonts w:ascii="Verdana" w:eastAsia="Times New Roman" w:hAnsi="Verdana" w:cs="Times New Roman"/>
                <w:color w:val="000000"/>
                <w:sz w:val="20"/>
                <w:szCs w:val="20"/>
                <w:lang w:eastAsia="es-ES"/>
              </w:rPr>
              <w:t>13.971</w:t>
            </w:r>
          </w:p>
        </w:tc>
        <w:tc>
          <w:tcPr>
            <w:tcW w:w="117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eastAsia="es-ES"/>
              </w:rPr>
            </w:pPr>
            <w:r w:rsidRPr="00EE4D50">
              <w:rPr>
                <w:rFonts w:ascii="Verdana" w:eastAsia="Times New Roman" w:hAnsi="Verdana" w:cs="Times New Roman"/>
                <w:color w:val="000000"/>
                <w:sz w:val="20"/>
                <w:szCs w:val="20"/>
                <w:lang w:eastAsia="es-ES"/>
              </w:rPr>
              <w:t>25%</w:t>
            </w:r>
          </w:p>
        </w:tc>
      </w:tr>
      <w:tr w:rsidR="00BB07EF" w:rsidRPr="00EE4D50" w:rsidTr="00A66608">
        <w:trPr>
          <w:trHeight w:val="542"/>
          <w:jc w:val="center"/>
        </w:trPr>
        <w:tc>
          <w:tcPr>
            <w:tcW w:w="3756" w:type="dxa"/>
            <w:tcBorders>
              <w:top w:val="nil"/>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eastAsia="es-ES"/>
              </w:rPr>
            </w:pPr>
            <w:r w:rsidRPr="00EE4D50">
              <w:rPr>
                <w:rFonts w:ascii="Verdana" w:eastAsia="Times New Roman" w:hAnsi="Verdana" w:cs="Times New Roman"/>
                <w:color w:val="000000"/>
                <w:sz w:val="20"/>
                <w:szCs w:val="20"/>
                <w:lang w:eastAsia="es-ES"/>
              </w:rPr>
              <w:t>Manufactura</w:t>
            </w:r>
          </w:p>
        </w:tc>
        <w:tc>
          <w:tcPr>
            <w:tcW w:w="124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eastAsia="es-ES"/>
              </w:rPr>
            </w:pPr>
            <w:r w:rsidRPr="00EE4D50">
              <w:rPr>
                <w:rFonts w:ascii="Verdana" w:eastAsia="Times New Roman" w:hAnsi="Verdana" w:cs="Times New Roman"/>
                <w:color w:val="000000"/>
                <w:sz w:val="20"/>
                <w:szCs w:val="20"/>
                <w:lang w:eastAsia="es-ES"/>
              </w:rPr>
              <w:t>6.836</w:t>
            </w:r>
          </w:p>
        </w:tc>
        <w:tc>
          <w:tcPr>
            <w:tcW w:w="117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eastAsia="es-ES"/>
              </w:rPr>
            </w:pPr>
            <w:r w:rsidRPr="00EE4D50">
              <w:rPr>
                <w:rFonts w:ascii="Verdana" w:eastAsia="Times New Roman" w:hAnsi="Verdana" w:cs="Times New Roman"/>
                <w:color w:val="000000"/>
                <w:sz w:val="20"/>
                <w:szCs w:val="20"/>
                <w:lang w:eastAsia="es-ES"/>
              </w:rPr>
              <w:t>12%</w:t>
            </w:r>
          </w:p>
        </w:tc>
      </w:tr>
      <w:tr w:rsidR="00BB07EF" w:rsidRPr="00EE4D50" w:rsidTr="00A66608">
        <w:trPr>
          <w:trHeight w:val="542"/>
          <w:jc w:val="center"/>
        </w:trPr>
        <w:tc>
          <w:tcPr>
            <w:tcW w:w="3756" w:type="dxa"/>
            <w:tcBorders>
              <w:top w:val="nil"/>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eastAsia="es-ES"/>
              </w:rPr>
            </w:pPr>
            <w:r w:rsidRPr="00EE4D50">
              <w:rPr>
                <w:rFonts w:ascii="Verdana" w:eastAsia="Times New Roman" w:hAnsi="Verdana" w:cs="Times New Roman"/>
                <w:color w:val="000000"/>
                <w:sz w:val="20"/>
                <w:szCs w:val="20"/>
                <w:lang w:eastAsia="es-ES"/>
              </w:rPr>
              <w:t>Otras actividades de comercio automotor</w:t>
            </w:r>
          </w:p>
        </w:tc>
        <w:tc>
          <w:tcPr>
            <w:tcW w:w="124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eastAsia="es-ES"/>
              </w:rPr>
            </w:pPr>
            <w:r w:rsidRPr="00EE4D50">
              <w:rPr>
                <w:rFonts w:ascii="Verdana" w:eastAsia="Times New Roman" w:hAnsi="Verdana" w:cs="Times New Roman"/>
                <w:color w:val="000000"/>
                <w:sz w:val="20"/>
                <w:szCs w:val="20"/>
                <w:lang w:eastAsia="es-ES"/>
              </w:rPr>
              <w:t>35.994</w:t>
            </w:r>
          </w:p>
        </w:tc>
        <w:tc>
          <w:tcPr>
            <w:tcW w:w="117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eastAsia="es-ES"/>
              </w:rPr>
            </w:pPr>
            <w:r w:rsidRPr="00EE4D50">
              <w:rPr>
                <w:rFonts w:ascii="Verdana" w:eastAsia="Times New Roman" w:hAnsi="Verdana" w:cs="Times New Roman"/>
                <w:color w:val="000000"/>
                <w:sz w:val="20"/>
                <w:szCs w:val="20"/>
                <w:lang w:eastAsia="es-ES"/>
              </w:rPr>
              <w:t>63%</w:t>
            </w:r>
          </w:p>
        </w:tc>
      </w:tr>
      <w:tr w:rsidR="00BB07EF" w:rsidRPr="00EE4D50" w:rsidTr="00A66608">
        <w:trPr>
          <w:trHeight w:val="542"/>
          <w:jc w:val="center"/>
        </w:trPr>
        <w:tc>
          <w:tcPr>
            <w:tcW w:w="3756" w:type="dxa"/>
            <w:tcBorders>
              <w:top w:val="nil"/>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20"/>
                <w:szCs w:val="20"/>
                <w:lang w:eastAsia="es-ES"/>
              </w:rPr>
            </w:pPr>
            <w:r w:rsidRPr="00EE4D50">
              <w:rPr>
                <w:rFonts w:ascii="Verdana" w:eastAsia="Times New Roman" w:hAnsi="Verdana" w:cs="Times New Roman"/>
                <w:b/>
                <w:bCs/>
                <w:color w:val="000000"/>
                <w:sz w:val="20"/>
                <w:szCs w:val="20"/>
                <w:lang w:eastAsia="es-ES"/>
              </w:rPr>
              <w:t>Total</w:t>
            </w:r>
          </w:p>
        </w:tc>
        <w:tc>
          <w:tcPr>
            <w:tcW w:w="1242"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20"/>
                <w:szCs w:val="20"/>
                <w:lang w:eastAsia="es-ES"/>
              </w:rPr>
            </w:pPr>
            <w:r w:rsidRPr="00EE4D50">
              <w:rPr>
                <w:rFonts w:ascii="Verdana" w:eastAsia="Times New Roman" w:hAnsi="Verdana" w:cs="Times New Roman"/>
                <w:b/>
                <w:bCs/>
                <w:color w:val="000000"/>
                <w:sz w:val="20"/>
                <w:szCs w:val="20"/>
                <w:lang w:eastAsia="es-ES"/>
              </w:rPr>
              <w:t>56.801</w:t>
            </w:r>
          </w:p>
        </w:tc>
        <w:tc>
          <w:tcPr>
            <w:tcW w:w="1171"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color w:val="000000"/>
                <w:sz w:val="20"/>
                <w:szCs w:val="20"/>
                <w:lang w:eastAsia="es-ES"/>
              </w:rPr>
            </w:pPr>
            <w:r w:rsidRPr="00EE4D50">
              <w:rPr>
                <w:rFonts w:ascii="Verdana" w:eastAsia="Times New Roman" w:hAnsi="Verdana" w:cs="Times New Roman"/>
                <w:b/>
                <w:color w:val="000000"/>
                <w:sz w:val="20"/>
                <w:szCs w:val="20"/>
                <w:lang w:eastAsia="es-ES"/>
              </w:rPr>
              <w:t>100%</w:t>
            </w:r>
          </w:p>
        </w:tc>
      </w:tr>
    </w:tbl>
    <w:p w:rsidR="00BB07EF" w:rsidRPr="00EE4D50" w:rsidRDefault="00A66608" w:rsidP="00EC63DA">
      <w:pPr>
        <w:spacing w:after="0" w:line="240" w:lineRule="auto"/>
        <w:jc w:val="both"/>
        <w:rPr>
          <w:rFonts w:ascii="Verdana" w:hAnsi="Verdana" w:cs="Times New Roman"/>
          <w:sz w:val="20"/>
        </w:rPr>
      </w:pPr>
      <w:r w:rsidRPr="00EE4D50">
        <w:rPr>
          <w:rFonts w:ascii="Verdana" w:hAnsi="Verdana" w:cs="Times New Roman"/>
        </w:rPr>
        <w:t xml:space="preserve">            </w:t>
      </w:r>
      <w:r w:rsidR="00C44099">
        <w:rPr>
          <w:rFonts w:ascii="Verdana" w:hAnsi="Verdana" w:cs="Times New Roman"/>
        </w:rPr>
        <w:t xml:space="preserve">  </w:t>
      </w:r>
      <w:r w:rsidRPr="00EE4D50">
        <w:rPr>
          <w:rFonts w:ascii="Verdana" w:hAnsi="Verdana" w:cs="Times New Roman"/>
        </w:rPr>
        <w:t xml:space="preserve">   </w:t>
      </w:r>
      <w:r w:rsidR="00BB07EF" w:rsidRPr="00EE4D50">
        <w:rPr>
          <w:rFonts w:ascii="Verdana" w:hAnsi="Verdana" w:cs="Times New Roman"/>
          <w:sz w:val="20"/>
        </w:rPr>
        <w:t>Fuente: AEADE (2016)</w:t>
      </w:r>
    </w:p>
    <w:p w:rsidR="00BB07EF" w:rsidRDefault="00A66608" w:rsidP="00EC63DA">
      <w:pPr>
        <w:spacing w:after="60" w:line="240" w:lineRule="auto"/>
        <w:jc w:val="both"/>
        <w:rPr>
          <w:rFonts w:ascii="Verdana" w:hAnsi="Verdana" w:cs="Times New Roman"/>
          <w:sz w:val="20"/>
        </w:rPr>
      </w:pPr>
      <w:r w:rsidRPr="00EE4D50">
        <w:rPr>
          <w:rFonts w:ascii="Verdana" w:hAnsi="Verdana" w:cs="Times New Roman"/>
          <w:sz w:val="20"/>
        </w:rPr>
        <w:t xml:space="preserve">            </w:t>
      </w:r>
      <w:r w:rsidR="00C44099">
        <w:rPr>
          <w:rFonts w:ascii="Verdana" w:hAnsi="Verdana" w:cs="Times New Roman"/>
          <w:sz w:val="20"/>
        </w:rPr>
        <w:t xml:space="preserve">  </w:t>
      </w:r>
      <w:r w:rsidRPr="00EE4D50">
        <w:rPr>
          <w:rFonts w:ascii="Verdana" w:hAnsi="Verdana" w:cs="Times New Roman"/>
          <w:sz w:val="20"/>
        </w:rPr>
        <w:t xml:space="preserve">   Elaboración: Autora</w:t>
      </w:r>
    </w:p>
    <w:p w:rsidR="001A1E18" w:rsidRPr="001A1E18" w:rsidRDefault="001A1E18" w:rsidP="00EC63DA">
      <w:pPr>
        <w:spacing w:after="60" w:line="240" w:lineRule="auto"/>
        <w:jc w:val="both"/>
        <w:rPr>
          <w:rFonts w:ascii="Verdana" w:hAnsi="Verdana" w:cs="Times New Roman"/>
          <w:sz w:val="20"/>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 mayor fuente de empleo en el sector automotriz se encuentra en las empresas que se dedican a la comercialización e importación (venta de vehículos nuevos y usados) que representan un 25% del total de los empleados, luego siguen las empresas que se dedican a otras actividades de comercio automotor (mantenimiento, reparación, venta de partes, etc.)</w:t>
      </w:r>
      <w:r w:rsidR="00CF4FE1" w:rsidRPr="00EE4D50">
        <w:rPr>
          <w:rFonts w:ascii="Verdana" w:hAnsi="Verdana" w:cs="Times New Roman"/>
        </w:rPr>
        <w:t xml:space="preserve"> </w:t>
      </w:r>
      <w:r w:rsidRPr="00EE4D50">
        <w:rPr>
          <w:rFonts w:ascii="Verdana" w:hAnsi="Verdana" w:cs="Times New Roman"/>
        </w:rPr>
        <w:t>con el 63% y las de manufactura (ensambladoras, autopartistas y carroceras) con el 12%.</w:t>
      </w:r>
    </w:p>
    <w:p w:rsidR="00BB07EF" w:rsidRPr="00EE4D50" w:rsidRDefault="00BB07EF" w:rsidP="00EC63DA">
      <w:pPr>
        <w:spacing w:after="60"/>
        <w:jc w:val="both"/>
        <w:rPr>
          <w:rFonts w:ascii="Verdana" w:hAnsi="Verdana" w:cs="Times New Roman"/>
        </w:rPr>
      </w:pPr>
      <w:r w:rsidRPr="00EE4D50">
        <w:rPr>
          <w:rFonts w:ascii="Verdana" w:hAnsi="Verdana" w:cs="Times New Roman"/>
        </w:rPr>
        <w:t>Las 56.801 personas ocupadas en el sector automotriz representan el 0,7% de la Población Económicamente Activa (PEA), y el 1,8% de la ocupación plena del país, ya que de acuerdo a la Encuesta Nacional de Empleo, Desempleo y Subempleo 2016, la PEA es de 7.861.661 personas y los ocupados plenos suman 3.142.554 personas.</w:t>
      </w:r>
    </w:p>
    <w:p w:rsidR="00EE52B1" w:rsidRPr="00EE4D50" w:rsidRDefault="00EE52B1" w:rsidP="00EC63DA">
      <w:pPr>
        <w:spacing w:after="60"/>
        <w:jc w:val="both"/>
        <w:rPr>
          <w:rFonts w:ascii="Verdana" w:hAnsi="Verdana" w:cs="Times New Roman"/>
        </w:rPr>
      </w:pPr>
    </w:p>
    <w:p w:rsidR="00882B85" w:rsidRPr="00EE4D50" w:rsidRDefault="00BB07EF" w:rsidP="00EC63DA">
      <w:pPr>
        <w:spacing w:after="60"/>
        <w:jc w:val="both"/>
        <w:rPr>
          <w:rFonts w:ascii="Verdana" w:hAnsi="Verdana" w:cs="Times New Roman"/>
        </w:rPr>
      </w:pPr>
      <w:r w:rsidRPr="00EE4D50">
        <w:rPr>
          <w:rFonts w:ascii="Verdana" w:hAnsi="Verdana" w:cs="Times New Roman"/>
        </w:rPr>
        <w:t>En cuanto al personal ocupado en el sector ensam</w:t>
      </w:r>
      <w:r w:rsidR="00862CCC" w:rsidRPr="00EE4D50">
        <w:rPr>
          <w:rFonts w:ascii="Verdana" w:hAnsi="Verdana" w:cs="Times New Roman"/>
        </w:rPr>
        <w:t>blador y autopartista se tiene:</w:t>
      </w:r>
    </w:p>
    <w:p w:rsidR="00862CCC" w:rsidRPr="00EE4D50" w:rsidRDefault="00862CCC" w:rsidP="00EC63DA">
      <w:pPr>
        <w:spacing w:after="60"/>
        <w:jc w:val="both"/>
        <w:rPr>
          <w:rFonts w:ascii="Verdana" w:hAnsi="Verdana" w:cs="Times New Roman"/>
        </w:rPr>
      </w:pPr>
    </w:p>
    <w:p w:rsidR="00BB07EF" w:rsidRPr="00EE4D50" w:rsidRDefault="00EC77AB" w:rsidP="00EC63DA">
      <w:pPr>
        <w:pStyle w:val="Epgrafe"/>
        <w:spacing w:after="0"/>
        <w:jc w:val="center"/>
        <w:rPr>
          <w:rFonts w:ascii="Verdana" w:hAnsi="Verdana" w:cs="Times New Roman"/>
          <w:b w:val="0"/>
          <w:color w:val="auto"/>
          <w:sz w:val="20"/>
          <w:szCs w:val="20"/>
        </w:rPr>
      </w:pPr>
      <w:bookmarkStart w:id="97" w:name="_Toc473640135"/>
      <w:r w:rsidRPr="00EE4D50">
        <w:rPr>
          <w:rFonts w:ascii="Verdana" w:hAnsi="Verdana" w:cs="Times New Roman"/>
          <w:color w:val="auto"/>
          <w:sz w:val="20"/>
          <w:szCs w:val="20"/>
        </w:rPr>
        <w:t xml:space="preserve">Tabla </w:t>
      </w:r>
      <w:r w:rsidRPr="00EE4D50">
        <w:rPr>
          <w:rFonts w:ascii="Verdana" w:hAnsi="Verdana" w:cs="Times New Roman"/>
          <w:color w:val="auto"/>
          <w:sz w:val="20"/>
          <w:szCs w:val="20"/>
        </w:rPr>
        <w:fldChar w:fldCharType="begin"/>
      </w:r>
      <w:r w:rsidRPr="00EE4D50">
        <w:rPr>
          <w:rFonts w:ascii="Verdana" w:hAnsi="Verdana" w:cs="Times New Roman"/>
          <w:color w:val="auto"/>
          <w:sz w:val="20"/>
          <w:szCs w:val="20"/>
        </w:rPr>
        <w:instrText xml:space="preserve"> SEQ Tabla \* ARABIC </w:instrText>
      </w:r>
      <w:r w:rsidRPr="00EE4D50">
        <w:rPr>
          <w:rFonts w:ascii="Verdana" w:hAnsi="Verdana" w:cs="Times New Roman"/>
          <w:color w:val="auto"/>
          <w:sz w:val="20"/>
          <w:szCs w:val="20"/>
        </w:rPr>
        <w:fldChar w:fldCharType="separate"/>
      </w:r>
      <w:r w:rsidR="001630A5">
        <w:rPr>
          <w:rFonts w:ascii="Verdana" w:hAnsi="Verdana" w:cs="Times New Roman"/>
          <w:noProof/>
          <w:color w:val="auto"/>
          <w:sz w:val="20"/>
          <w:szCs w:val="20"/>
        </w:rPr>
        <w:t>20</w:t>
      </w:r>
      <w:r w:rsidRPr="00EE4D50">
        <w:rPr>
          <w:rFonts w:ascii="Verdana" w:hAnsi="Verdana" w:cs="Times New Roman"/>
          <w:color w:val="auto"/>
          <w:sz w:val="20"/>
          <w:szCs w:val="20"/>
        </w:rPr>
        <w:fldChar w:fldCharType="end"/>
      </w:r>
      <w:r w:rsidR="00BB07EF" w:rsidRPr="00EE4D50">
        <w:rPr>
          <w:rFonts w:ascii="Verdana" w:hAnsi="Verdana" w:cs="Times New Roman"/>
          <w:b w:val="0"/>
          <w:color w:val="auto"/>
          <w:sz w:val="20"/>
          <w:szCs w:val="20"/>
        </w:rPr>
        <w:t>: Personal empleado en el sector ensamblador y autopartista. Año 2015</w:t>
      </w:r>
      <w:bookmarkEnd w:id="97"/>
    </w:p>
    <w:tbl>
      <w:tblPr>
        <w:tblW w:w="6252" w:type="dxa"/>
        <w:jc w:val="center"/>
        <w:tblInd w:w="55" w:type="dxa"/>
        <w:tblCellMar>
          <w:left w:w="70" w:type="dxa"/>
          <w:right w:w="70" w:type="dxa"/>
        </w:tblCellMar>
        <w:tblLook w:val="04A0" w:firstRow="1" w:lastRow="0" w:firstColumn="1" w:lastColumn="0" w:noHBand="0" w:noVBand="1"/>
      </w:tblPr>
      <w:tblGrid>
        <w:gridCol w:w="2664"/>
        <w:gridCol w:w="3588"/>
      </w:tblGrid>
      <w:tr w:rsidR="00BB07EF" w:rsidRPr="00EE4D50" w:rsidTr="00A66608">
        <w:trPr>
          <w:trHeight w:val="490"/>
          <w:jc w:val="center"/>
        </w:trPr>
        <w:tc>
          <w:tcPr>
            <w:tcW w:w="2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20"/>
                <w:szCs w:val="20"/>
                <w:lang w:eastAsia="es-ES"/>
              </w:rPr>
            </w:pPr>
            <w:r w:rsidRPr="00EE4D50">
              <w:rPr>
                <w:rFonts w:ascii="Verdana" w:eastAsia="Times New Roman" w:hAnsi="Verdana" w:cs="Times New Roman"/>
                <w:b/>
                <w:bCs/>
                <w:color w:val="000000"/>
                <w:sz w:val="20"/>
                <w:szCs w:val="20"/>
                <w:lang w:eastAsia="es-ES"/>
              </w:rPr>
              <w:t>Firmas</w:t>
            </w:r>
          </w:p>
        </w:tc>
        <w:tc>
          <w:tcPr>
            <w:tcW w:w="3588" w:type="dxa"/>
            <w:tcBorders>
              <w:top w:val="single" w:sz="4" w:space="0" w:color="auto"/>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20"/>
                <w:szCs w:val="20"/>
                <w:lang w:eastAsia="es-ES"/>
              </w:rPr>
            </w:pPr>
            <w:r w:rsidRPr="00EE4D50">
              <w:rPr>
                <w:rFonts w:ascii="Verdana" w:eastAsia="Times New Roman" w:hAnsi="Verdana" w:cs="Times New Roman"/>
                <w:b/>
                <w:bCs/>
                <w:color w:val="000000"/>
                <w:sz w:val="20"/>
                <w:szCs w:val="20"/>
                <w:lang w:eastAsia="es-ES"/>
              </w:rPr>
              <w:t>Número de empleados</w:t>
            </w:r>
          </w:p>
        </w:tc>
      </w:tr>
      <w:tr w:rsidR="00BB07EF" w:rsidRPr="00EE4D50" w:rsidTr="00A66608">
        <w:trPr>
          <w:trHeight w:val="490"/>
          <w:jc w:val="center"/>
        </w:trPr>
        <w:tc>
          <w:tcPr>
            <w:tcW w:w="2664" w:type="dxa"/>
            <w:tcBorders>
              <w:top w:val="nil"/>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eastAsia="es-ES"/>
              </w:rPr>
            </w:pPr>
            <w:r w:rsidRPr="00EE4D50">
              <w:rPr>
                <w:rFonts w:ascii="Verdana" w:eastAsia="Times New Roman" w:hAnsi="Verdana" w:cs="Times New Roman"/>
                <w:color w:val="000000"/>
                <w:sz w:val="20"/>
                <w:szCs w:val="20"/>
                <w:lang w:eastAsia="es-ES"/>
              </w:rPr>
              <w:t>Ensambladoras</w:t>
            </w:r>
          </w:p>
        </w:tc>
        <w:tc>
          <w:tcPr>
            <w:tcW w:w="358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eastAsia="es-ES"/>
              </w:rPr>
            </w:pPr>
            <w:r w:rsidRPr="00EE4D50">
              <w:rPr>
                <w:rFonts w:ascii="Verdana" w:eastAsia="Times New Roman" w:hAnsi="Verdana" w:cs="Times New Roman"/>
                <w:color w:val="000000"/>
                <w:sz w:val="20"/>
                <w:szCs w:val="20"/>
                <w:lang w:eastAsia="es-ES"/>
              </w:rPr>
              <w:t>1.534</w:t>
            </w:r>
          </w:p>
        </w:tc>
      </w:tr>
      <w:tr w:rsidR="00BB07EF" w:rsidRPr="00EE4D50" w:rsidTr="00A66608">
        <w:trPr>
          <w:trHeight w:val="490"/>
          <w:jc w:val="center"/>
        </w:trPr>
        <w:tc>
          <w:tcPr>
            <w:tcW w:w="2664" w:type="dxa"/>
            <w:tcBorders>
              <w:top w:val="nil"/>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eastAsia="es-ES"/>
              </w:rPr>
            </w:pPr>
            <w:r w:rsidRPr="00EE4D50">
              <w:rPr>
                <w:rFonts w:ascii="Verdana" w:eastAsia="Times New Roman" w:hAnsi="Verdana" w:cs="Times New Roman"/>
                <w:color w:val="000000"/>
                <w:sz w:val="20"/>
                <w:szCs w:val="20"/>
                <w:lang w:eastAsia="es-ES"/>
              </w:rPr>
              <w:t>Autopartistas</w:t>
            </w:r>
          </w:p>
        </w:tc>
        <w:tc>
          <w:tcPr>
            <w:tcW w:w="358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color w:val="000000"/>
                <w:sz w:val="20"/>
                <w:szCs w:val="20"/>
                <w:lang w:eastAsia="es-ES"/>
              </w:rPr>
            </w:pPr>
            <w:r w:rsidRPr="00EE4D50">
              <w:rPr>
                <w:rFonts w:ascii="Verdana" w:eastAsia="Times New Roman" w:hAnsi="Verdana" w:cs="Times New Roman"/>
                <w:color w:val="000000"/>
                <w:sz w:val="20"/>
                <w:szCs w:val="20"/>
                <w:lang w:eastAsia="es-ES"/>
              </w:rPr>
              <w:t>4.710</w:t>
            </w:r>
          </w:p>
        </w:tc>
      </w:tr>
      <w:tr w:rsidR="00BB07EF" w:rsidRPr="00EE4D50" w:rsidTr="00A66608">
        <w:trPr>
          <w:trHeight w:val="490"/>
          <w:jc w:val="center"/>
        </w:trPr>
        <w:tc>
          <w:tcPr>
            <w:tcW w:w="2664" w:type="dxa"/>
            <w:tcBorders>
              <w:top w:val="nil"/>
              <w:left w:val="single" w:sz="4" w:space="0" w:color="auto"/>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20"/>
                <w:szCs w:val="20"/>
                <w:lang w:eastAsia="es-ES"/>
              </w:rPr>
            </w:pPr>
            <w:r w:rsidRPr="00EE4D50">
              <w:rPr>
                <w:rFonts w:ascii="Verdana" w:eastAsia="Times New Roman" w:hAnsi="Verdana" w:cs="Times New Roman"/>
                <w:b/>
                <w:bCs/>
                <w:color w:val="000000"/>
                <w:sz w:val="20"/>
                <w:szCs w:val="20"/>
                <w:lang w:eastAsia="es-ES"/>
              </w:rPr>
              <w:t>Total</w:t>
            </w:r>
          </w:p>
        </w:tc>
        <w:tc>
          <w:tcPr>
            <w:tcW w:w="3588" w:type="dxa"/>
            <w:tcBorders>
              <w:top w:val="nil"/>
              <w:left w:val="nil"/>
              <w:bottom w:val="single" w:sz="4" w:space="0" w:color="auto"/>
              <w:right w:val="single" w:sz="4" w:space="0" w:color="auto"/>
            </w:tcBorders>
            <w:shd w:val="clear" w:color="auto" w:fill="auto"/>
            <w:noWrap/>
            <w:vAlign w:val="center"/>
            <w:hideMark/>
          </w:tcPr>
          <w:p w:rsidR="00BB07EF" w:rsidRPr="00EE4D50" w:rsidRDefault="00BB07EF" w:rsidP="00EC63DA">
            <w:pPr>
              <w:spacing w:after="0" w:line="240" w:lineRule="auto"/>
              <w:jc w:val="center"/>
              <w:rPr>
                <w:rFonts w:ascii="Verdana" w:eastAsia="Times New Roman" w:hAnsi="Verdana" w:cs="Times New Roman"/>
                <w:b/>
                <w:bCs/>
                <w:color w:val="000000"/>
                <w:sz w:val="20"/>
                <w:szCs w:val="20"/>
                <w:lang w:eastAsia="es-ES"/>
              </w:rPr>
            </w:pPr>
            <w:r w:rsidRPr="00EE4D50">
              <w:rPr>
                <w:rFonts w:ascii="Verdana" w:eastAsia="Times New Roman" w:hAnsi="Verdana" w:cs="Times New Roman"/>
                <w:b/>
                <w:bCs/>
                <w:color w:val="000000"/>
                <w:sz w:val="20"/>
                <w:szCs w:val="20"/>
                <w:lang w:eastAsia="es-ES"/>
              </w:rPr>
              <w:t>6.244</w:t>
            </w:r>
          </w:p>
        </w:tc>
      </w:tr>
    </w:tbl>
    <w:p w:rsidR="00BB07EF" w:rsidRPr="00EE4D50" w:rsidRDefault="00A66608" w:rsidP="00EC63DA">
      <w:pPr>
        <w:spacing w:after="0" w:line="240" w:lineRule="auto"/>
        <w:jc w:val="both"/>
        <w:rPr>
          <w:rFonts w:ascii="Verdana" w:hAnsi="Verdana" w:cs="Times New Roman"/>
          <w:sz w:val="20"/>
        </w:rPr>
      </w:pPr>
      <w:r w:rsidRPr="00EE4D50">
        <w:rPr>
          <w:rFonts w:ascii="Verdana" w:hAnsi="Verdana" w:cs="Times New Roman"/>
        </w:rPr>
        <w:t xml:space="preserve">                  </w:t>
      </w:r>
      <w:r w:rsidR="00BB07EF" w:rsidRPr="00EE4D50">
        <w:rPr>
          <w:rFonts w:ascii="Verdana" w:hAnsi="Verdana" w:cs="Times New Roman"/>
          <w:sz w:val="20"/>
        </w:rPr>
        <w:t>Fuente: AEADE (2016)</w:t>
      </w:r>
    </w:p>
    <w:p w:rsidR="00862CCC" w:rsidRDefault="00A66608" w:rsidP="00EC63DA">
      <w:pPr>
        <w:spacing w:after="60" w:line="240" w:lineRule="auto"/>
        <w:jc w:val="both"/>
        <w:rPr>
          <w:rFonts w:ascii="Verdana" w:hAnsi="Verdana" w:cs="Times New Roman"/>
          <w:sz w:val="20"/>
        </w:rPr>
      </w:pPr>
      <w:r w:rsidRPr="00EE4D50">
        <w:rPr>
          <w:rFonts w:ascii="Verdana" w:hAnsi="Verdana" w:cs="Times New Roman"/>
          <w:sz w:val="20"/>
        </w:rPr>
        <w:t xml:space="preserve">      </w:t>
      </w:r>
      <w:r w:rsidR="00862CCC" w:rsidRPr="00EE4D50">
        <w:rPr>
          <w:rFonts w:ascii="Verdana" w:hAnsi="Verdana" w:cs="Times New Roman"/>
          <w:sz w:val="20"/>
        </w:rPr>
        <w:t xml:space="preserve">            Elaboración: Autora</w:t>
      </w:r>
    </w:p>
    <w:p w:rsidR="001A1E18" w:rsidRPr="00EE4D50" w:rsidRDefault="001A1E18" w:rsidP="00EC63DA">
      <w:pPr>
        <w:spacing w:after="60" w:line="240" w:lineRule="auto"/>
        <w:jc w:val="both"/>
        <w:rPr>
          <w:rFonts w:ascii="Verdana" w:hAnsi="Verdana" w:cs="Times New Roman"/>
          <w:sz w:val="20"/>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Los puestos de trabajo en las firmas ensambladoras y autopartistas al año 2015 sumaron 6.244 personas, de las cuales el 75% pertenecen a las autopartistas y el 25% a las ensambladoras. Según El Comercio (2016), este sector registró 908 plazas de trabajo menos que en el año 2014 que contaba con 7.152 empleados.</w:t>
      </w:r>
    </w:p>
    <w:p w:rsidR="00BB07EF" w:rsidRDefault="00BB07EF" w:rsidP="00EC63DA">
      <w:pPr>
        <w:spacing w:after="60"/>
        <w:jc w:val="both"/>
        <w:rPr>
          <w:rFonts w:ascii="Verdana" w:hAnsi="Verdana" w:cs="Times New Roman"/>
        </w:rPr>
      </w:pPr>
    </w:p>
    <w:p w:rsidR="001A1E18" w:rsidRPr="00EE4D50" w:rsidRDefault="001A1E18" w:rsidP="00EC63DA">
      <w:pPr>
        <w:spacing w:after="60"/>
        <w:jc w:val="both"/>
        <w:rPr>
          <w:rFonts w:ascii="Verdana" w:hAnsi="Verdana" w:cs="Times New Roman"/>
        </w:rPr>
      </w:pPr>
    </w:p>
    <w:p w:rsidR="00BB07EF" w:rsidRPr="00EE4D50" w:rsidRDefault="00BB07EF" w:rsidP="00EC63DA">
      <w:pPr>
        <w:pStyle w:val="Ttulo2"/>
        <w:rPr>
          <w:rFonts w:cs="Times New Roman"/>
        </w:rPr>
      </w:pPr>
      <w:bookmarkStart w:id="98" w:name="_Toc485137227"/>
      <w:r w:rsidRPr="00EE4D50">
        <w:rPr>
          <w:rFonts w:cs="Times New Roman"/>
        </w:rPr>
        <w:lastRenderedPageBreak/>
        <w:t>Casos internacionales de la industria automotriz</w:t>
      </w:r>
      <w:bookmarkEnd w:id="98"/>
    </w:p>
    <w:p w:rsidR="00BB07EF" w:rsidRPr="00EE4D50" w:rsidRDefault="00BB07EF"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El sector automotriz se ha convertido durante los últimos años en uno de los factores claves para el desarrollo de la mayoría de los países desarrollados y emergentes, mediante una transformación del proceso industrial para la elaboración de vehículos. </w:t>
      </w:r>
      <w:r w:rsidR="00337B4C" w:rsidRPr="00EE4D50">
        <w:rPr>
          <w:rFonts w:ascii="Verdana" w:hAnsi="Verdana" w:cs="Times New Roman"/>
        </w:rPr>
        <w:t>Uno de las razones que ha permitido la transformación de la región durante las últimas décadas se debe, como sostiene BBVA (2010</w:t>
      </w:r>
      <w:r w:rsidR="00BE157D">
        <w:rPr>
          <w:rFonts w:ascii="Verdana" w:hAnsi="Verdana" w:cs="Times New Roman"/>
        </w:rPr>
        <w:t>: 3</w:t>
      </w:r>
      <w:r w:rsidR="00337B4C" w:rsidRPr="00EE4D50">
        <w:rPr>
          <w:rFonts w:ascii="Verdana" w:hAnsi="Verdana" w:cs="Times New Roman"/>
        </w:rPr>
        <w:t>), a la inversión extranjera directa destinada al sector automotriz</w:t>
      </w:r>
      <w:r w:rsidR="00337B4C">
        <w:rPr>
          <w:rFonts w:ascii="Verdana" w:hAnsi="Verdana" w:cs="Times New Roman"/>
        </w:rPr>
        <w:t xml:space="preserve"> </w:t>
      </w:r>
      <w:r w:rsidR="00337B4C" w:rsidRPr="00EE4D50">
        <w:rPr>
          <w:rFonts w:ascii="Verdana" w:hAnsi="Verdana" w:cs="Times New Roman"/>
        </w:rPr>
        <w:t xml:space="preserve">en América Latina y el Caribe, lo cual ha permitido que se generen procesos de deslocalización productiva. </w:t>
      </w:r>
      <w:r w:rsidRPr="00EE4D50">
        <w:rPr>
          <w:rFonts w:ascii="Verdana" w:hAnsi="Verdana" w:cs="Times New Roman"/>
        </w:rPr>
        <w:t>A su vez, la producción de los países desarrollados se ha movilizado hacia un grupo de economías emergentes debido a que existen mercados internos consolidados, bajos costos de producción y cercanía a importantes mercados de exportación.</w:t>
      </w:r>
    </w:p>
    <w:p w:rsidR="00EE52B1" w:rsidRPr="00EE4D50" w:rsidRDefault="00EE52B1"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mercado mundial de automóviles se encuentra en un proceso de crecimiento en la internacionalización de su producción. Las inversiones realizadas y los consecuentes aumentos de productividad, ocasionaron un mejor rendimiento en la capacidad de producción mundial. Según la Asociación Nacional Automotriz de Chile (ANAC, 2016</w:t>
      </w:r>
      <w:r w:rsidR="00BE157D">
        <w:rPr>
          <w:rFonts w:ascii="Verdana" w:hAnsi="Verdana" w:cs="Times New Roman"/>
        </w:rPr>
        <w:t>: 7</w:t>
      </w:r>
      <w:r w:rsidRPr="00EE4D50">
        <w:rPr>
          <w:rFonts w:ascii="Verdana" w:hAnsi="Verdana" w:cs="Times New Roman"/>
        </w:rPr>
        <w:t>), al 2015 la fabricación a nivel internacional de vehículos a motor es de 88,24 millones de unidades, mientras que las ventas sumaron 89,75 millones de vehículos. Los principales países que lideran el 50,3% de la fabricación en el mundo son: China, Estados Unidos y Japón, estos mismos concentran las ventas mundiales con 52% de las unidades comercializadas, mientras que para Sudamérica, los principales fabricantes son  Argentina y Brasil, quienes elaboran el 97% del cono sur y tienen el 4,2 % de la producción mundial.</w:t>
      </w:r>
    </w:p>
    <w:p w:rsidR="00EE52B1" w:rsidRPr="00EE4D50" w:rsidRDefault="00EE52B1" w:rsidP="00EC63DA">
      <w:pPr>
        <w:spacing w:after="60"/>
        <w:jc w:val="both"/>
        <w:rPr>
          <w:rFonts w:ascii="Verdana" w:hAnsi="Verdana" w:cs="Times New Roman"/>
        </w:rPr>
      </w:pPr>
    </w:p>
    <w:p w:rsidR="00862CCC" w:rsidRPr="00EE4D50" w:rsidRDefault="00BB07EF" w:rsidP="00EC63DA">
      <w:pPr>
        <w:spacing w:after="60"/>
        <w:jc w:val="both"/>
        <w:rPr>
          <w:rFonts w:ascii="Verdana" w:hAnsi="Verdana" w:cs="Times New Roman"/>
        </w:rPr>
      </w:pPr>
      <w:r w:rsidRPr="00EE4D50">
        <w:rPr>
          <w:rFonts w:ascii="Verdana" w:hAnsi="Verdana" w:cs="Times New Roman"/>
        </w:rPr>
        <w:t>Los principales países emergentes de la región latinoamericana son grandes productores de vehículos. Se abordará a los casos de Argentina, México y Colombia.</w:t>
      </w:r>
    </w:p>
    <w:p w:rsidR="00862CCC" w:rsidRPr="00EE4D50" w:rsidRDefault="00862CCC" w:rsidP="00EC63DA">
      <w:pPr>
        <w:spacing w:after="60"/>
        <w:jc w:val="both"/>
        <w:rPr>
          <w:rFonts w:ascii="Verdana" w:hAnsi="Verdana" w:cs="Times New Roman"/>
        </w:rPr>
      </w:pPr>
    </w:p>
    <w:p w:rsidR="00BB07EF" w:rsidRPr="00EE4D50" w:rsidRDefault="00BB07EF" w:rsidP="00EC63DA">
      <w:pPr>
        <w:pStyle w:val="Ttulo3"/>
        <w:rPr>
          <w:rFonts w:ascii="Verdana" w:hAnsi="Verdana" w:cs="Times New Roman"/>
          <w:i/>
          <w:color w:val="auto"/>
          <w:sz w:val="28"/>
        </w:rPr>
      </w:pPr>
      <w:bookmarkStart w:id="99" w:name="_Toc485137228"/>
      <w:r w:rsidRPr="00EE4D50">
        <w:rPr>
          <w:rFonts w:ascii="Verdana" w:hAnsi="Verdana" w:cs="Times New Roman"/>
          <w:i/>
          <w:color w:val="auto"/>
          <w:sz w:val="28"/>
        </w:rPr>
        <w:t>La industria automotriz en Argentina</w:t>
      </w:r>
      <w:bookmarkEnd w:id="99"/>
    </w:p>
    <w:p w:rsidR="007F7AFC" w:rsidRPr="00EE4D50" w:rsidRDefault="007F7AFC" w:rsidP="00EC63DA">
      <w:pPr>
        <w:spacing w:after="60"/>
        <w:jc w:val="both"/>
        <w:rPr>
          <w:rFonts w:ascii="Verdana" w:hAnsi="Verdana" w:cs="Times New Roman"/>
        </w:rPr>
      </w:pPr>
    </w:p>
    <w:p w:rsidR="008B3E6C" w:rsidRPr="00EE4D50" w:rsidRDefault="00BB07EF" w:rsidP="00EC63DA">
      <w:pPr>
        <w:spacing w:after="60"/>
        <w:jc w:val="both"/>
        <w:rPr>
          <w:rFonts w:ascii="Verdana" w:hAnsi="Verdana" w:cs="Times New Roman"/>
        </w:rPr>
      </w:pPr>
      <w:r w:rsidRPr="00EE4D50">
        <w:rPr>
          <w:rFonts w:ascii="Verdana" w:hAnsi="Verdana" w:cs="Times New Roman"/>
        </w:rPr>
        <w:t xml:space="preserve">Al 2015 esta industria sufrió una disminución del 12% en la producción con respecto al año anterior, siendo el peor nivel en los últimos seis años, al fabricarse 543.467 </w:t>
      </w:r>
      <w:r w:rsidR="00337B4C" w:rsidRPr="00EE4D50">
        <w:rPr>
          <w:rFonts w:ascii="Verdana" w:hAnsi="Verdana" w:cs="Times New Roman"/>
        </w:rPr>
        <w:t>automotores (</w:t>
      </w:r>
      <w:r w:rsidRPr="00EE4D50">
        <w:rPr>
          <w:rFonts w:ascii="Verdana" w:hAnsi="Verdana" w:cs="Times New Roman"/>
        </w:rPr>
        <w:t xml:space="preserve">Infobae, 2016). Según datos de la Asociación de Fábricas de Automotores ADEFA (2015), del total producido, los automóviles representaron el 57,9%, los utilitarios 40,8% y los de carga y de pasajeros 1,3%. La producción se distribuyó en un 55% para el mercado argentino y 45% para la </w:t>
      </w:r>
      <w:r w:rsidR="00337B4C" w:rsidRPr="00EE4D50">
        <w:rPr>
          <w:rFonts w:ascii="Verdana" w:hAnsi="Verdana" w:cs="Times New Roman"/>
        </w:rPr>
        <w:t>exportación. Las</w:t>
      </w:r>
      <w:r w:rsidRPr="00EE4D50">
        <w:rPr>
          <w:rFonts w:ascii="Verdana" w:hAnsi="Verdana" w:cs="Times New Roman"/>
        </w:rPr>
        <w:t xml:space="preserve"> exportaciones fueron de 245.725 vehículos, lo cual significó un</w:t>
      </w:r>
      <w:r w:rsidR="00F96AD3">
        <w:rPr>
          <w:rFonts w:ascii="Verdana" w:hAnsi="Verdana" w:cs="Times New Roman"/>
        </w:rPr>
        <w:t xml:space="preserve"> </w:t>
      </w:r>
      <w:r w:rsidRPr="00EE4D50">
        <w:rPr>
          <w:rFonts w:ascii="Verdana" w:hAnsi="Verdana" w:cs="Times New Roman"/>
        </w:rPr>
        <w:t>31</w:t>
      </w:r>
      <w:r w:rsidR="00337B4C" w:rsidRPr="00EE4D50">
        <w:rPr>
          <w:rFonts w:ascii="Verdana" w:hAnsi="Verdana" w:cs="Times New Roman"/>
        </w:rPr>
        <w:t>, 3</w:t>
      </w:r>
      <w:r w:rsidRPr="00EE4D50">
        <w:rPr>
          <w:rFonts w:ascii="Verdana" w:hAnsi="Verdana" w:cs="Times New Roman"/>
        </w:rPr>
        <w:t>% menos que en 2014. Todo esto debido a que el mercado interno se estancó y a la crisis de Brasil que es socio comercial estratégico que capta el 76,3% de las exportaciones.</w:t>
      </w:r>
    </w:p>
    <w:p w:rsidR="00BB07EF" w:rsidRPr="00EE4D50" w:rsidRDefault="00BB07EF" w:rsidP="00EC63DA">
      <w:pPr>
        <w:spacing w:after="60"/>
        <w:jc w:val="both"/>
        <w:rPr>
          <w:rFonts w:ascii="Verdana" w:hAnsi="Verdana" w:cs="Times New Roman"/>
        </w:rPr>
      </w:pPr>
      <w:r w:rsidRPr="00EE4D50">
        <w:rPr>
          <w:rFonts w:ascii="Verdana" w:hAnsi="Verdana" w:cs="Times New Roman"/>
        </w:rPr>
        <w:lastRenderedPageBreak/>
        <w:t>De acuerdo a Andrade (2014: 37) el sector autopartista de Argentina, es una esfera que se rodea de diversas industrias relacionadas, como por ejemplo la metalmecánica, electrónica, textil, producción de vidrios, plásticos y caucho, entre otras, que conforman el entramado de actividades y sectores necesario para componer un automóvil. La fabricación nacional posee un contenido local de autopartes de alrededor del 12%.</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Específicamente, los copartícipes del sector son, como argumenta Saturnino (2011), los autopartistas fabricantes de partes individuales y de conjuntos, las terminales automotrices, la red de distribución y servicios, la red de reposición externa a las terminales con la venta de partes y de servicios de mantenimiento y reparación, y finalmente el cliente.</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Uno de los condicionantes importantes como explica Saturnino (2011) sobre la participación de las terminales dentro de la cadena de valor que afectan al desempeño de las empresas autopartistas, son los cambios en la gestión que éstas han establecido, los cuales implican entre otros, la ejecución de aprovisionamientos modulares, los cuales son la razón por lo que se han reducido apreciablemente los proveedores directos de las terminales transfiriendo a ciertos proveedores la responsabilidad de investigación, diseño, fabricación y administración de su propia red de proveedores con alta exigencia de desempeño, de los conjuntos funcionales. Asimismo, otro de los condicionantes son las innovaciones en la conformación de los automóviles, como las tecnologías de diagnóstico de fallas, la reducción del peso de los vehículos, y el incremento de condiciones de seguridad.</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Según Andrade (2014: 36), debido a las políticas globales de las empresas terminales la industria automotriz Argentina no produce diseños locales, así como mantiene un desarrollo externo limitado, y con poco aporte tecnológico en el diseño realizado por los proveedores nacionales. La estructura de la producción local de Argentina mantiene una escasa producción de autos de carga y pasajeros, razón por la cual se trasladaron a Brasil en grandes cantidades.  De la misma manera explica que las terminales radicadas en Argentina corresponden a grandes empresas y marcas multinacionales presentes en países de la región y el mundo, donde el ensamblaje de las marcas más importantes se encuentra en las provincias de Buenos Aires, Santa Fe y Córdoba.</w:t>
      </w:r>
    </w:p>
    <w:p w:rsidR="008B3E6C" w:rsidRPr="00EE4D50" w:rsidRDefault="008B3E6C" w:rsidP="00EC63DA">
      <w:pPr>
        <w:spacing w:after="60"/>
        <w:jc w:val="both"/>
        <w:rPr>
          <w:rFonts w:ascii="Verdana" w:hAnsi="Verdana" w:cs="Times New Roman"/>
        </w:rPr>
      </w:pPr>
    </w:p>
    <w:p w:rsidR="008B3E6C" w:rsidRPr="00EE4D50" w:rsidRDefault="00BB07EF" w:rsidP="00EC63DA">
      <w:pPr>
        <w:spacing w:after="60"/>
        <w:jc w:val="both"/>
        <w:rPr>
          <w:rFonts w:ascii="Verdana" w:hAnsi="Verdana" w:cs="Times New Roman"/>
        </w:rPr>
      </w:pPr>
      <w:r w:rsidRPr="00EE4D50">
        <w:rPr>
          <w:rFonts w:ascii="Verdana" w:hAnsi="Verdana" w:cs="Times New Roman"/>
        </w:rPr>
        <w:t>La ADEFA agrupa a diez ensambladoras de automóviles, vehículos utilitarios livianos y pesados en Argentina: Mercedes Benz Argentina S.A., Fiat Auto Argentina S.A., Ford Argentina S.C.A., General Motors de Argentina S.R.L., Iveco Argentina S.A., PSA Peugeot Citroën Argentina S.A., Renault Argentina S.A., Scania Argentina S.A., Toyota Argentina S.A. y Volkswagen Argentina S.A (Metalmecánica internacional, 2016).</w:t>
      </w:r>
    </w:p>
    <w:p w:rsidR="00BB07EF" w:rsidRPr="00EE4D50" w:rsidRDefault="00BB07EF" w:rsidP="00EC63DA">
      <w:pPr>
        <w:spacing w:after="60"/>
        <w:jc w:val="both"/>
        <w:rPr>
          <w:rFonts w:ascii="Verdana" w:hAnsi="Verdana" w:cs="Times New Roman"/>
        </w:rPr>
      </w:pPr>
      <w:r w:rsidRPr="00EE4D50">
        <w:rPr>
          <w:rFonts w:ascii="Verdana" w:hAnsi="Verdana" w:cs="Times New Roman"/>
        </w:rPr>
        <w:lastRenderedPageBreak/>
        <w:t>La trayectoria histórica del sector automotor de Argentina, como explica Andrade (2014:</w:t>
      </w:r>
      <w:r w:rsidR="00BE157D">
        <w:rPr>
          <w:rFonts w:ascii="Verdana" w:hAnsi="Verdana" w:cs="Times New Roman"/>
        </w:rPr>
        <w:t xml:space="preserve"> </w:t>
      </w:r>
      <w:r w:rsidRPr="00EE4D50">
        <w:rPr>
          <w:rFonts w:ascii="Verdana" w:hAnsi="Verdana" w:cs="Times New Roman"/>
        </w:rPr>
        <w:t>37) deriva de los shocks externos e internos experimentados por la economía local como internacional, lo cual generó que la producción de vehículos a través de la industria automotriz en los años 90’s registre una caída de 0,3% en promedio anual, en tanto que, durante el período 2003-2012, este sector creció en promedio 17 % anual.</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Para los últimos años el sector ha venido sufriendo una importante desaceleración lo que ha reducido significativamente la participación del sector, la producción total de vehículos,</w:t>
      </w:r>
      <w:r w:rsidR="008B3E6C" w:rsidRPr="00EE4D50">
        <w:rPr>
          <w:rFonts w:ascii="Verdana" w:hAnsi="Verdana" w:cs="Times New Roman"/>
        </w:rPr>
        <w:t xml:space="preserve"> y la mano de obra ANAC (2016).</w:t>
      </w:r>
    </w:p>
    <w:p w:rsidR="008B3E6C" w:rsidRPr="00EE4D50" w:rsidRDefault="008B3E6C" w:rsidP="00EC63DA">
      <w:pPr>
        <w:spacing w:after="60"/>
        <w:jc w:val="both"/>
        <w:rPr>
          <w:rFonts w:ascii="Verdana" w:hAnsi="Verdana" w:cs="Times New Roman"/>
        </w:rPr>
      </w:pPr>
    </w:p>
    <w:p w:rsidR="00BB07EF" w:rsidRPr="00EE4D50" w:rsidRDefault="00BB07EF" w:rsidP="00EC63DA">
      <w:pPr>
        <w:pStyle w:val="Ttulo3"/>
        <w:rPr>
          <w:rFonts w:ascii="Verdana" w:hAnsi="Verdana" w:cs="Times New Roman"/>
          <w:i/>
          <w:color w:val="auto"/>
          <w:sz w:val="28"/>
        </w:rPr>
      </w:pPr>
      <w:bookmarkStart w:id="100" w:name="_Toc485137229"/>
      <w:r w:rsidRPr="00EE4D50">
        <w:rPr>
          <w:rFonts w:ascii="Verdana" w:hAnsi="Verdana" w:cs="Times New Roman"/>
          <w:i/>
          <w:color w:val="auto"/>
          <w:sz w:val="28"/>
        </w:rPr>
        <w:t>La industria automotriz en México</w:t>
      </w:r>
      <w:bookmarkEnd w:id="100"/>
    </w:p>
    <w:p w:rsidR="009E610C" w:rsidRPr="00EE4D50" w:rsidRDefault="009E610C" w:rsidP="00EC63DA">
      <w:pPr>
        <w:spacing w:after="60"/>
        <w:jc w:val="both"/>
        <w:rPr>
          <w:rFonts w:ascii="Verdana" w:hAnsi="Verdana" w:cs="Times New Roman"/>
          <w:lang w:val="es-US"/>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sector automotriz mexicano es el mayor productor de vehículos en Latinoamérica. Según datos de la Asociación Mexicana de la Industria Automotriz-</w:t>
      </w:r>
      <w:r w:rsidR="00337B4C" w:rsidRPr="00EE4D50">
        <w:rPr>
          <w:rFonts w:ascii="Verdana" w:hAnsi="Verdana" w:cs="Times New Roman"/>
        </w:rPr>
        <w:t>AMIA (</w:t>
      </w:r>
      <w:r w:rsidRPr="00EE4D50">
        <w:rPr>
          <w:rFonts w:ascii="Verdana" w:hAnsi="Verdana" w:cs="Times New Roman"/>
        </w:rPr>
        <w:t xml:space="preserve">2015), se registró la fabricación de 3.399.076 vehículos ligeros, lo cual representó un incremento de 5,6% con respecto al 2014. </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Se vendieron 1.351.648 vehículos, 19% superior a las unidades vendidas en 2014. Las ventas en el mercado mexicano comprendieron un 47% de vehículos producidos en el país y 53% de origen </w:t>
      </w:r>
      <w:r w:rsidR="00337B4C" w:rsidRPr="00EE4D50">
        <w:rPr>
          <w:rFonts w:ascii="Verdana" w:hAnsi="Verdana" w:cs="Times New Roman"/>
        </w:rPr>
        <w:t>extranjero. Del</w:t>
      </w:r>
      <w:r w:rsidRPr="00EE4D50">
        <w:rPr>
          <w:rFonts w:ascii="Verdana" w:hAnsi="Verdana" w:cs="Times New Roman"/>
        </w:rPr>
        <w:t xml:space="preserve"> total de la producción el 19% se destinó al mercado local y el 81% a la exportación. Las productoras de vehículos son: General Motors (20,3%), Nissan (24,2%), Volkswagen (13,5%), Toyota (3,1%), Mazda (5,4%), Honda (6%), Ford Motor (12,8%) y FCA México (14,8%). En 2015 se enviaron 2.758.896 unidades al extranjero, 4,4% superior al total exportado en 2014. La mayor parte de las exportaciones van hacia los países TLCAN: EEUU</w:t>
      </w:r>
      <w:r w:rsidRPr="00EE4D50">
        <w:rPr>
          <w:rStyle w:val="Refdenotaalpie"/>
          <w:rFonts w:ascii="Verdana" w:hAnsi="Verdana" w:cs="Times New Roman"/>
        </w:rPr>
        <w:footnoteReference w:id="17"/>
      </w:r>
      <w:r w:rsidRPr="00EE4D50">
        <w:rPr>
          <w:rFonts w:ascii="Verdana" w:hAnsi="Verdana" w:cs="Times New Roman"/>
        </w:rPr>
        <w:t xml:space="preserve"> con el 72,2% y Canadá 10,5%. Luego el tercer destino fue Latinoamérica con el 8,2%, principalmente hacia Brasil, Colombia, Argentina, Chile y Perú. Hacia Europa se exportaron el 5,3%, en especial a Alemania (AMIA, 2015).</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Andrade (2014: 38-39) explica que para el caso de México, el crecimiento de la industria automotriz es el resultado de transformaciones que incluyen la evolución hacia la globalización del sector, así como el alineamiento a una política industrial interna, aspectos que han mantenido un proceso de constante evolución e innovación.</w:t>
      </w:r>
      <w:r w:rsidR="00CF4FE1" w:rsidRPr="00EE4D50">
        <w:rPr>
          <w:rFonts w:ascii="Verdana" w:hAnsi="Verdana" w:cs="Times New Roman"/>
        </w:rPr>
        <w:t xml:space="preserve"> </w:t>
      </w:r>
      <w:r w:rsidRPr="00EE4D50">
        <w:rPr>
          <w:rFonts w:ascii="Verdana" w:hAnsi="Verdana" w:cs="Times New Roman"/>
        </w:rPr>
        <w:t xml:space="preserve">A diferencia del manejo político sobre el sector automotriz de Argentina, el Gobierno de México prestó un gran esfuerzo para desarrollar el mismo, debido a que este sector fue considerado como clave en el desarrollo industrial de México. Por esta razón, las medidas que fueron tomadas con el fin de proteger al sector se las enfocó en aplicar ciertas restricciones al </w:t>
      </w:r>
      <w:r w:rsidRPr="00EE4D50">
        <w:rPr>
          <w:rFonts w:ascii="Verdana" w:hAnsi="Verdana" w:cs="Times New Roman"/>
        </w:rPr>
        <w:lastRenderedPageBreak/>
        <w:t>número de empresas terminales, limitar la participación de la inversión extranjera directa en las empresas de autopartes, y prohibir la importación de partes que sean producidos a nivel local, así como de vehículos.</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De este punto parte la importancia de que se analice la historia del proteccionismo mexicano, para entender los puntos que generaron su cancelación para el año 2004. De esta manera como define Andrade (2014: 39) la historia industrial automotriz en México empieza en 1925 con la creación de líneas de ensamble de marcas internacionales como Ford y posteriormente General Motors, estas empresas, concentraron su actividad en el montaje de autos consignados al mercado nacional que satisfacía toda la demanda con las importaciones.</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Esto a su vez se vio impulsado por la movilización de los fabricantes norteamericanos y posteriormente  los europeos y asiáticos, que  trasladaron  su centro de fabricación a México, debido como explica Andrade (2014:</w:t>
      </w:r>
      <w:r w:rsidR="00BE157D">
        <w:rPr>
          <w:rFonts w:ascii="Verdana" w:hAnsi="Verdana" w:cs="Times New Roman"/>
        </w:rPr>
        <w:t xml:space="preserve"> </w:t>
      </w:r>
      <w:r w:rsidRPr="00EE4D50">
        <w:rPr>
          <w:rFonts w:ascii="Verdana" w:hAnsi="Verdana" w:cs="Times New Roman"/>
        </w:rPr>
        <w:t>40) a la reducción de los costos de producción, los bajos costos de transporte, los bajos salarios principalmente en la mano de obra de montaje y debido a las expectativas de un mercado factible de monopolizar. De esta forma se dio inicio al periodo de proteccionismo a la industria automotriz, la cual creció notablemente en sus inicios, en un promedio de 158.3% desde 1965 a 1970, pese a que los niveles de calidad no eran satisfactorios y los costos de producción crecían rápidamente.</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Para 1972 una vez establecido el segundo decreto del sector automotriz de México, el país empieza a sentir los efectos de la crisis del crudo enfrentada durante los 70, principalmente por los países emergentes dependientes del petróleo, lo que causó un déficit sobre su balanza de pagos, como consecuencia de la falta de competitividad del sector industrial administrado por el gobierno.</w:t>
      </w:r>
    </w:p>
    <w:p w:rsidR="008B3E6C" w:rsidRPr="00EE4D50" w:rsidRDefault="008B3E6C" w:rsidP="00EC63DA">
      <w:pPr>
        <w:spacing w:after="60"/>
        <w:jc w:val="both"/>
        <w:rPr>
          <w:rFonts w:ascii="Verdana" w:hAnsi="Verdana" w:cs="Times New Roman"/>
        </w:rPr>
      </w:pPr>
    </w:p>
    <w:p w:rsidR="00BB07EF" w:rsidRPr="00EE4D50" w:rsidRDefault="00BE157D" w:rsidP="00EC63DA">
      <w:pPr>
        <w:spacing w:after="60"/>
        <w:jc w:val="both"/>
        <w:rPr>
          <w:rFonts w:ascii="Verdana" w:hAnsi="Verdana" w:cs="Times New Roman"/>
        </w:rPr>
      </w:pPr>
      <w:r>
        <w:rPr>
          <w:rFonts w:ascii="Verdana" w:hAnsi="Verdana" w:cs="Times New Roman"/>
        </w:rPr>
        <w:t xml:space="preserve">Según Andrade (2014: </w:t>
      </w:r>
      <w:r w:rsidR="00BB07EF" w:rsidRPr="00EE4D50">
        <w:rPr>
          <w:rFonts w:ascii="Verdana" w:hAnsi="Verdana" w:cs="Times New Roman"/>
        </w:rPr>
        <w:t>42) frente a esta necesidad de incrementar la competitividad para afrontar la competencia de los mercados internacionales, la infraestructura tecnológica del sector tuvo que ser modernizada, debido principalmente a la entrada de Japón al mercado de Estados Unidos.</w:t>
      </w:r>
    </w:p>
    <w:p w:rsidR="008B3E6C" w:rsidRPr="00EE4D50" w:rsidRDefault="008B3E6C" w:rsidP="00EC63DA">
      <w:pPr>
        <w:spacing w:after="60"/>
        <w:jc w:val="both"/>
        <w:rPr>
          <w:rFonts w:ascii="Verdana" w:hAnsi="Verdana" w:cs="Times New Roman"/>
        </w:rPr>
      </w:pPr>
    </w:p>
    <w:p w:rsidR="008B3E6C" w:rsidRPr="00EE4D50" w:rsidRDefault="00BB07EF" w:rsidP="00EC63DA">
      <w:pPr>
        <w:spacing w:after="60"/>
        <w:jc w:val="both"/>
        <w:rPr>
          <w:rFonts w:ascii="Verdana" w:hAnsi="Verdana" w:cs="Times New Roman"/>
        </w:rPr>
      </w:pPr>
      <w:r w:rsidRPr="00EE4D50">
        <w:rPr>
          <w:rFonts w:ascii="Verdana" w:hAnsi="Verdana" w:cs="Times New Roman"/>
        </w:rPr>
        <w:t xml:space="preserve">En 1983 se dicta un tercer decreto para la industria mexicana, la cual se orientó al fortalecimiento de las exportaciones, dejando relegado al sector de las autopartes. Para consolidar los objetivos de política industrial y comercio exterior, el gobierno mexicano emitió un nuevo decreto a fines de 1989, donde se definió que para competir dentro del esquema de globalización de la industria, era necesario modernizar el sector a través de un proceso de desregulación económica e incremento de las inversiones, orientados a elevar los niveles de eficiencia, productividad y cambios tecnológicos. </w:t>
      </w:r>
    </w:p>
    <w:p w:rsidR="00BB07EF" w:rsidRPr="00EE4D50" w:rsidRDefault="00BB07EF" w:rsidP="00EC63DA">
      <w:pPr>
        <w:spacing w:after="60"/>
        <w:jc w:val="both"/>
        <w:rPr>
          <w:rFonts w:ascii="Verdana" w:hAnsi="Verdana" w:cs="Times New Roman"/>
        </w:rPr>
      </w:pPr>
      <w:r w:rsidRPr="00EE4D50">
        <w:rPr>
          <w:rFonts w:ascii="Verdana" w:hAnsi="Verdana" w:cs="Times New Roman"/>
        </w:rPr>
        <w:lastRenderedPageBreak/>
        <w:t>Una de las políticas que causaron un cambio conceptual a la industria automotriz de México, fue la suscripción del Tratado de Libre Comercio de América del Norte (TLCAN), en donde el mercado automotriz estadounidense se abrió a las importaciones provenientes de México con tarifas arancelarias de 2,5% para automóviles y 3% en autopartes, este proceso generó una transformación alejada del proteccionismo que lo había caracterizado para adecuarse a las necesidades de consumo del mercado interno en expansión.</w:t>
      </w:r>
    </w:p>
    <w:p w:rsidR="008B3E6C" w:rsidRPr="00EE4D50" w:rsidRDefault="008B3E6C" w:rsidP="00EC63DA">
      <w:pPr>
        <w:spacing w:after="60"/>
        <w:jc w:val="both"/>
        <w:rPr>
          <w:rFonts w:ascii="Verdana" w:hAnsi="Verdana" w:cs="Times New Roman"/>
        </w:rPr>
      </w:pPr>
    </w:p>
    <w:p w:rsidR="00BB07EF" w:rsidRDefault="00BB07EF" w:rsidP="00EC63DA">
      <w:pPr>
        <w:spacing w:after="60"/>
        <w:jc w:val="both"/>
        <w:rPr>
          <w:rFonts w:ascii="Verdana" w:hAnsi="Verdana" w:cs="Times New Roman"/>
        </w:rPr>
      </w:pPr>
      <w:r w:rsidRPr="00EE4D50">
        <w:rPr>
          <w:rFonts w:ascii="Verdana" w:hAnsi="Verdana" w:cs="Times New Roman"/>
        </w:rPr>
        <w:t>Para Andrade (2014: 43) los beneficios positivos evidenciados por el TLCAN, fueron orientados al desarrollo del Producto Interno Bruto (PIB) de México, el cual subió en un 8,8% entre 1998 y 1999, de la misma manera la desregulación gradual del sector automotriz a partir de 1994 creó oportunidades de negocios para compañías del exterior y obligó a los fabricantes de autopartes a elevar la calidad y reducir los costos de producción de sus productos para incrementar sus negocios después del año 2003.</w:t>
      </w:r>
    </w:p>
    <w:p w:rsidR="00462D4D" w:rsidRPr="00EE4D50" w:rsidRDefault="00462D4D"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Pero asimismo Andrade (2014</w:t>
      </w:r>
      <w:r w:rsidR="00BE157D">
        <w:rPr>
          <w:rFonts w:ascii="Verdana" w:hAnsi="Verdana" w:cs="Times New Roman"/>
        </w:rPr>
        <w:t>: 44</w:t>
      </w:r>
      <w:r w:rsidRPr="00EE4D50">
        <w:rPr>
          <w:rFonts w:ascii="Verdana" w:hAnsi="Verdana" w:cs="Times New Roman"/>
        </w:rPr>
        <w:t>) sostiene que los efectos adversos del TLCAN, se debieron a que el crecimiento de la industria automotriz mexicana se originó sin un orden preestablecido de desarrollo, además de que no se supo estratificar los elementos que intervienen en la cadena productiva de la industria automotriz, permitiendo un desorden de fabricantes de autopartes comunes para las armadoras, que en la mayoría carecían de especialización y que dio origen a una baja productividad, motivada entre otras cosas, por las complejas relaciones de intercambio entre proveedores y armadoras.</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Actualmente, la industria automotriz de México como argumenta Romero (2016:</w:t>
      </w:r>
      <w:r w:rsidR="00BE157D">
        <w:rPr>
          <w:rFonts w:ascii="Verdana" w:hAnsi="Verdana" w:cs="Times New Roman"/>
        </w:rPr>
        <w:t xml:space="preserve"> </w:t>
      </w:r>
      <w:r w:rsidRPr="00EE4D50">
        <w:rPr>
          <w:rFonts w:ascii="Verdana" w:hAnsi="Verdana" w:cs="Times New Roman"/>
        </w:rPr>
        <w:t>2) es uno de los mayores generadores de empleo directo, con una aportación al Producto Interno Bruto cercano al 8% reflejo de un incremento de la productividad de la industria durante los últimos años. De la misma manera el sector mexicano se caracteriza por un favorable aumento de la mano de obra calificada y de la tecnología empleada en la producción de vehículos, como resultado de que el principal mercado es el de Estados Unidos.</w:t>
      </w:r>
    </w:p>
    <w:p w:rsidR="00882B85" w:rsidRPr="00EE4D50" w:rsidRDefault="00882B85" w:rsidP="00EC63DA">
      <w:pPr>
        <w:spacing w:after="60"/>
        <w:jc w:val="both"/>
        <w:rPr>
          <w:rFonts w:ascii="Verdana" w:hAnsi="Verdana" w:cs="Times New Roman"/>
        </w:rPr>
      </w:pPr>
    </w:p>
    <w:p w:rsidR="00BB07EF" w:rsidRPr="00EE4D50" w:rsidRDefault="00BB07EF" w:rsidP="00EC63DA">
      <w:pPr>
        <w:pStyle w:val="Ttulo3"/>
        <w:rPr>
          <w:rFonts w:ascii="Verdana" w:hAnsi="Verdana" w:cs="Times New Roman"/>
          <w:i/>
          <w:sz w:val="28"/>
          <w:szCs w:val="32"/>
        </w:rPr>
      </w:pPr>
      <w:bookmarkStart w:id="101" w:name="_Toc485137230"/>
      <w:r w:rsidRPr="00EE4D50">
        <w:rPr>
          <w:rFonts w:ascii="Verdana" w:hAnsi="Verdana" w:cs="Times New Roman"/>
          <w:i/>
          <w:color w:val="auto"/>
          <w:sz w:val="28"/>
          <w:szCs w:val="32"/>
        </w:rPr>
        <w:t>Industria automotriz en Colombia</w:t>
      </w:r>
      <w:bookmarkEnd w:id="101"/>
    </w:p>
    <w:p w:rsidR="009E610C" w:rsidRPr="00EE4D50" w:rsidRDefault="009E610C" w:rsidP="00EC63DA">
      <w:pPr>
        <w:spacing w:after="60"/>
        <w:jc w:val="both"/>
        <w:rPr>
          <w:rFonts w:ascii="Verdana" w:hAnsi="Verdana" w:cs="Times New Roman"/>
          <w:lang w:val="es-US"/>
        </w:rPr>
      </w:pPr>
    </w:p>
    <w:p w:rsidR="00BB07EF" w:rsidRPr="00EE4D50" w:rsidRDefault="00BB07EF" w:rsidP="00EC63DA">
      <w:pPr>
        <w:spacing w:after="60"/>
        <w:jc w:val="both"/>
        <w:rPr>
          <w:rFonts w:ascii="Verdana" w:hAnsi="Verdana" w:cs="Times New Roman"/>
        </w:rPr>
      </w:pPr>
      <w:r w:rsidRPr="00EE4D50">
        <w:rPr>
          <w:rFonts w:ascii="Verdana" w:hAnsi="Verdana" w:cs="Times New Roman"/>
        </w:rPr>
        <w:t>Para Andrade (2014: 48-49) Colombia se destaca en la elaboración y el ensamble de automóviles, camiones, buses y autopartes, los cuales abastecen el mercado regional y local. La producción nacional de Colombia viene creciendo en  un 6.1% anual mientras que la demanda interna de vehíc</w:t>
      </w:r>
      <w:r w:rsidR="00337B4C">
        <w:rPr>
          <w:rFonts w:ascii="Verdana" w:hAnsi="Verdana" w:cs="Times New Roman"/>
        </w:rPr>
        <w:t>ulos y autopartes está en un 12</w:t>
      </w:r>
      <w:r w:rsidRPr="00EE4D50">
        <w:rPr>
          <w:rFonts w:ascii="Verdana" w:hAnsi="Verdana" w:cs="Times New Roman"/>
        </w:rPr>
        <w:t>% para el 2016, el faltante de la demanda se está supliendo con autos y pi</w:t>
      </w:r>
      <w:r w:rsidR="00BE157D">
        <w:rPr>
          <w:rFonts w:ascii="Verdana" w:hAnsi="Verdana" w:cs="Times New Roman"/>
        </w:rPr>
        <w:t>ezas importadas (El Tiempo, 2016</w:t>
      </w:r>
      <w:r w:rsidRPr="00EE4D50">
        <w:rPr>
          <w:rFonts w:ascii="Verdana" w:hAnsi="Verdana" w:cs="Times New Roman"/>
        </w:rPr>
        <w:t>).</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lastRenderedPageBreak/>
        <w:t xml:space="preserve">El mercado colombiano ha tenido una desaceleración durante los últimos años específicamente de un 7.9% respecto al año anterior, hoy en día el parque automotor colombiano cuenta con una disposición de 5,470,490 vehículos lo que refleja una valoración del Producto Interno Bruto del 4.6%, asimismo la industria colombiana sostienen una producción actual de 69,000 millones de unidades para el mercado de fabricación de vehículos livianos, medianos y pesados, paralelo a 314,100 millones de unidades vendidas para el año 2015 </w:t>
      </w:r>
      <w:r w:rsidR="00BE157D" w:rsidRPr="00EE4D50">
        <w:rPr>
          <w:rFonts w:ascii="Verdana" w:hAnsi="Verdana" w:cs="Times New Roman"/>
        </w:rPr>
        <w:t>(</w:t>
      </w:r>
      <w:r w:rsidRPr="00EE4D50">
        <w:rPr>
          <w:rFonts w:ascii="Verdana" w:hAnsi="Verdana" w:cs="Times New Roman"/>
        </w:rPr>
        <w:t>ANAC</w:t>
      </w:r>
      <w:r w:rsidR="00BE157D">
        <w:rPr>
          <w:rFonts w:ascii="Verdana" w:hAnsi="Verdana" w:cs="Times New Roman"/>
        </w:rPr>
        <w:t>,</w:t>
      </w:r>
      <w:r w:rsidRPr="00EE4D50">
        <w:rPr>
          <w:rFonts w:ascii="Verdana" w:hAnsi="Verdana" w:cs="Times New Roman"/>
        </w:rPr>
        <w:t xml:space="preserve"> 2016:</w:t>
      </w:r>
      <w:r w:rsidR="00BE157D">
        <w:rPr>
          <w:rFonts w:ascii="Verdana" w:hAnsi="Verdana" w:cs="Times New Roman"/>
        </w:rPr>
        <w:t xml:space="preserve"> 30).</w:t>
      </w:r>
    </w:p>
    <w:p w:rsidR="008B3E6C" w:rsidRPr="00EE4D50" w:rsidRDefault="008B3E6C" w:rsidP="00EC63DA">
      <w:pPr>
        <w:spacing w:after="60"/>
        <w:jc w:val="both"/>
        <w:rPr>
          <w:rFonts w:ascii="Verdana" w:hAnsi="Verdana" w:cs="Times New Roman"/>
        </w:rPr>
      </w:pPr>
    </w:p>
    <w:p w:rsidR="00BB07EF" w:rsidRPr="00EE4D50" w:rsidRDefault="00337B4C" w:rsidP="00EC63DA">
      <w:pPr>
        <w:spacing w:after="60"/>
        <w:jc w:val="both"/>
        <w:rPr>
          <w:rFonts w:ascii="Verdana" w:hAnsi="Verdana" w:cs="Times New Roman"/>
        </w:rPr>
      </w:pPr>
      <w:r w:rsidRPr="00EE4D50">
        <w:rPr>
          <w:rFonts w:ascii="Verdana" w:hAnsi="Verdana" w:cs="Times New Roman"/>
        </w:rPr>
        <w:t>Asimismo</w:t>
      </w:r>
      <w:r w:rsidR="00BE157D">
        <w:rPr>
          <w:rFonts w:ascii="Verdana" w:hAnsi="Verdana" w:cs="Times New Roman"/>
        </w:rPr>
        <w:t>,</w:t>
      </w:r>
      <w:r w:rsidRPr="00EE4D50">
        <w:rPr>
          <w:rFonts w:ascii="Verdana" w:hAnsi="Verdana" w:cs="Times New Roman"/>
        </w:rPr>
        <w:t xml:space="preserve"> la participación del mercado Colombiano p</w:t>
      </w:r>
      <w:r>
        <w:rPr>
          <w:rFonts w:ascii="Verdana" w:hAnsi="Verdana" w:cs="Times New Roman"/>
        </w:rPr>
        <w:t>or marcas se encuentra repartida</w:t>
      </w:r>
      <w:r w:rsidRPr="00EE4D50">
        <w:rPr>
          <w:rFonts w:ascii="Verdana" w:hAnsi="Verdana" w:cs="Times New Roman"/>
        </w:rPr>
        <w:t xml:space="preserve"> por tres empresas dominantes. </w:t>
      </w:r>
      <w:r w:rsidR="00BB07EF" w:rsidRPr="00EE4D50">
        <w:rPr>
          <w:rFonts w:ascii="Verdana" w:hAnsi="Verdana" w:cs="Times New Roman"/>
        </w:rPr>
        <w:t>En primer lugar se encuentra Chevrolet con el 25.11% de la comercialización total, seguido de Renault con un 15.53%, y por ultimo de Hyundai con un 6.63% del total para el año 2016 de acuerdo a ANAC (2016:33-34). En cuanto a la línea de buses de pasajeros, como indica Andrade (2014: 49), hay tres importantes ensambladoras en la industria colombiana, en primer lugar esta Busscar (BusscarÔnibus S.A.), seguido de Superpolo (Marcopolo) y por último de Daimler Chrysler, de acuerdo a Andrade (2016:50) estas compañías lideran la producción de buses articulados, intermunicipales y padrones, cuya producción sirve para los sistemas de transporte masivo en Colombia.</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De acuerdo a datos obtenidos de la revista Portafolio (2016: 2) mediante un informe del centro virtual de negocios, en el primer trimestre del 2015, las compras externa de autopartes para Colombia se incrementaron 18%. De la misma manera se describe que las mayores importaciones las hicieron las ensambladoras nacionales, que aumentaron 40% sus compras en el exterior, mientras que los autopartistas independientes aumentaron sus compras extrajeras 25%.</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mercado de importaciones de autopartes de Colombia está liderado por llantas, que representan el 42% del mercado total, con compras por 131 millones de dólares en el primer trimestre del 2015, las cuales provienen principalmente de China, Corea y el Mercosur. Por otro lado las partes para motores son otros de los productos que más se importaron en el primer cuarto del mismo año, con el 13% de participación, seguido de rodamientos de bolas 9%, sistemas de dirección y transmisiones 6%, accesorios de carrocería 4%, entre otros. Mientras tanto, las importaciones de embragues y sus partes, que fueron de 8 millones de dólares, registraron uno de los más altos crecimientos, 45%, en relación con la cifra registrada en el primer trimestre de 2014. Igualmente, las importaciones de ruedas y sus partes tuvieron una variación positiva del 24% en el mismo periodo, según datos de la revista Portafolio (2016:</w:t>
      </w:r>
      <w:r w:rsidR="00BE157D">
        <w:rPr>
          <w:rFonts w:ascii="Verdana" w:hAnsi="Verdana" w:cs="Times New Roman"/>
        </w:rPr>
        <w:t xml:space="preserve"> </w:t>
      </w:r>
      <w:r w:rsidRPr="00EE4D50">
        <w:rPr>
          <w:rFonts w:ascii="Verdana" w:hAnsi="Verdana" w:cs="Times New Roman"/>
        </w:rPr>
        <w:t>2).</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En conclusión de acuerdo a Andrade (2016: 52) el sector automotriz colombiano debería reflexionar sobre la realidad de su industria automotriz, la cual que </w:t>
      </w:r>
      <w:r w:rsidRPr="00EE4D50">
        <w:rPr>
          <w:rFonts w:ascii="Verdana" w:hAnsi="Verdana" w:cs="Times New Roman"/>
        </w:rPr>
        <w:lastRenderedPageBreak/>
        <w:t>requeriría una revisión de aspectos proteccionistas creciente y prolongado, con la consecuente baja incorporación del contenido nacional. Finalmente Andrade añade que si bien los tratados de libre comercio entablados con Estados Unidos y Europa pueden llegar a ser beneficiosos, debe considerarse una reestructuración de los plazos, ya que como explica Colombia mantiene una relación sensible respecto al sector automotriz, razón por la cual dicho país deberá apuntar a acuerdos en el mediano y corto plazo para</w:t>
      </w:r>
      <w:r w:rsidR="00056722" w:rsidRPr="00EE4D50">
        <w:rPr>
          <w:rFonts w:ascii="Verdana" w:hAnsi="Verdana" w:cs="Times New Roman"/>
        </w:rPr>
        <w:t xml:space="preserve"> el desarrollo de la industria.</w:t>
      </w:r>
    </w:p>
    <w:p w:rsidR="008B3E6C" w:rsidRPr="00EE4D50" w:rsidRDefault="008B3E6C" w:rsidP="00EC63DA">
      <w:pPr>
        <w:spacing w:after="60"/>
        <w:jc w:val="both"/>
        <w:rPr>
          <w:rFonts w:ascii="Verdana" w:hAnsi="Verdana" w:cs="Times New Roman"/>
        </w:rPr>
      </w:pPr>
    </w:p>
    <w:p w:rsidR="00056722" w:rsidRPr="00EE4D50" w:rsidRDefault="00056722" w:rsidP="00EC63DA">
      <w:pPr>
        <w:pStyle w:val="Ttulo2"/>
        <w:rPr>
          <w:rFonts w:cs="Times New Roman"/>
        </w:rPr>
      </w:pPr>
      <w:bookmarkStart w:id="102" w:name="_Toc485137231"/>
      <w:r w:rsidRPr="00EE4D50">
        <w:rPr>
          <w:rFonts w:cs="Times New Roman"/>
        </w:rPr>
        <w:t>Medidas que afectan al sector</w:t>
      </w:r>
      <w:bookmarkEnd w:id="102"/>
    </w:p>
    <w:p w:rsidR="008B3E6C" w:rsidRPr="00EE4D50" w:rsidRDefault="008B3E6C" w:rsidP="00EC63DA">
      <w:pPr>
        <w:spacing w:after="60"/>
        <w:jc w:val="both"/>
        <w:rPr>
          <w:rFonts w:ascii="Verdana" w:hAnsi="Verdana" w:cs="Times New Roman"/>
          <w:lang w:val="es-MX"/>
        </w:rPr>
      </w:pPr>
    </w:p>
    <w:p w:rsidR="00BB07EF" w:rsidRPr="00EE4D50" w:rsidRDefault="00056722" w:rsidP="00EC63DA">
      <w:pPr>
        <w:spacing w:after="60"/>
        <w:jc w:val="both"/>
        <w:rPr>
          <w:rFonts w:ascii="Verdana" w:hAnsi="Verdana" w:cs="Times New Roman"/>
        </w:rPr>
      </w:pPr>
      <w:r w:rsidRPr="00EE4D50">
        <w:rPr>
          <w:rFonts w:ascii="Verdana" w:hAnsi="Verdana" w:cs="Times New Roman"/>
        </w:rPr>
        <w:t>Las p</w:t>
      </w:r>
      <w:r w:rsidR="00BB07EF" w:rsidRPr="00EE4D50">
        <w:rPr>
          <w:rFonts w:ascii="Verdana" w:hAnsi="Verdana" w:cs="Times New Roman"/>
        </w:rPr>
        <w:t>rincipales  medidas gubernamentales  que afectaron al</w:t>
      </w:r>
      <w:r w:rsidRPr="00EE4D50">
        <w:rPr>
          <w:rFonts w:ascii="Verdana" w:hAnsi="Verdana" w:cs="Times New Roman"/>
        </w:rPr>
        <w:t xml:space="preserve"> sector automotriz del Ecuador en el p</w:t>
      </w:r>
      <w:r w:rsidR="00BB07EF" w:rsidRPr="00EE4D50">
        <w:rPr>
          <w:rFonts w:ascii="Verdana" w:hAnsi="Verdana" w:cs="Times New Roman"/>
        </w:rPr>
        <w:t>eriodo 2011-2015</w:t>
      </w:r>
      <w:r w:rsidRPr="00EE4D50">
        <w:rPr>
          <w:rFonts w:ascii="Verdana" w:hAnsi="Verdana" w:cs="Times New Roman"/>
        </w:rPr>
        <w:t>:</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Comité de Comercio Exterior (COMEX) es “el organismo que aprueba las políticas públicas nacionales en materia de política comercial, es un cuerpo colegiado de carácter intersectorial público, encargado de la regulación de todos los asuntos y procesos vinculados a esta materia” (Ministerio de Comercio Exterior, 2016). Esta entidad aglomera a instituciones públicas con derecho a voto tales como: Ministerio de Comercio Exterior, Ministerio de Agricultura, Ganadería, Acuacultura y Pesca, Ministerio de Industrias y Productividad, Ministerio de Economía y Finanzas y Secretaria Nacional de Planificación y Desarrollo.</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 lista de las resoluciones anuales del COMEX, que a continuación se detallarán, se encuentra disponible en la página web del Ministerio de Comercio Exterior (2016).</w:t>
      </w:r>
    </w:p>
    <w:p w:rsidR="008B3E6C" w:rsidRPr="00EE4D50" w:rsidRDefault="008B3E6C" w:rsidP="00EC63DA">
      <w:pPr>
        <w:spacing w:after="60"/>
        <w:jc w:val="both"/>
        <w:rPr>
          <w:rFonts w:ascii="Verdana" w:hAnsi="Verdana" w:cs="Times New Roman"/>
        </w:rPr>
      </w:pPr>
    </w:p>
    <w:p w:rsidR="008B3E6C" w:rsidRPr="00EE4D50" w:rsidRDefault="00BB07EF" w:rsidP="00EC63DA">
      <w:pPr>
        <w:spacing w:after="60"/>
        <w:jc w:val="both"/>
        <w:rPr>
          <w:rFonts w:ascii="Verdana" w:hAnsi="Verdana" w:cs="Times New Roman"/>
        </w:rPr>
      </w:pPr>
      <w:r w:rsidRPr="00EE4D50">
        <w:rPr>
          <w:rFonts w:ascii="Verdana" w:hAnsi="Verdana" w:cs="Times New Roman"/>
        </w:rPr>
        <w:t>En materia de reformas tributarias y emisión de leyes, la Asamblea</w:t>
      </w:r>
      <w:r w:rsidR="00056722" w:rsidRPr="00EE4D50">
        <w:rPr>
          <w:rFonts w:ascii="Verdana" w:hAnsi="Verdana" w:cs="Times New Roman"/>
        </w:rPr>
        <w:t xml:space="preserve"> Nacional es quien las aprueba.</w:t>
      </w:r>
    </w:p>
    <w:p w:rsidR="008B3E6C" w:rsidRPr="00EE4D50" w:rsidRDefault="008B3E6C" w:rsidP="00EC63DA">
      <w:pPr>
        <w:spacing w:after="60"/>
        <w:jc w:val="both"/>
        <w:rPr>
          <w:rFonts w:ascii="Verdana" w:hAnsi="Verdana" w:cs="Times New Roman"/>
        </w:rPr>
      </w:pPr>
    </w:p>
    <w:p w:rsidR="00BB07EF" w:rsidRPr="00EE4D50" w:rsidRDefault="00BB07EF" w:rsidP="00EC63DA">
      <w:pPr>
        <w:pStyle w:val="Ttulo3"/>
        <w:rPr>
          <w:rFonts w:ascii="Verdana" w:hAnsi="Verdana" w:cs="Times New Roman"/>
          <w:i/>
          <w:color w:val="auto"/>
          <w:sz w:val="28"/>
        </w:rPr>
      </w:pPr>
      <w:bookmarkStart w:id="103" w:name="_Toc485137232"/>
      <w:r w:rsidRPr="00EE4D50">
        <w:rPr>
          <w:rFonts w:ascii="Verdana" w:hAnsi="Verdana" w:cs="Times New Roman"/>
          <w:i/>
          <w:color w:val="auto"/>
          <w:sz w:val="28"/>
        </w:rPr>
        <w:t>Año 2011</w:t>
      </w:r>
      <w:bookmarkEnd w:id="103"/>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2 de Agosto el COMEX emitió la resolución No. 17, la cual estipuló un sistema de licencias de importación para 51 subpartidas arancelarias entre los cuales constan los vehículos armados y CKD. En el artículo 6 se especifica a la licencia de importación, la cual es un “documento de acompañamiento a la declaración aduanera, por tanto deberá tramitarse y obtenerse previo al embarque de la mercancía en el exterior y por cada embarque” (Ministerio de Comercio Exterior, 2016).</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lastRenderedPageBreak/>
        <w:t>Ante esta resolución, la AEADE (2011</w:t>
      </w:r>
      <w:r w:rsidR="00BE157D">
        <w:rPr>
          <w:rFonts w:ascii="Verdana" w:hAnsi="Verdana" w:cs="Times New Roman"/>
        </w:rPr>
        <w:t>: 6</w:t>
      </w:r>
      <w:r w:rsidRPr="00EE4D50">
        <w:rPr>
          <w:rFonts w:ascii="Verdana" w:hAnsi="Verdana" w:cs="Times New Roman"/>
        </w:rPr>
        <w:t>) manifestó su inconformidad al decir que se implementó una “ilegal medida que trasgrede los convenios internacionales y afecta al normal desenvolvimiento del sector automotor. La emisión de licencias se ha realizado de forma discrecional y poco transparente”.  Además, argumentó que dichas licencias tuvieron el oculto objetivo de restringir en 20% las importaciones de vehículos con respecto al 2010, ante la preocupación del déficit de la balanza comercial del país que ascendió a USD 1.978,9 millones en el año 2010.</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El 2 de Agosto el COMEX emitió la resolución No. 18 con el objetivo de imponer aranceles escalonados para la importación de CKD de vehículos declarados a consumo, en los segmentos de automóviles y camionetas. El arancel se </w:t>
      </w:r>
      <w:r w:rsidR="00337B4C" w:rsidRPr="00EE4D50">
        <w:rPr>
          <w:rFonts w:ascii="Verdana" w:hAnsi="Verdana" w:cs="Times New Roman"/>
        </w:rPr>
        <w:t>aplicó de</w:t>
      </w:r>
      <w:r w:rsidRPr="00EE4D50">
        <w:rPr>
          <w:rFonts w:ascii="Verdana" w:hAnsi="Verdana" w:cs="Times New Roman"/>
        </w:rPr>
        <w:t xml:space="preserve"> manera escalonada y progresiva según el cilindraje del vehículo. También se incluyeron descuentos al arancel en función de la incorporación de partes nacionales al bien final (Ministerio de Comercio Exterior, 2016).</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24 de noviembre entró en vigencia la novena reforma tributaria que incrementó el Impuesto a la Salida de Divisas del 2% al 5%. Esta reforma causó polémica porque no se la aprobó en la Asamblea Nacional, sino que se llevó a cabo a través del Ministerio de la Ley.</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En esta reforma se incluyó a la Ley de fomento ambiental y optimización de los ingresos del Estado, introduciéndose un “impuesto verde a la contaminación vehicular”  a los vehículos con un motor de cilindraje mayor a 1.500 centímetros cúbicos. Mientras que los autos de menor valor pagaron USD 30 al año de acuerdo y los autos de lujo, de alto cilindraje en promedio USD 5.000 anuales. El recargo se canceló junto al pago de la matrícula (Ecuadorinmediato, 2012).</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Según AEADE (2011</w:t>
      </w:r>
      <w:r w:rsidR="00BE157D">
        <w:rPr>
          <w:rFonts w:ascii="Verdana" w:hAnsi="Verdana" w:cs="Times New Roman"/>
        </w:rPr>
        <w:t>: 6</w:t>
      </w:r>
      <w:r w:rsidRPr="00EE4D50">
        <w:rPr>
          <w:rFonts w:ascii="Verdana" w:hAnsi="Verdana" w:cs="Times New Roman"/>
        </w:rPr>
        <w:t>), esto generó un efecto inflacionario en la economía y obligó a los importadores de vehículos a ajustar los niveles de precios. Además, estas medidas provocaron variaciones en el mercado automotor incrementando precios y desplazamiento de la demanda hacia vehículos básicos y menos equipados.</w:t>
      </w:r>
    </w:p>
    <w:p w:rsidR="008B3E6C" w:rsidRPr="00EE4D50" w:rsidRDefault="008B3E6C" w:rsidP="00EC63DA">
      <w:pPr>
        <w:spacing w:after="60"/>
        <w:jc w:val="both"/>
        <w:rPr>
          <w:rFonts w:ascii="Verdana" w:hAnsi="Verdana" w:cs="Times New Roman"/>
        </w:rPr>
      </w:pPr>
    </w:p>
    <w:p w:rsidR="00056722" w:rsidRPr="00EE4D50" w:rsidRDefault="00BB07EF" w:rsidP="00EC63DA">
      <w:pPr>
        <w:pStyle w:val="Ttulo3"/>
        <w:rPr>
          <w:rFonts w:ascii="Verdana" w:hAnsi="Verdana" w:cs="Times New Roman"/>
          <w:i/>
          <w:color w:val="auto"/>
          <w:sz w:val="28"/>
        </w:rPr>
      </w:pPr>
      <w:bookmarkStart w:id="104" w:name="_Toc485137233"/>
      <w:r w:rsidRPr="00EE4D50">
        <w:rPr>
          <w:rFonts w:ascii="Verdana" w:hAnsi="Verdana" w:cs="Times New Roman"/>
          <w:i/>
          <w:color w:val="auto"/>
          <w:sz w:val="28"/>
        </w:rPr>
        <w:t>Año 2012</w:t>
      </w:r>
      <w:bookmarkEnd w:id="104"/>
    </w:p>
    <w:p w:rsidR="008B3E6C" w:rsidRPr="00EE4D50" w:rsidRDefault="008B3E6C" w:rsidP="00EC63DA">
      <w:pPr>
        <w:spacing w:after="60"/>
        <w:jc w:val="both"/>
        <w:rPr>
          <w:rFonts w:ascii="Verdana" w:hAnsi="Verdana" w:cs="Times New Roman"/>
        </w:rPr>
      </w:pPr>
    </w:p>
    <w:p w:rsidR="00BB07EF" w:rsidRPr="00EE4D50" w:rsidRDefault="00337B4C" w:rsidP="00EC63DA">
      <w:pPr>
        <w:spacing w:after="60"/>
        <w:jc w:val="both"/>
        <w:rPr>
          <w:rFonts w:ascii="Verdana" w:hAnsi="Verdana" w:cs="Times New Roman"/>
        </w:rPr>
      </w:pPr>
      <w:r w:rsidRPr="00EE4D50">
        <w:rPr>
          <w:rFonts w:ascii="Verdana" w:hAnsi="Verdana" w:cs="Times New Roman"/>
        </w:rPr>
        <w:t>El 15 de junio se estableció una restricción cuantitativa anual para la importación de vehículos armados mediante resolución COMEX No. 66, la cual</w:t>
      </w:r>
      <w:r>
        <w:rPr>
          <w:rFonts w:ascii="Verdana" w:hAnsi="Verdana" w:cs="Times New Roman"/>
        </w:rPr>
        <w:t xml:space="preserve"> </w:t>
      </w:r>
      <w:r w:rsidRPr="00EE4D50">
        <w:rPr>
          <w:rFonts w:ascii="Verdana" w:hAnsi="Verdana" w:cs="Times New Roman"/>
        </w:rPr>
        <w:t>estableció</w:t>
      </w:r>
      <w:r>
        <w:rPr>
          <w:rFonts w:ascii="Verdana" w:hAnsi="Verdana" w:cs="Times New Roman"/>
        </w:rPr>
        <w:t xml:space="preserve"> </w:t>
      </w:r>
      <w:r w:rsidRPr="00EE4D50">
        <w:rPr>
          <w:rFonts w:ascii="Verdana" w:hAnsi="Verdana" w:cs="Times New Roman"/>
        </w:rPr>
        <w:t>que “la restricción cuantitativa está fijada por unidades de vehículos y por valor hasta el 31 de diciembre de 2014” (Ministerio de Comercio Exterior, 2016).</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lastRenderedPageBreak/>
        <w:t>La AEADE (2012</w:t>
      </w:r>
      <w:r w:rsidR="005455AF">
        <w:rPr>
          <w:rFonts w:ascii="Verdana" w:hAnsi="Verdana" w:cs="Times New Roman"/>
        </w:rPr>
        <w:t>: 8</w:t>
      </w:r>
      <w:r w:rsidRPr="00EE4D50">
        <w:rPr>
          <w:rFonts w:ascii="Verdana" w:hAnsi="Verdana" w:cs="Times New Roman"/>
        </w:rPr>
        <w:t xml:space="preserve">) reportó que la resolución 66 asignó cupos a los importadores considerando los montos, en dólares FOB y en unidades, importados en el año 2010con una reducción del 30%. Las subpartidas aplicadas fueron los automóviles, camionetas, </w:t>
      </w:r>
      <w:r w:rsidR="00925F85" w:rsidRPr="00EE4D50">
        <w:rPr>
          <w:rFonts w:ascii="Verdana" w:hAnsi="Verdana" w:cs="Times New Roman"/>
        </w:rPr>
        <w:t>suv’</w:t>
      </w:r>
      <w:r w:rsidRPr="00EE4D50">
        <w:rPr>
          <w:rFonts w:ascii="Verdana" w:hAnsi="Verdana" w:cs="Times New Roman"/>
        </w:rPr>
        <w:t xml:space="preserve">s  y mini </w:t>
      </w:r>
      <w:r w:rsidR="00925F85" w:rsidRPr="00EE4D50">
        <w:rPr>
          <w:rFonts w:ascii="Verdana" w:hAnsi="Verdana" w:cs="Times New Roman"/>
        </w:rPr>
        <w:t>v</w:t>
      </w:r>
      <w:r w:rsidRPr="00EE4D50">
        <w:rPr>
          <w:rFonts w:ascii="Verdana" w:hAnsi="Verdana" w:cs="Times New Roman"/>
        </w:rPr>
        <w:t>an´s. Ante esta imposición dijo que “se instrumentó el tercer cambio gubernamental en menos de nueve meses”.</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26 de junio la Ley para la regulación de los créditos de vivienda y vehículos entró en vigencia, la cual regula el crédito para comprar un único vehículo de uso personal o familiar por parte de personas naturales bajo las siguientes condiciones: “1) el monto inicial del crédito no exceda a cien salarios básicos unificados para los trabajadores privados; y 2) que se constituya prenda en garantía del crédito concedido o se pacte reserva de dominio sobre el vehículo</w:t>
      </w:r>
      <w:r w:rsidRPr="00EE4D50">
        <w:rPr>
          <w:rStyle w:val="Refdenotaalpie"/>
          <w:rFonts w:ascii="Verdana" w:hAnsi="Verdana" w:cs="Times New Roman"/>
        </w:rPr>
        <w:footnoteReference w:id="18"/>
      </w:r>
      <w:r w:rsidRPr="00EE4D50">
        <w:rPr>
          <w:rFonts w:ascii="Verdana" w:hAnsi="Verdana" w:cs="Times New Roman"/>
        </w:rPr>
        <w:t>” (Asamblea Nacional, 2012).</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Según la AEADE (2012</w:t>
      </w:r>
      <w:r w:rsidR="005455AF">
        <w:rPr>
          <w:rFonts w:ascii="Verdana" w:hAnsi="Verdana" w:cs="Times New Roman"/>
        </w:rPr>
        <w:t>: 8</w:t>
      </w:r>
      <w:r w:rsidRPr="00EE4D50">
        <w:rPr>
          <w:rFonts w:ascii="Verdana" w:hAnsi="Verdana" w:cs="Times New Roman"/>
        </w:rPr>
        <w:t>) la ley ampara a los créditos de hasta USD 29.200. Además, argumenta que provocó inconvenientes en el financiamiento de vehículos, ya que ha “limitando la posibilidad de los consumidores de acceder a un crédito, puesto que las instituciones financieras a partir del segundo semestre del año aplican políticas más estrictas para la calificación de los sujetos de crédito”.</w:t>
      </w:r>
    </w:p>
    <w:p w:rsidR="00BB07EF" w:rsidRPr="00EE4D50" w:rsidRDefault="00BB07EF" w:rsidP="00EC63DA">
      <w:pPr>
        <w:spacing w:after="60"/>
        <w:jc w:val="both"/>
        <w:rPr>
          <w:rFonts w:ascii="Verdana" w:hAnsi="Verdana" w:cs="Times New Roman"/>
        </w:rPr>
      </w:pPr>
    </w:p>
    <w:p w:rsidR="00BB07EF" w:rsidRPr="00EE4D50" w:rsidRDefault="00BB07EF" w:rsidP="00EC63DA">
      <w:pPr>
        <w:pStyle w:val="Ttulo3"/>
        <w:rPr>
          <w:rFonts w:ascii="Verdana" w:hAnsi="Verdana" w:cs="Times New Roman"/>
          <w:i/>
          <w:color w:val="auto"/>
          <w:sz w:val="28"/>
        </w:rPr>
      </w:pPr>
      <w:bookmarkStart w:id="105" w:name="_Toc485137234"/>
      <w:r w:rsidRPr="00EE4D50">
        <w:rPr>
          <w:rFonts w:ascii="Verdana" w:hAnsi="Verdana" w:cs="Times New Roman"/>
          <w:i/>
          <w:color w:val="auto"/>
          <w:sz w:val="28"/>
        </w:rPr>
        <w:t>Año 2013</w:t>
      </w:r>
      <w:bookmarkEnd w:id="105"/>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En mayo se dio una modificatoria al RTE INEN 034 (Doble airbag frontal) mediante resolución de la Subsecretaría de la Calidad del MIPRO, en al cual se aplicó una cambio para adelantar la entrada en vigencia de la obligatoriedad de que los vehículos livianos cuenten con doble airbag frontal de año modelo 2014; y exigió que todos los vehículos de año modelo 2013 embarcados a partir del 15 junio las incorporen. La AEADE dijo que era imposible llevar a cabo esos cambios en tan poco tiempo (semanas). Ante esto, el MIPRO “permitió la nacionalización de unidades de año modelo 2013 sin doble airbag frontal luego del 15 de junio, siempre y cuando las empresas demuestren que las órdenes fueron colocadas en fábrica antes de la vigencia de la medida” (AEADE, 2013</w:t>
      </w:r>
      <w:r w:rsidR="005455AF">
        <w:rPr>
          <w:rFonts w:ascii="Verdana" w:hAnsi="Verdana" w:cs="Times New Roman"/>
        </w:rPr>
        <w:t>: 13</w:t>
      </w:r>
      <w:r w:rsidRPr="00EE4D50">
        <w:rPr>
          <w:rFonts w:ascii="Verdana" w:hAnsi="Verdana" w:cs="Times New Roman"/>
        </w:rPr>
        <w:t>).</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Durante este año permaneció la restricción cuantitativa a la importación de vehículos livianos con los cupos impuestos por la resolución No. 101 del COMEX, la cual resolvió derogar el artículo 7 de la resolución No. 77 que estipulaba que la cantidad de los vehículos serían considerados para reasignación de cupos para el </w:t>
      </w:r>
      <w:r w:rsidRPr="00EE4D50">
        <w:rPr>
          <w:rFonts w:ascii="Verdana" w:hAnsi="Verdana" w:cs="Times New Roman"/>
        </w:rPr>
        <w:lastRenderedPageBreak/>
        <w:t>año 2013. Es decir, se ratificó las cuotas asignadas en la resolución No. 66 hasta el 31 de diciembre del 2014.</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En septiembre el directorio de la ANT emitió la resolución 123, la cual es un instructivo para la comercialización de vehículos nuevos que deben ser matriculados por parte de las concesionarias. Ante esto la AEADE solicitó que se reconsidere la obligación de que los gestores del trámite de matriculación vehicular tengan relación de dependencia con las concesionarias; y que no se puede exigir la entrega de placas si no hay la provisión oportuna y a nivel nacional. También argumentó que existe un vacío legal al imponer sanciones a través de una resolución y no con una ley (AEADE, 2013</w:t>
      </w:r>
      <w:r w:rsidR="005455AF">
        <w:rPr>
          <w:rFonts w:ascii="Verdana" w:hAnsi="Verdana" w:cs="Times New Roman"/>
        </w:rPr>
        <w:t>: 13</w:t>
      </w:r>
      <w:r w:rsidRPr="00EE4D50">
        <w:rPr>
          <w:rFonts w:ascii="Verdana" w:hAnsi="Verdana" w:cs="Times New Roman"/>
        </w:rPr>
        <w:t>).</w:t>
      </w:r>
    </w:p>
    <w:p w:rsidR="00BB07EF" w:rsidRPr="00EE4D50" w:rsidRDefault="00BB07EF" w:rsidP="00EC63DA">
      <w:pPr>
        <w:spacing w:after="60"/>
        <w:jc w:val="both"/>
        <w:rPr>
          <w:rFonts w:ascii="Verdana" w:hAnsi="Verdana" w:cs="Times New Roman"/>
          <w:b/>
        </w:rPr>
      </w:pPr>
    </w:p>
    <w:p w:rsidR="00BB07EF" w:rsidRPr="00EE4D50" w:rsidRDefault="00BB07EF" w:rsidP="00EC63DA">
      <w:pPr>
        <w:pStyle w:val="Ttulo3"/>
        <w:rPr>
          <w:rFonts w:ascii="Verdana" w:hAnsi="Verdana" w:cs="Times New Roman"/>
          <w:i/>
          <w:color w:val="auto"/>
          <w:sz w:val="28"/>
        </w:rPr>
      </w:pPr>
      <w:bookmarkStart w:id="106" w:name="_Toc485137235"/>
      <w:r w:rsidRPr="00EE4D50">
        <w:rPr>
          <w:rFonts w:ascii="Verdana" w:hAnsi="Verdana" w:cs="Times New Roman"/>
          <w:i/>
          <w:color w:val="auto"/>
          <w:sz w:val="28"/>
        </w:rPr>
        <w:t>Año 2014</w:t>
      </w:r>
      <w:bookmarkEnd w:id="106"/>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6 de octubre se dio la tercera revisión del reglamento RTE 034 elementos de seguridad en vehículos automotores. En respuesta a esto, la AEADE hizo talleres para revisar las normativas y las dificultades de aplicación en relación a plazos y equivalencias; y “sobre todo para esclarecer y definir de forma adecuada el proceso de homologación” (AEADE, 2014</w:t>
      </w:r>
      <w:r w:rsidR="005455AF">
        <w:rPr>
          <w:rFonts w:ascii="Verdana" w:hAnsi="Verdana" w:cs="Times New Roman"/>
        </w:rPr>
        <w:t>: 12</w:t>
      </w:r>
      <w:r w:rsidRPr="00EE4D50">
        <w:rPr>
          <w:rFonts w:ascii="Verdana" w:hAnsi="Verdana" w:cs="Times New Roman"/>
        </w:rPr>
        <w:t>).</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A finales del año se reformó a la Ley de régimen tributario. Esta ley establecía el cálculo de la base imponible del ICE en el caso de importación de vehículos mediante el precio ex aduana incrementado 25% de margen mínimo presuntivo de comercialización. En el artículo 76 sobre la base imponible de bienes importados se modificó la metodología de cálculo del ICE para vehículos al incluir en precio ex aduana costos y gastos de distribución y comercialización. En respuesta la AEADE propuso cambios, uno de los más importantes fue hacerle entender al SRI que los costos y gastos de comercialización ya están incluidos en el margen del 25% (AEADE, 2015</w:t>
      </w:r>
      <w:r w:rsidR="005455AF">
        <w:rPr>
          <w:rFonts w:ascii="Verdana" w:hAnsi="Verdana" w:cs="Times New Roman"/>
        </w:rPr>
        <w:t>: 64-66</w:t>
      </w:r>
      <w:r w:rsidRPr="00EE4D50">
        <w:rPr>
          <w:rFonts w:ascii="Verdana" w:hAnsi="Verdana" w:cs="Times New Roman"/>
        </w:rPr>
        <w:t>).</w:t>
      </w:r>
    </w:p>
    <w:p w:rsidR="00BB07EF" w:rsidRPr="00EE4D50" w:rsidRDefault="00BB07EF" w:rsidP="00EC63DA">
      <w:pPr>
        <w:spacing w:after="60"/>
        <w:jc w:val="both"/>
        <w:rPr>
          <w:rFonts w:ascii="Verdana" w:hAnsi="Verdana" w:cs="Times New Roman"/>
        </w:rPr>
      </w:pPr>
    </w:p>
    <w:p w:rsidR="00BB07EF" w:rsidRPr="00EE4D50" w:rsidRDefault="00BB07EF" w:rsidP="00EC63DA">
      <w:pPr>
        <w:pStyle w:val="Ttulo3"/>
        <w:rPr>
          <w:rFonts w:ascii="Verdana" w:hAnsi="Verdana" w:cs="Times New Roman"/>
          <w:i/>
          <w:color w:val="auto"/>
          <w:sz w:val="28"/>
        </w:rPr>
      </w:pPr>
      <w:bookmarkStart w:id="107" w:name="_Toc485137236"/>
      <w:r w:rsidRPr="00EE4D50">
        <w:rPr>
          <w:rFonts w:ascii="Verdana" w:hAnsi="Verdana" w:cs="Times New Roman"/>
          <w:i/>
          <w:color w:val="auto"/>
          <w:sz w:val="28"/>
        </w:rPr>
        <w:t>Año 2015</w:t>
      </w:r>
      <w:bookmarkEnd w:id="107"/>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A partir del 1 de enero entró en vigencia la resolución COMEX No. 49 que estableció la prórroga de la restricción cuantitativa a la importación de vehículos estipulada en la resolución COMEX No. 66 con plazo hasta el 31 de diciembre. Según AEADE (2015</w:t>
      </w:r>
      <w:r w:rsidR="005455AF">
        <w:rPr>
          <w:rFonts w:ascii="Verdana" w:hAnsi="Verdana" w:cs="Times New Roman"/>
        </w:rPr>
        <w:t>: 65</w:t>
      </w:r>
      <w:r w:rsidRPr="00EE4D50">
        <w:rPr>
          <w:rFonts w:ascii="Verdana" w:hAnsi="Verdana" w:cs="Times New Roman"/>
        </w:rPr>
        <w:t>) el cupo para importación de vehículos armados es el 40% menos que en 2013, y para vehículos desarmados es el 20% menos.</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A partir del 5 de enero se estipuló salvaguardias para los productos importados desde Perú y Colombia, a través de la resolución COMEX No. 50 que impone un derecho aduanero ad valorem del 7% para los productos originarios de Perú y del </w:t>
      </w:r>
      <w:r w:rsidRPr="00EE4D50">
        <w:rPr>
          <w:rFonts w:ascii="Verdana" w:hAnsi="Verdana" w:cs="Times New Roman"/>
        </w:rPr>
        <w:lastRenderedPageBreak/>
        <w:t>21% para los de Colombia. Según la AEADE (2015</w:t>
      </w:r>
      <w:r w:rsidR="005455AF">
        <w:rPr>
          <w:rFonts w:ascii="Verdana" w:hAnsi="Verdana" w:cs="Times New Roman"/>
        </w:rPr>
        <w:t>: 65</w:t>
      </w:r>
      <w:r w:rsidRPr="00EE4D50">
        <w:rPr>
          <w:rFonts w:ascii="Verdana" w:hAnsi="Verdana" w:cs="Times New Roman"/>
        </w:rPr>
        <w:t>) se logró que la salvaguardia no afecte a los vehículos comerciales embarcados previa a la vigencia de la medida.</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12 de enero el Comex con resolución N° 51 resolvió que entre en vigencia incrementos arancelarios: Se incrementó el arancel mínimo al</w:t>
      </w:r>
      <w:r w:rsidR="005455AF">
        <w:rPr>
          <w:rFonts w:ascii="Verdana" w:hAnsi="Verdana" w:cs="Times New Roman"/>
        </w:rPr>
        <w:t xml:space="preserve"> </w:t>
      </w:r>
      <w:r w:rsidRPr="00EE4D50">
        <w:rPr>
          <w:rFonts w:ascii="Verdana" w:hAnsi="Verdana" w:cs="Times New Roman"/>
        </w:rPr>
        <w:t xml:space="preserve">15%, para los CKD’s de automóviles y </w:t>
      </w:r>
      <w:r w:rsidR="00925F85" w:rsidRPr="00EE4D50">
        <w:rPr>
          <w:rFonts w:ascii="Verdana" w:hAnsi="Verdana" w:cs="Times New Roman"/>
        </w:rPr>
        <w:t>suv</w:t>
      </w:r>
      <w:r w:rsidRPr="00EE4D50">
        <w:rPr>
          <w:rFonts w:ascii="Verdana" w:hAnsi="Verdana" w:cs="Times New Roman"/>
        </w:rPr>
        <w:t xml:space="preserve">’s de gasolina (menor o igual a1.500cc) así como para los CKD’s de camionetas y camiones ultralivianos de diésel o gasolina. Un arancel mínimo del 14,38% </w:t>
      </w:r>
      <w:r w:rsidR="00337B4C" w:rsidRPr="00EE4D50">
        <w:rPr>
          <w:rFonts w:ascii="Verdana" w:hAnsi="Verdana" w:cs="Times New Roman"/>
        </w:rPr>
        <w:t>para</w:t>
      </w:r>
      <w:r w:rsidR="00337B4C">
        <w:rPr>
          <w:rFonts w:ascii="Verdana" w:hAnsi="Verdana" w:cs="Times New Roman"/>
        </w:rPr>
        <w:t xml:space="preserve"> </w:t>
      </w:r>
      <w:r w:rsidR="00337B4C" w:rsidRPr="00EE4D50">
        <w:rPr>
          <w:rFonts w:ascii="Verdana" w:hAnsi="Verdana" w:cs="Times New Roman"/>
        </w:rPr>
        <w:t>la</w:t>
      </w:r>
      <w:r w:rsidRPr="00EE4D50">
        <w:rPr>
          <w:rFonts w:ascii="Verdana" w:hAnsi="Verdana" w:cs="Times New Roman"/>
        </w:rPr>
        <w:t xml:space="preserve"> importación de CKD’s de automóviles y </w:t>
      </w:r>
      <w:r w:rsidR="00925F85" w:rsidRPr="00EE4D50">
        <w:rPr>
          <w:rFonts w:ascii="Verdana" w:hAnsi="Verdana" w:cs="Times New Roman"/>
        </w:rPr>
        <w:t>suv</w:t>
      </w:r>
      <w:r w:rsidRPr="00EE4D50">
        <w:rPr>
          <w:rFonts w:ascii="Verdana" w:hAnsi="Verdana" w:cs="Times New Roman"/>
        </w:rPr>
        <w:t xml:space="preserve">’s de gasolina con </w:t>
      </w:r>
      <w:r w:rsidR="00337B4C" w:rsidRPr="00EE4D50">
        <w:rPr>
          <w:rFonts w:ascii="Verdana" w:hAnsi="Verdana" w:cs="Times New Roman"/>
        </w:rPr>
        <w:t>cilindraje superior</w:t>
      </w:r>
      <w:r w:rsidRPr="00EE4D50">
        <w:rPr>
          <w:rFonts w:ascii="Verdana" w:hAnsi="Verdana" w:cs="Times New Roman"/>
        </w:rPr>
        <w:t xml:space="preserve"> a 1.500 cc. (AEADE, 2015</w:t>
      </w:r>
      <w:r w:rsidR="005455AF">
        <w:rPr>
          <w:rFonts w:ascii="Verdana" w:hAnsi="Verdana" w:cs="Times New Roman"/>
        </w:rPr>
        <w:t>: 66</w:t>
      </w:r>
      <w:r w:rsidRPr="00EE4D50">
        <w:rPr>
          <w:rFonts w:ascii="Verdana" w:hAnsi="Verdana" w:cs="Times New Roman"/>
        </w:rPr>
        <w:t>).</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A partir del 1 de abril, La Junta de Política y Regulación Monetaria y Financiera emitió normas que regulan la segmentación de la cartera de crédito de las entidades del sistema financiero nacional. La novedad fue que se hizo una diferenciación entre créditos ordinarios y prioritarios en los segmentos comerciales y de consumo. Según el Comercio (2015), las tasas de interés cambiaron para el crédito comercial ordinario</w:t>
      </w:r>
      <w:r w:rsidRPr="00EE4D50">
        <w:rPr>
          <w:rStyle w:val="Refdenotaalpie"/>
          <w:rFonts w:ascii="Verdana" w:hAnsi="Verdana" w:cs="Times New Roman"/>
        </w:rPr>
        <w:footnoteReference w:id="19"/>
      </w:r>
      <w:r w:rsidRPr="00EE4D50">
        <w:rPr>
          <w:rFonts w:ascii="Verdana" w:hAnsi="Verdana" w:cs="Times New Roman"/>
        </w:rPr>
        <w:t xml:space="preserve"> (comercialización de vehículos livianos, incluso para fines productivos y comerciales). “Antes estos estaban dentro del segmento de productivos y la tasa iba del 9,33 al 11,83%, según el tamaño del negocio. Ahora, la tasa de estos préstamos será del 11,83%”.</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Los vehículos embarcados desde el 4 de abril debían cumplir con los elementos de seguridad estipulada en la norma RTE 034 en su tercera revisión y declaración del fabricante. Sin embargo, las empresas del sector automotriz en conjunto con la AEADE lograron que el plazo se extienda por un año, situación que fue de alivio para el sector (AEADE, 2015</w:t>
      </w:r>
      <w:r w:rsidR="005455AF">
        <w:rPr>
          <w:rFonts w:ascii="Verdana" w:hAnsi="Verdana" w:cs="Times New Roman"/>
        </w:rPr>
        <w:t>: 64</w:t>
      </w:r>
      <w:r w:rsidRPr="00EE4D50">
        <w:rPr>
          <w:rFonts w:ascii="Verdana" w:hAnsi="Verdana" w:cs="Times New Roman"/>
        </w:rPr>
        <w:t>).</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La homologación vehicular es el proceso mediante el cual la Agencia Nacional de Tránsito certifica que un modelo de vehículo que pretende comercializarse en el país, cumple con todas las normas técnicas de emisión y seguridad que le son aplicables. </w:t>
      </w:r>
    </w:p>
    <w:p w:rsidR="008B3E6C" w:rsidRPr="00EE4D50" w:rsidRDefault="008B3E6C"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30 de diciembre el Comex emitió la resolución No. 50 que estipuló una cuota global para importación de vehículos de 84.555 unidades físicas distribuidas en: 23.285 unidades CBU, 58.867 unidades CKD y 2.403 unidades de CKD de chasises de vehículos. El plazo de esta normativa fue del 1 de enero al 31 de diciembre</w:t>
      </w:r>
      <w:r w:rsidR="008B3E6C" w:rsidRPr="00EE4D50">
        <w:rPr>
          <w:rFonts w:ascii="Verdana" w:hAnsi="Verdana" w:cs="Times New Roman"/>
        </w:rPr>
        <w:t xml:space="preserve"> de 2016. </w:t>
      </w:r>
    </w:p>
    <w:p w:rsidR="008B3E6C" w:rsidRDefault="008B3E6C" w:rsidP="00EC63DA">
      <w:pPr>
        <w:spacing w:after="60"/>
        <w:jc w:val="both"/>
        <w:rPr>
          <w:rFonts w:ascii="Verdana" w:hAnsi="Verdana" w:cs="Times New Roman"/>
        </w:rPr>
      </w:pPr>
    </w:p>
    <w:p w:rsidR="001A1E18" w:rsidRDefault="001A1E18" w:rsidP="00EC63DA">
      <w:pPr>
        <w:spacing w:after="60"/>
        <w:jc w:val="both"/>
        <w:rPr>
          <w:rFonts w:ascii="Verdana" w:hAnsi="Verdana" w:cs="Times New Roman"/>
        </w:rPr>
      </w:pPr>
    </w:p>
    <w:p w:rsidR="001A1E18" w:rsidRPr="00EE4D50" w:rsidRDefault="001A1E18" w:rsidP="00EC63DA">
      <w:pPr>
        <w:spacing w:after="60"/>
        <w:jc w:val="both"/>
        <w:rPr>
          <w:rFonts w:ascii="Verdana" w:hAnsi="Verdana" w:cs="Times New Roman"/>
        </w:rPr>
      </w:pPr>
    </w:p>
    <w:p w:rsidR="008B3E6C" w:rsidRDefault="00BB07EF" w:rsidP="00EC63DA">
      <w:pPr>
        <w:pStyle w:val="Ttulo2"/>
        <w:rPr>
          <w:rFonts w:cs="Times New Roman"/>
        </w:rPr>
      </w:pPr>
      <w:bookmarkStart w:id="108" w:name="_Toc485137237"/>
      <w:r w:rsidRPr="00EE4D50">
        <w:rPr>
          <w:rFonts w:cs="Times New Roman"/>
        </w:rPr>
        <w:t>FODA del sector automotriz</w:t>
      </w:r>
      <w:bookmarkEnd w:id="108"/>
    </w:p>
    <w:p w:rsidR="00D83D1A" w:rsidRPr="00B50C61" w:rsidRDefault="00D83D1A" w:rsidP="00EC63DA">
      <w:pPr>
        <w:rPr>
          <w:rFonts w:ascii="Verdana" w:hAnsi="Verdana"/>
          <w:lang w:val="es-MX"/>
        </w:rPr>
      </w:pPr>
      <w:r w:rsidRPr="00B50C61">
        <w:rPr>
          <w:rFonts w:ascii="Verdana" w:hAnsi="Verdana"/>
          <w:lang w:val="es-MX"/>
        </w:rPr>
        <w:t xml:space="preserve">A continuación se presenta el FODA del sector automotriz, que fue elaborado con información de la investigación de esta disertación y con </w:t>
      </w:r>
      <w:r w:rsidR="00B50C61">
        <w:rPr>
          <w:rFonts w:ascii="Verdana" w:hAnsi="Verdana"/>
          <w:lang w:val="es-MX"/>
        </w:rPr>
        <w:t>el aporte del Eco. David Molina Director Ejecutivo de la CINAE</w:t>
      </w:r>
      <w:r w:rsidRPr="00B50C61">
        <w:rPr>
          <w:rFonts w:ascii="Verdana" w:hAnsi="Verdana"/>
          <w:lang w:val="es-MX"/>
        </w:rPr>
        <w:t xml:space="preserve"> al</w:t>
      </w:r>
      <w:r w:rsidR="00B50C61">
        <w:rPr>
          <w:rFonts w:ascii="Verdana" w:hAnsi="Verdana"/>
          <w:lang w:val="es-MX"/>
        </w:rPr>
        <w:t xml:space="preserve"> quien </w:t>
      </w:r>
      <w:r w:rsidRPr="00B50C61">
        <w:rPr>
          <w:rFonts w:ascii="Verdana" w:hAnsi="Verdana"/>
          <w:lang w:val="es-MX"/>
        </w:rPr>
        <w:t>se le realizó la entrevista.</w:t>
      </w:r>
    </w:p>
    <w:p w:rsidR="00BB07EF" w:rsidRPr="00EE4D50" w:rsidRDefault="00BB07EF" w:rsidP="00EC63DA">
      <w:pPr>
        <w:jc w:val="both"/>
        <w:rPr>
          <w:rFonts w:ascii="Verdana" w:hAnsi="Verdana" w:cs="Times New Roman"/>
          <w:u w:val="single"/>
        </w:rPr>
      </w:pPr>
      <w:r w:rsidRPr="00EE4D50">
        <w:rPr>
          <w:rFonts w:ascii="Verdana" w:hAnsi="Verdana" w:cs="Times New Roman"/>
          <w:u w:val="single"/>
        </w:rPr>
        <w:t>Fortalezas</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 xml:space="preserve">Tiene cuatro décadas de desarrollo y consolidación en el país. </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Sector industrial de media y alta tecnología.</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Existen certificaciones de calidad para la producción de vehículos.</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Industria de precisión que exige estándares de seguridad del primer mundo (reglamento 034 con patrones a nivel de Europa.</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Industria con aporte significativo a la economía ecuatoriana.</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Cercanía física entre las ensambladoras y las empresas autopartistas nacionales generan reducción de costos tanto en logística como en transporte y externalidades positivas, de manera que las partes nacionales se proveen justo a tiempo.</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Las ensambladoras tienen un buen nivel de tecnificación con productos de calidad que incluso exportan.</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El ensamblaje tiene especialización de ciertos modelos de marca.</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Existe capital humano calificado para desempañarse en las empresas ensambladoras y autopartistas, tanto a nivel de obraje, como en ingeniería y administrativo. Y existen carreras universitarias con especialización automotriz.</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Organización a nivel de ensambladoras y concesionarias.</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Posición geográfica dentro de la CAN con convenio de complementación automotriz para las exportaciones nacionales.</w:t>
      </w:r>
    </w:p>
    <w:p w:rsidR="00BB07EF" w:rsidRPr="00EE4D50" w:rsidRDefault="00BB07EF" w:rsidP="00EC63DA">
      <w:pPr>
        <w:spacing w:after="60"/>
        <w:jc w:val="both"/>
        <w:rPr>
          <w:rFonts w:ascii="Verdana" w:hAnsi="Verdana" w:cs="Times New Roman"/>
        </w:rPr>
      </w:pPr>
    </w:p>
    <w:p w:rsidR="00BB07EF" w:rsidRPr="00EE4D50" w:rsidRDefault="00BB07EF" w:rsidP="00EC63DA">
      <w:pPr>
        <w:jc w:val="both"/>
        <w:rPr>
          <w:rFonts w:ascii="Verdana" w:hAnsi="Verdana" w:cs="Times New Roman"/>
          <w:u w:val="single"/>
        </w:rPr>
      </w:pPr>
      <w:r w:rsidRPr="00EE4D50">
        <w:rPr>
          <w:rFonts w:ascii="Verdana" w:hAnsi="Verdana" w:cs="Times New Roman"/>
          <w:u w:val="single"/>
        </w:rPr>
        <w:t>Oportunidades</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Disponibilidad de capacidad de planta para que la producción crezca.</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Nuevas hidroeléctricas permitirían la producción con energía más barata, y es posible que se dé nuevos nichos de mercado con vehículos eléctricos.</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Creación de alianzas estratégicas a través del Convenio de Complementación Automotor.</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Renovación del parque automotor colombiano permitiría mayor cantidad de unidades para la exportación</w:t>
      </w:r>
    </w:p>
    <w:p w:rsidR="00BB07EF" w:rsidRPr="00EE4D50" w:rsidRDefault="00BB07EF" w:rsidP="00EC63DA">
      <w:pPr>
        <w:spacing w:after="60"/>
        <w:jc w:val="both"/>
        <w:rPr>
          <w:rFonts w:ascii="Verdana" w:hAnsi="Verdana" w:cs="Times New Roman"/>
          <w:u w:val="single"/>
        </w:rPr>
      </w:pPr>
    </w:p>
    <w:p w:rsidR="00BB07EF" w:rsidRPr="00EE4D50" w:rsidRDefault="00BB07EF" w:rsidP="00EC63DA">
      <w:pPr>
        <w:jc w:val="both"/>
        <w:rPr>
          <w:rFonts w:ascii="Verdana" w:hAnsi="Verdana" w:cs="Times New Roman"/>
          <w:u w:val="single"/>
        </w:rPr>
      </w:pPr>
      <w:r w:rsidRPr="00EE4D50">
        <w:rPr>
          <w:rFonts w:ascii="Verdana" w:hAnsi="Verdana" w:cs="Times New Roman"/>
          <w:u w:val="single"/>
        </w:rPr>
        <w:t>Debilidades</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En el país no existe industria básica como la siderúrgica y la petroquímica.</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El sector automotor es vulnerable a las fluctuaciones de la economía ecuatoriana.</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lastRenderedPageBreak/>
        <w:t>Este sector es muy regulado y de alto riesgo por su dependencia del sistema financiero.</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Alta concentración industrial constituida como oligopolio, ya que una empresa tiene el 50% del mercado.</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El sector necesita proveedores de la subregión andina para la actividad del ensamblaje.</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Subutilización de la capacidad instalada porque en el país no se ensambla vehículos pesados.</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Bajo nivel de exportaciones nacionales.</w:t>
      </w:r>
    </w:p>
    <w:p w:rsidR="00BB07EF" w:rsidRPr="00EE4D50" w:rsidRDefault="00BB07EF" w:rsidP="00EC63DA">
      <w:pPr>
        <w:spacing w:after="60"/>
        <w:jc w:val="both"/>
        <w:rPr>
          <w:rFonts w:ascii="Verdana" w:hAnsi="Verdana" w:cs="Times New Roman"/>
        </w:rPr>
      </w:pPr>
    </w:p>
    <w:p w:rsidR="00BB07EF" w:rsidRPr="00EE4D50" w:rsidRDefault="00BB07EF" w:rsidP="00EC63DA">
      <w:pPr>
        <w:jc w:val="both"/>
        <w:rPr>
          <w:rFonts w:ascii="Verdana" w:hAnsi="Verdana" w:cs="Times New Roman"/>
          <w:u w:val="single"/>
        </w:rPr>
      </w:pPr>
      <w:r w:rsidRPr="00EE4D50">
        <w:rPr>
          <w:rFonts w:ascii="Verdana" w:hAnsi="Verdana" w:cs="Times New Roman"/>
          <w:u w:val="single"/>
        </w:rPr>
        <w:t>Amenazas</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Restricción al crédito por parte del sistema financiero afectaría a las ventas de vehículos. Menor demanda.</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Aumento de cargas tributarias.</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Salvaguardas y aranceles para materias primas e insumos.</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Restricciones gubernamentales en asignación de cupos de importación de vehículos ocasionan un alza en los precios durante los años 2012 al 2015.</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Aún hay preferencia de los consumidores por vehículos importados.</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Contaminación ambiental por la antigüedad del parque automotor.</w:t>
      </w:r>
    </w:p>
    <w:p w:rsidR="00BB07EF" w:rsidRPr="00EE4D50" w:rsidRDefault="00BB07EF" w:rsidP="00EC63DA">
      <w:pPr>
        <w:pStyle w:val="Prrafodelista"/>
        <w:numPr>
          <w:ilvl w:val="0"/>
          <w:numId w:val="12"/>
        </w:numPr>
        <w:jc w:val="both"/>
        <w:rPr>
          <w:rFonts w:ascii="Verdana" w:hAnsi="Verdana" w:cs="Times New Roman"/>
        </w:rPr>
      </w:pPr>
      <w:r w:rsidRPr="00EE4D50">
        <w:rPr>
          <w:rFonts w:ascii="Verdana" w:hAnsi="Verdana" w:cs="Times New Roman"/>
        </w:rPr>
        <w:t>Competencia de autopartistas subregionales con mayor grado técnico.</w:t>
      </w:r>
    </w:p>
    <w:p w:rsidR="00BB07EF" w:rsidRPr="00EE4D50" w:rsidRDefault="00BB07EF" w:rsidP="00EC63DA">
      <w:pPr>
        <w:pStyle w:val="Prrafodelista"/>
        <w:numPr>
          <w:ilvl w:val="0"/>
          <w:numId w:val="12"/>
        </w:numPr>
        <w:spacing w:after="60"/>
        <w:ind w:left="714" w:hanging="357"/>
        <w:jc w:val="both"/>
        <w:rPr>
          <w:rFonts w:ascii="Verdana" w:hAnsi="Verdana" w:cs="Times New Roman"/>
        </w:rPr>
      </w:pPr>
      <w:r w:rsidRPr="00EE4D50">
        <w:rPr>
          <w:rFonts w:ascii="Verdana" w:hAnsi="Verdana" w:cs="Times New Roman"/>
        </w:rPr>
        <w:t>Inestabilidad política y económica del país afectan al crecimiento del sector.</w:t>
      </w:r>
    </w:p>
    <w:p w:rsidR="0003233A" w:rsidRPr="00EE4D50" w:rsidRDefault="0003233A" w:rsidP="00EC63DA">
      <w:pPr>
        <w:pStyle w:val="Prrafodelista"/>
        <w:spacing w:after="60"/>
        <w:ind w:left="714"/>
        <w:jc w:val="both"/>
        <w:rPr>
          <w:rFonts w:ascii="Verdana" w:hAnsi="Verdana" w:cs="Times New Roman"/>
        </w:rPr>
      </w:pPr>
    </w:p>
    <w:p w:rsidR="00812679" w:rsidRDefault="00812679" w:rsidP="00EC63DA">
      <w:pPr>
        <w:pStyle w:val="Ttulo2"/>
        <w:rPr>
          <w:rFonts w:cs="Times New Roman"/>
        </w:rPr>
      </w:pPr>
    </w:p>
    <w:p w:rsidR="00BB07EF" w:rsidRPr="00EE4D50" w:rsidRDefault="00A1147A" w:rsidP="00EC63DA">
      <w:pPr>
        <w:pStyle w:val="Ttulo2"/>
        <w:rPr>
          <w:rFonts w:cs="Times New Roman"/>
        </w:rPr>
      </w:pPr>
      <w:bookmarkStart w:id="109" w:name="_Toc485137238"/>
      <w:r>
        <w:rPr>
          <w:rFonts w:cs="Times New Roman"/>
        </w:rPr>
        <w:t>Estado actual</w:t>
      </w:r>
      <w:r w:rsidR="00BB07EF" w:rsidRPr="00EE4D50">
        <w:rPr>
          <w:rFonts w:cs="Times New Roman"/>
        </w:rPr>
        <w:t xml:space="preserve"> del sector automotriz</w:t>
      </w:r>
      <w:bookmarkEnd w:id="109"/>
    </w:p>
    <w:p w:rsidR="0003233A" w:rsidRPr="00EE4D50" w:rsidRDefault="0003233A" w:rsidP="00EC63DA">
      <w:pPr>
        <w:spacing w:after="60"/>
        <w:jc w:val="both"/>
        <w:rPr>
          <w:rFonts w:ascii="Verdana" w:hAnsi="Verdana" w:cs="Times New Roman"/>
          <w:lang w:val="es-MX"/>
        </w:rPr>
      </w:pPr>
    </w:p>
    <w:p w:rsidR="00BB07EF" w:rsidRPr="00EE4D50" w:rsidRDefault="00BB07EF" w:rsidP="00EC63DA">
      <w:pPr>
        <w:spacing w:after="60"/>
        <w:jc w:val="both"/>
        <w:rPr>
          <w:rFonts w:ascii="Verdana" w:hAnsi="Verdana" w:cs="Times New Roman"/>
        </w:rPr>
      </w:pPr>
      <w:r w:rsidRPr="00EE4D50">
        <w:rPr>
          <w:rFonts w:ascii="Verdana" w:hAnsi="Verdana" w:cs="Times New Roman"/>
        </w:rPr>
        <w:t>Dadas las leyes y restricciones al sector automotriz ecuatoriano durante los últimos años, se ha establecido un escenario de estancamiento en este sector. Según el gobierno, las medidas que se han tomado para este sector industrial han sido producto de condiciones externas desfavorables para la economía del país tales como: el déficit de la balanza de pagos y disminución del precio del barril de petróleo.</w:t>
      </w:r>
    </w:p>
    <w:p w:rsidR="0003233A" w:rsidRPr="00EE4D50" w:rsidRDefault="0003233A"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Las leyes y restricciones impuestas al sector automotriz han establecido una realidad de estancamiento en producción y ventas de vehículos; tanto es así, que una de las principales ensambladoras, como Maresa, decidió dejar de producir y dedicarse a la comercialización y servicios automotrices.</w:t>
      </w:r>
    </w:p>
    <w:p w:rsidR="0003233A" w:rsidRDefault="0003233A" w:rsidP="00EC63DA">
      <w:pPr>
        <w:spacing w:after="60"/>
        <w:jc w:val="both"/>
        <w:rPr>
          <w:rFonts w:ascii="Verdana" w:hAnsi="Verdana" w:cs="Times New Roman"/>
        </w:rPr>
      </w:pPr>
    </w:p>
    <w:p w:rsidR="00D83D1A" w:rsidRDefault="00D83D1A" w:rsidP="00EC63DA">
      <w:pPr>
        <w:spacing w:after="60"/>
        <w:jc w:val="both"/>
        <w:rPr>
          <w:rFonts w:ascii="Verdana" w:hAnsi="Verdana" w:cs="Times New Roman"/>
        </w:rPr>
      </w:pPr>
    </w:p>
    <w:p w:rsidR="00D83D1A" w:rsidRPr="00EE4D50" w:rsidRDefault="00D83D1A" w:rsidP="00EC63DA">
      <w:pPr>
        <w:spacing w:after="60"/>
        <w:jc w:val="both"/>
        <w:rPr>
          <w:rFonts w:ascii="Verdana" w:hAnsi="Verdana" w:cs="Times New Roman"/>
        </w:rPr>
      </w:pPr>
    </w:p>
    <w:p w:rsidR="00BB07EF" w:rsidRPr="00EE4D50" w:rsidRDefault="00BB07EF" w:rsidP="00EC63DA">
      <w:pPr>
        <w:pStyle w:val="Ttulo3"/>
        <w:rPr>
          <w:rFonts w:ascii="Verdana" w:hAnsi="Verdana" w:cs="Times New Roman"/>
          <w:i/>
          <w:color w:val="auto"/>
          <w:sz w:val="28"/>
        </w:rPr>
      </w:pPr>
      <w:bookmarkStart w:id="110" w:name="_Toc485137239"/>
      <w:r w:rsidRPr="00EE4D50">
        <w:rPr>
          <w:rFonts w:ascii="Verdana" w:hAnsi="Verdana" w:cs="Times New Roman"/>
          <w:i/>
          <w:color w:val="auto"/>
          <w:sz w:val="28"/>
        </w:rPr>
        <w:lastRenderedPageBreak/>
        <w:t>Salida de Maresa</w:t>
      </w:r>
      <w:bookmarkEnd w:id="110"/>
    </w:p>
    <w:p w:rsidR="0003233A" w:rsidRPr="00EE4D50" w:rsidRDefault="0003233A"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 ensambladora Maresa, ubicada al norte de Quito en el sector de la Mitad de Mundo, mediante un comunicado de prensa con fecha, lunes 14 de diciembre del 2015 en el Diario El Comercio, notificó el cese de sus operaciones de su planta ensambladora; aunque en el comunicado no se detalló cuánto durará esta suspensión, ni cuántos trabajadores han sido despedidos. En el 2015 se redujeron las ventas en un 35%, “esto, no solo debido a los cupos de importación, sino también a la baja demanda de vehículos debido a la difícil situación económica del país” (El Comercio, 2015).</w:t>
      </w:r>
    </w:p>
    <w:p w:rsidR="0003233A" w:rsidRPr="00EE4D50" w:rsidRDefault="0003233A" w:rsidP="00EC63DA">
      <w:pPr>
        <w:spacing w:after="60"/>
        <w:jc w:val="both"/>
        <w:rPr>
          <w:rFonts w:ascii="Verdana" w:hAnsi="Verdana" w:cs="Times New Roman"/>
        </w:rPr>
      </w:pPr>
    </w:p>
    <w:p w:rsidR="00BB07EF" w:rsidRDefault="00BB07EF" w:rsidP="00EC63DA">
      <w:pPr>
        <w:spacing w:after="60"/>
        <w:jc w:val="both"/>
        <w:rPr>
          <w:rFonts w:ascii="Verdana" w:hAnsi="Verdana" w:cs="Times New Roman"/>
        </w:rPr>
      </w:pPr>
      <w:r w:rsidRPr="00EE4D50">
        <w:rPr>
          <w:rFonts w:ascii="Verdana" w:hAnsi="Verdana" w:cs="Times New Roman"/>
        </w:rPr>
        <w:t xml:space="preserve">Según Maresa (2016a), se finalizó el ensamblaje de la camioneta Mazda BT-50 por decisión de Mazda Corporation, y se introdujo su nueva versión importada al mercado local. Esto conllevó a renovar su línea de productos ensamblados y a dar paso a nuevos proyectos con marcas internacionales, las cuales han mostrado interés en ensamblar vehículos en Ecuador. Las nuevas metas de Maresa acarrean inversión de capital, fabricación y montaje de maquinaria de punta. Debido a estos </w:t>
      </w:r>
      <w:r w:rsidR="00337B4C" w:rsidRPr="00EE4D50">
        <w:rPr>
          <w:rFonts w:ascii="Verdana" w:hAnsi="Verdana" w:cs="Times New Roman"/>
        </w:rPr>
        <w:t>cambios</w:t>
      </w:r>
      <w:r w:rsidRPr="00EE4D50">
        <w:rPr>
          <w:rFonts w:ascii="Verdana" w:hAnsi="Verdana" w:cs="Times New Roman"/>
        </w:rPr>
        <w:t xml:space="preserve"> se suspendió operaciones de ensamblaje, mientras se concreta sus metas e implementar proyectos de movilidad, sin afectar el resto de actividades que realiza la empresa, cuya capacidad de producción es de 38.000 vehículos anuales.</w:t>
      </w:r>
    </w:p>
    <w:p w:rsidR="00B74347" w:rsidRPr="00EE4D50" w:rsidRDefault="00B74347" w:rsidP="00EC63DA">
      <w:pPr>
        <w:spacing w:after="60"/>
        <w:jc w:val="both"/>
        <w:rPr>
          <w:rFonts w:ascii="Verdana" w:hAnsi="Verdana" w:cs="Times New Roman"/>
        </w:rPr>
      </w:pPr>
    </w:p>
    <w:p w:rsidR="00BB07EF" w:rsidRPr="00EE4D50" w:rsidRDefault="00337B4C" w:rsidP="00EC63DA">
      <w:pPr>
        <w:spacing w:after="60"/>
        <w:jc w:val="both"/>
        <w:rPr>
          <w:rFonts w:ascii="Verdana" w:hAnsi="Verdana" w:cs="Times New Roman"/>
        </w:rPr>
      </w:pPr>
      <w:r w:rsidRPr="00EE4D50">
        <w:rPr>
          <w:rFonts w:ascii="Verdana" w:hAnsi="Verdana" w:cs="Times New Roman"/>
        </w:rPr>
        <w:t>El jueves 21 de enero del 2016, Corporación Maresa inauguró su taller Maresa</w:t>
      </w:r>
      <w:r>
        <w:rPr>
          <w:rFonts w:ascii="Verdana" w:hAnsi="Verdana" w:cs="Times New Roman"/>
        </w:rPr>
        <w:t xml:space="preserve"> </w:t>
      </w:r>
      <w:r w:rsidRPr="00EE4D50">
        <w:rPr>
          <w:rFonts w:ascii="Verdana" w:hAnsi="Verdana" w:cs="Times New Roman"/>
        </w:rPr>
        <w:t xml:space="preserve">Service, con alrededor de USD 1 millón de inversión, en la cual laboran más de 30 personas distribuidos entre operaciones y la parte administrativa, los cuales tienen capacidad para atender a 1.200 vehículos al mes. </w:t>
      </w:r>
      <w:r w:rsidR="00BB07EF" w:rsidRPr="00EE4D50">
        <w:rPr>
          <w:rFonts w:ascii="Verdana" w:hAnsi="Verdana" w:cs="Times New Roman"/>
        </w:rPr>
        <w:t>Equipado con tecnología de punta y servicios para los vehículos Fiat, Chrysler, Mazda, entre otras, como también venta de repuestos y accesorios (Maresa, 2016b).</w:t>
      </w:r>
    </w:p>
    <w:p w:rsidR="0003233A" w:rsidRPr="00EE4D50" w:rsidRDefault="0003233A"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2 de junio del 2016 Maresa lanzó su nueva línea de negocios Maresa</w:t>
      </w:r>
      <w:r w:rsidR="00FC200C" w:rsidRPr="00EE4D50">
        <w:rPr>
          <w:rFonts w:ascii="Verdana" w:hAnsi="Verdana" w:cs="Times New Roman"/>
        </w:rPr>
        <w:t xml:space="preserve"> </w:t>
      </w:r>
      <w:r w:rsidRPr="00EE4D50">
        <w:rPr>
          <w:rFonts w:ascii="Verdana" w:hAnsi="Verdana" w:cs="Times New Roman"/>
        </w:rPr>
        <w:t>Seminuevos, el cual ofrece a sus clientes vehículos accesibles y en buen estado con planes de financiamiento de hasta 48 meses plazo y varias opciones para elegir (Maresa, 2016c).</w:t>
      </w:r>
    </w:p>
    <w:p w:rsidR="0003233A" w:rsidRPr="00EE4D50" w:rsidRDefault="0003233A"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 Corporación Maresa ha suspendido sus operaciones de ensamblaje hasta implementar convenios con otras marcas, y lo que mantiene desde el año 2016 es la comercialización de vehículos y el abastecim</w:t>
      </w:r>
      <w:r w:rsidR="00056722" w:rsidRPr="00EE4D50">
        <w:rPr>
          <w:rFonts w:ascii="Verdana" w:hAnsi="Verdana" w:cs="Times New Roman"/>
        </w:rPr>
        <w:t>iento de repuestos y servicios.</w:t>
      </w:r>
    </w:p>
    <w:p w:rsidR="0003233A" w:rsidRPr="00EE4D50" w:rsidRDefault="0003233A" w:rsidP="00EC63DA">
      <w:pPr>
        <w:spacing w:after="60"/>
        <w:jc w:val="both"/>
        <w:rPr>
          <w:rFonts w:ascii="Verdana" w:hAnsi="Verdana" w:cs="Times New Roman"/>
        </w:rPr>
      </w:pPr>
    </w:p>
    <w:p w:rsidR="00BB07EF" w:rsidRPr="00EE4D50" w:rsidRDefault="00BB07EF" w:rsidP="00EC63DA">
      <w:pPr>
        <w:pStyle w:val="Ttulo3"/>
        <w:rPr>
          <w:rFonts w:ascii="Verdana" w:hAnsi="Verdana" w:cs="Times New Roman"/>
          <w:i/>
          <w:color w:val="auto"/>
          <w:sz w:val="28"/>
        </w:rPr>
      </w:pPr>
      <w:bookmarkStart w:id="111" w:name="_Toc485137240"/>
      <w:r w:rsidRPr="00EE4D50">
        <w:rPr>
          <w:rFonts w:ascii="Verdana" w:hAnsi="Verdana" w:cs="Times New Roman"/>
          <w:i/>
          <w:color w:val="auto"/>
          <w:sz w:val="28"/>
        </w:rPr>
        <w:t>Recesión del sector</w:t>
      </w:r>
      <w:bookmarkEnd w:id="111"/>
      <w:r w:rsidRPr="00EE4D50">
        <w:rPr>
          <w:rFonts w:ascii="Verdana" w:hAnsi="Verdana" w:cs="Times New Roman"/>
          <w:i/>
          <w:color w:val="auto"/>
          <w:sz w:val="28"/>
        </w:rPr>
        <w:t xml:space="preserve"> </w:t>
      </w:r>
    </w:p>
    <w:p w:rsidR="0003233A" w:rsidRPr="00EE4D50" w:rsidRDefault="0003233A" w:rsidP="00EC63DA">
      <w:pPr>
        <w:spacing w:after="60"/>
        <w:jc w:val="both"/>
        <w:rPr>
          <w:rFonts w:ascii="Verdana" w:hAnsi="Verdana" w:cs="Times New Roman"/>
        </w:rPr>
      </w:pPr>
    </w:p>
    <w:p w:rsidR="0003233A" w:rsidRDefault="00BB07EF" w:rsidP="00EC63DA">
      <w:pPr>
        <w:spacing w:after="60"/>
        <w:jc w:val="both"/>
        <w:rPr>
          <w:rFonts w:ascii="Verdana" w:hAnsi="Verdana" w:cs="Times New Roman"/>
        </w:rPr>
      </w:pPr>
      <w:r w:rsidRPr="00EE4D50">
        <w:rPr>
          <w:rFonts w:ascii="Verdana" w:hAnsi="Verdana" w:cs="Times New Roman"/>
        </w:rPr>
        <w:t xml:space="preserve">Este sector estratégico se afectó por las condiciones negativas de la economía. En el 2015 se produjo una desaceleración del PIB, ya que registró una tasa de </w:t>
      </w:r>
      <w:r w:rsidRPr="00EE4D50">
        <w:rPr>
          <w:rFonts w:ascii="Verdana" w:hAnsi="Verdana" w:cs="Times New Roman"/>
        </w:rPr>
        <w:lastRenderedPageBreak/>
        <w:t>crecimiento de 0,4%, inferior a las tasas de 2014 (3,7%) y 2013 (4,6%). La menor cantidad de producción y ventas de vehículos visibilizan esta realidad, ya que el sector automotor es vulnerable a las fluctuaciones de la economía ecuatoriana; y en respuesta, las autoridades del gobierno han implementado una serie de medidas y reformas para corregir las amenazas de shocks externos.</w:t>
      </w:r>
    </w:p>
    <w:p w:rsidR="00B74347" w:rsidRPr="00EE4D50" w:rsidRDefault="00B74347"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 producción de la industria automotriz tuvo incrementos entre los años 2010 y 2012 al ensamblarse en promedio 80.000 vehículos cada año. Sin embargo, las medidas que el gobierno ha impuesto, como la reducción de cupos a las importaciones de vehículos y a los CKD´s, han impactado en la cantidad de producción y ventas que desde 2013 han caído.</w:t>
      </w:r>
    </w:p>
    <w:p w:rsidR="0003233A" w:rsidRPr="00EE4D50" w:rsidRDefault="0003233A"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Aquellos años de aumento de producción automotriz se debió a un crecimiento de demanda potencial en el mercado local, ya que la capacidad adquisitiva de los agentes económicos provocó un efecto renta; y en consecuencia, existieron mayores ventas para la oferta de vehículos ensamblados e importados. Producto de esto, el parque automotor se ha renovado; es decir, hay una cantidad mayor de vehículos nuevos. Según el INEC (2015), en Ecuador  “el 28,1% del total de vehículos matriculados tiene más de doce años (modelos 2004 y años anteriores), y los vehículos que tienen de uno a cinco años (modelos 2009 a 2016), representan el 55,1% del total”.</w:t>
      </w:r>
    </w:p>
    <w:p w:rsidR="0003233A" w:rsidRPr="00EE4D50" w:rsidRDefault="0003233A"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 producción por parte del sector de la manufactura, cuyos niveles de producción fueron significativos, también se afectó por la reducción de cupos a las importaciones, el incremento de aranceles a las importaciones de vehículos, CKD´</w:t>
      </w:r>
      <w:r w:rsidR="00337B4C" w:rsidRPr="00EE4D50">
        <w:rPr>
          <w:rFonts w:ascii="Verdana" w:hAnsi="Verdana" w:cs="Times New Roman"/>
        </w:rPr>
        <w:t>s,</w:t>
      </w:r>
      <w:r w:rsidRPr="00EE4D50">
        <w:rPr>
          <w:rFonts w:ascii="Verdana" w:hAnsi="Verdana" w:cs="Times New Roman"/>
        </w:rPr>
        <w:t xml:space="preserve"> partes, piezas y repuestos, el impuesto verde a los vehículos con mayor cilindraje, salvaguardia y los requisitos exigidos en cuestiones de seguridad.</w:t>
      </w:r>
    </w:p>
    <w:p w:rsidR="0003233A" w:rsidRPr="00EE4D50" w:rsidRDefault="0003233A"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 producción de vehículos afecta a la cadena de producción nacional debido a que los autopartistas, quienes son las proveedoras de las ensambladoras, atienden menos pedidos por la menor producción. De acuerdo con Ekos</w:t>
      </w:r>
      <w:r w:rsidR="00A02E7C">
        <w:rPr>
          <w:rFonts w:ascii="Verdana" w:hAnsi="Verdana" w:cs="Times New Roman"/>
        </w:rPr>
        <w:t xml:space="preserve"> (2016</w:t>
      </w:r>
      <w:r w:rsidRPr="00EE4D50">
        <w:rPr>
          <w:rFonts w:ascii="Verdana" w:hAnsi="Verdana" w:cs="Times New Roman"/>
        </w:rPr>
        <w:t>), el aumento de arancel al CKD afecta a las ensambladoras y al resto de la cadena. Los autopartistas pagan arance</w:t>
      </w:r>
      <w:r w:rsidRPr="00EE4D50">
        <w:rPr>
          <w:rFonts w:ascii="Verdana" w:hAnsi="Verdana" w:cs="Times New Roman"/>
        </w:rPr>
        <w:softHyphen/>
        <w:t>les y salvaguardias por sus materias primas cuando el producto que fabrican puede importarse con 0% de arancel; y argumenta que “el sistema de cupos ha limitado la escala necesaria para que la indus</w:t>
      </w:r>
      <w:r w:rsidRPr="00EE4D50">
        <w:rPr>
          <w:rFonts w:ascii="Verdana" w:hAnsi="Verdana" w:cs="Times New Roman"/>
        </w:rPr>
        <w:softHyphen/>
        <w:t xml:space="preserve">tria pueda crecer y ganar competitividad”. </w:t>
      </w:r>
    </w:p>
    <w:p w:rsidR="0003233A" w:rsidRPr="00EE4D50" w:rsidRDefault="0003233A"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De acuerdo con Líderes (2016), la menor cantidad de importación de partes de autos (CKD) tendrá tres consecuencias negativas: 1) Menor producción de vehículos de alrededor de 20.000 autos en 2016, lo que provoca incremento en los costos de producción por unidad y pérdida de competitividad. 2) Reducción de empleo en las ensambladoras. 3) “Incremento de precios que, además de los cupos, estará motivado por el nuevo Reglamento Técnico RTE INEN 034 que </w:t>
      </w:r>
      <w:r w:rsidRPr="00EE4D50">
        <w:rPr>
          <w:rFonts w:ascii="Verdana" w:hAnsi="Verdana" w:cs="Times New Roman"/>
        </w:rPr>
        <w:lastRenderedPageBreak/>
        <w:t>exige nuevos elementos de seguridad para los vehículos nuevos y que comenzará a regir desde abril de 2016”.</w:t>
      </w:r>
    </w:p>
    <w:p w:rsidR="0003233A" w:rsidRPr="00EE4D50" w:rsidRDefault="0003233A" w:rsidP="00EC63DA">
      <w:pPr>
        <w:spacing w:after="60"/>
        <w:jc w:val="both"/>
        <w:rPr>
          <w:rFonts w:ascii="Verdana" w:hAnsi="Verdana" w:cs="Times New Roman"/>
        </w:rPr>
      </w:pPr>
    </w:p>
    <w:p w:rsidR="00EC4E36" w:rsidRPr="00EE4D50" w:rsidRDefault="00EC4E36" w:rsidP="00EC63DA">
      <w:pPr>
        <w:spacing w:after="60"/>
        <w:jc w:val="both"/>
        <w:rPr>
          <w:rFonts w:ascii="Verdana" w:hAnsi="Verdana" w:cs="Times New Roman"/>
        </w:rPr>
      </w:pPr>
      <w:r w:rsidRPr="00EE4D50">
        <w:rPr>
          <w:rFonts w:ascii="Verdana" w:hAnsi="Verdana" w:cs="Times New Roman"/>
        </w:rPr>
        <w:t>La situación del sector automotor se presenta compleja en 2016. Las ventas de vehículos importados y ensamblados en el país han disminuido significativamente en 2016. Según Aeade (2017</w:t>
      </w:r>
      <w:r w:rsidR="00812679">
        <w:rPr>
          <w:rFonts w:ascii="Verdana" w:hAnsi="Verdana" w:cs="Times New Roman"/>
        </w:rPr>
        <w:t>: 7</w:t>
      </w:r>
      <w:r w:rsidRPr="00EE4D50">
        <w:rPr>
          <w:rFonts w:ascii="Verdana" w:hAnsi="Verdana" w:cs="Times New Roman"/>
        </w:rPr>
        <w:t>), en 2016 se vendieron 58.185 vehículos livianos. Esto representó una variación negativa del -22,8% con respecto al 2015, cuando se comercializaron 71.434 unidades. Según el tipo de vehículo, las ventas de las van´s fueron las de mayor afectación en -46%, seguido por las camionetas con -27%, suv´s -22% y los automóviles -8%.</w:t>
      </w:r>
    </w:p>
    <w:p w:rsidR="00EC4E36" w:rsidRPr="00EE4D50" w:rsidRDefault="00EC4E36" w:rsidP="00EC63DA">
      <w:pPr>
        <w:spacing w:after="60"/>
        <w:jc w:val="both"/>
        <w:rPr>
          <w:rFonts w:ascii="Verdana" w:hAnsi="Verdana" w:cs="Times New Roman"/>
        </w:rPr>
      </w:pPr>
    </w:p>
    <w:p w:rsidR="00EC4E36" w:rsidRPr="00EE4D50" w:rsidRDefault="00EC4E36" w:rsidP="00EC63DA">
      <w:pPr>
        <w:spacing w:after="60"/>
        <w:jc w:val="both"/>
        <w:rPr>
          <w:rFonts w:ascii="Verdana" w:hAnsi="Verdana" w:cs="Times New Roman"/>
          <w:lang w:val="es-ES"/>
        </w:rPr>
      </w:pPr>
      <w:r w:rsidRPr="00EE4D50">
        <w:rPr>
          <w:rFonts w:ascii="Verdana" w:hAnsi="Verdana" w:cs="Times New Roman"/>
          <w:lang w:val="es-ES"/>
        </w:rPr>
        <w:t>La producción de 2016 registró una  disminución de  -49% respecto al 2015, ya que se produjeron 24.147 unidades en comparación con las 47.306 unidades. Ómnibus BB mantuvo el liderazgo con el 83% de participación (19.956 vehículos), luego Aymesa con el 17% (4.191 vehículos). De  la  producción   total   de   vehículos en 2016 (24.147 unidades),   el 2,8%  se   destinó  a  la exportación, es decir 671 unidades, la exportación en este año sufrió un decremento importante de -78,8% con respecto al 2015 que registró 3.169 unidades. Omnibus BB lideró su participación en las exportaciones con el 100% (671 vehículos) y Aymesa destinó el 100% de su producción al mercado interno (Aeade ,2017</w:t>
      </w:r>
      <w:r w:rsidR="00812679">
        <w:rPr>
          <w:rFonts w:ascii="Verdana" w:hAnsi="Verdana" w:cs="Times New Roman"/>
          <w:lang w:val="es-ES"/>
        </w:rPr>
        <w:t>: 5</w:t>
      </w:r>
      <w:r w:rsidRPr="00EE4D50">
        <w:rPr>
          <w:rFonts w:ascii="Verdana" w:hAnsi="Verdana" w:cs="Times New Roman"/>
          <w:lang w:val="es-ES"/>
        </w:rPr>
        <w:t>).</w:t>
      </w:r>
    </w:p>
    <w:p w:rsidR="00EC4E36" w:rsidRPr="00EE4D50" w:rsidRDefault="00EC4E36" w:rsidP="00EC63DA">
      <w:pPr>
        <w:spacing w:after="60"/>
        <w:jc w:val="both"/>
        <w:rPr>
          <w:rFonts w:ascii="Verdana" w:hAnsi="Verdana" w:cs="Times New Roman"/>
          <w:lang w:val="es-ES"/>
        </w:rPr>
      </w:pPr>
    </w:p>
    <w:p w:rsidR="00BB07EF" w:rsidRPr="00EE4D50" w:rsidRDefault="00A02E7C" w:rsidP="00EC63DA">
      <w:pPr>
        <w:spacing w:after="60"/>
        <w:jc w:val="both"/>
        <w:rPr>
          <w:rFonts w:ascii="Verdana" w:hAnsi="Verdana" w:cs="Times New Roman"/>
        </w:rPr>
      </w:pPr>
      <w:r>
        <w:rPr>
          <w:rFonts w:ascii="Verdana" w:hAnsi="Verdana" w:cs="Times New Roman"/>
        </w:rPr>
        <w:t>Ekos (2016</w:t>
      </w:r>
      <w:r w:rsidR="00BB07EF" w:rsidRPr="00EE4D50">
        <w:rPr>
          <w:rFonts w:ascii="Verdana" w:hAnsi="Verdana" w:cs="Times New Roman"/>
        </w:rPr>
        <w:t>) argumenta que la caída del 2015 se dio por problemas de oferta generado por los cupos a las importaciones que impuso el</w:t>
      </w:r>
      <w:r w:rsidR="00EC4E36" w:rsidRPr="00EE4D50">
        <w:rPr>
          <w:rFonts w:ascii="Verdana" w:hAnsi="Verdana" w:cs="Times New Roman"/>
        </w:rPr>
        <w:t xml:space="preserve"> Gobierno. Mientras que en 2016</w:t>
      </w:r>
      <w:r w:rsidR="00BB07EF" w:rsidRPr="00EE4D50">
        <w:rPr>
          <w:rFonts w:ascii="Verdana" w:hAnsi="Verdana" w:cs="Times New Roman"/>
        </w:rPr>
        <w:t>, el problema radica en la demanda, ya que “la gente no está comprando vehículos, porque no tiene certezas de cuál va a ser el comportamiento de la economía”.</w:t>
      </w:r>
    </w:p>
    <w:p w:rsidR="0003233A" w:rsidRPr="00EE4D50" w:rsidRDefault="0003233A" w:rsidP="00EC63DA">
      <w:pPr>
        <w:spacing w:after="60"/>
        <w:jc w:val="both"/>
        <w:rPr>
          <w:rFonts w:ascii="Verdana" w:hAnsi="Verdana" w:cs="Times New Roman"/>
          <w:b/>
        </w:rPr>
      </w:pPr>
    </w:p>
    <w:p w:rsidR="00BB07EF" w:rsidRPr="00EE4D50" w:rsidRDefault="00BB07EF" w:rsidP="00EC63DA">
      <w:pPr>
        <w:pStyle w:val="Sinespaciado"/>
        <w:spacing w:line="276" w:lineRule="auto"/>
        <w:jc w:val="both"/>
        <w:rPr>
          <w:rFonts w:ascii="Verdana" w:hAnsi="Verdana" w:cs="Times New Roman"/>
        </w:rPr>
      </w:pPr>
      <w:r w:rsidRPr="00EE4D50">
        <w:rPr>
          <w:rFonts w:ascii="Verdana" w:hAnsi="Verdana" w:cs="Times New Roman"/>
        </w:rPr>
        <w:t xml:space="preserve">Ante este escenario complejo, se presenta a continuación el criterio del economista David Molina, </w:t>
      </w:r>
      <w:r w:rsidR="007E180E" w:rsidRPr="00EE4D50">
        <w:rPr>
          <w:rFonts w:ascii="Verdana" w:hAnsi="Verdana" w:cs="Times New Roman"/>
        </w:rPr>
        <w:t>Director E</w:t>
      </w:r>
      <w:r w:rsidRPr="00EE4D50">
        <w:rPr>
          <w:rFonts w:ascii="Verdana" w:hAnsi="Verdana" w:cs="Times New Roman"/>
        </w:rPr>
        <w:t>jecutivo de la Cámara de la Industria Automotriz Ecuatoriana (CINAE), a quien se le hizo una entrevista el día 1 de junio de 2016 con el objetivo de conocer las perspectivas del sector automotriz:</w:t>
      </w:r>
    </w:p>
    <w:p w:rsidR="009F1305" w:rsidRPr="00EE4D50" w:rsidRDefault="009F1305" w:rsidP="00EC63DA">
      <w:pPr>
        <w:jc w:val="both"/>
        <w:rPr>
          <w:rFonts w:ascii="Verdana" w:hAnsi="Verdana" w:cs="Times New Roman"/>
          <w:b/>
          <w:lang w:val="es-US"/>
        </w:rPr>
      </w:pPr>
    </w:p>
    <w:p w:rsidR="008F7BF6" w:rsidRDefault="008F7BF6" w:rsidP="00EC63DA">
      <w:pPr>
        <w:pStyle w:val="Ttulo2"/>
        <w:rPr>
          <w:rFonts w:cs="Times New Roman"/>
        </w:rPr>
      </w:pPr>
      <w:bookmarkStart w:id="112" w:name="_Toc485137241"/>
      <w:r w:rsidRPr="00EE4D50">
        <w:rPr>
          <w:rFonts w:cs="Times New Roman"/>
        </w:rPr>
        <w:t>Entrevista</w:t>
      </w:r>
      <w:bookmarkEnd w:id="112"/>
    </w:p>
    <w:p w:rsidR="00B74347" w:rsidRPr="00B74347" w:rsidRDefault="00B74347" w:rsidP="00EC63DA">
      <w:pPr>
        <w:rPr>
          <w:lang w:val="es-MX"/>
        </w:rPr>
      </w:pPr>
    </w:p>
    <w:p w:rsidR="00BB07EF" w:rsidRPr="00EE4D50" w:rsidRDefault="00BB07EF" w:rsidP="00EC63DA">
      <w:pPr>
        <w:pStyle w:val="Prrafodelista"/>
        <w:numPr>
          <w:ilvl w:val="0"/>
          <w:numId w:val="16"/>
        </w:numPr>
        <w:jc w:val="both"/>
        <w:rPr>
          <w:rFonts w:ascii="Verdana" w:hAnsi="Verdana" w:cs="Times New Roman"/>
          <w:b/>
          <w:i/>
        </w:rPr>
      </w:pPr>
      <w:r w:rsidRPr="00EE4D50">
        <w:rPr>
          <w:rFonts w:ascii="Verdana" w:hAnsi="Verdana" w:cs="Times New Roman"/>
          <w:b/>
          <w:i/>
        </w:rPr>
        <w:t>¿Por qué se ha contra</w:t>
      </w:r>
      <w:r w:rsidR="00004094" w:rsidRPr="00EE4D50">
        <w:rPr>
          <w:rFonts w:ascii="Verdana" w:hAnsi="Verdana" w:cs="Times New Roman"/>
          <w:b/>
          <w:i/>
        </w:rPr>
        <w:t>ído las ventas de vehículos en E</w:t>
      </w:r>
      <w:r w:rsidRPr="00EE4D50">
        <w:rPr>
          <w:rFonts w:ascii="Verdana" w:hAnsi="Verdana" w:cs="Times New Roman"/>
          <w:b/>
          <w:i/>
        </w:rPr>
        <w:t>cuador?</w:t>
      </w:r>
    </w:p>
    <w:p w:rsidR="0003233A" w:rsidRPr="00EE4D50" w:rsidRDefault="00BB07EF" w:rsidP="00EC63DA">
      <w:pPr>
        <w:spacing w:after="60"/>
        <w:jc w:val="both"/>
        <w:rPr>
          <w:rFonts w:ascii="Verdana" w:hAnsi="Verdana" w:cs="Times New Roman"/>
        </w:rPr>
      </w:pPr>
      <w:r w:rsidRPr="00EE4D50">
        <w:rPr>
          <w:rFonts w:ascii="Verdana" w:hAnsi="Verdana" w:cs="Times New Roman"/>
        </w:rPr>
        <w:t xml:space="preserve">Para esto hay que dividir en dos momentos históricos. En el año 2014, se vendieron 120.000 vehículos, tanto ensamblados en el país como comprados, incluido buses y camiones. Mientras que en el año 2015 esta cifra bajó a 80.000, este año no llegaremos a los 50.000 en total. Esto ha ocurrido por una mezcla de factores: en el 2015 por la asignación de cupos de importación, tanto para los </w:t>
      </w:r>
      <w:r w:rsidRPr="00EE4D50">
        <w:rPr>
          <w:rFonts w:ascii="Verdana" w:hAnsi="Verdana" w:cs="Times New Roman"/>
        </w:rPr>
        <w:lastRenderedPageBreak/>
        <w:t xml:space="preserve">vehículos armados como para los vehículos CKD, se redujo en un 30% en promedio; el 40% para los vehículos armados, ósea importados y 20% para los vehículos que se ensamblan en el país. Esto ocasionó un problema de oferta (no se puede vender más de lo que existe). Sin embargo para el año 2016 los cupos no se redujeron y las ventas han caído significativamente, lo que está ocurriendo ahora es un problema de demanda, esto ya vino acarreando desde finales del año anterior y se profundizó en este año. </w:t>
      </w:r>
    </w:p>
    <w:p w:rsidR="00BB07EF" w:rsidRPr="00EE4D50" w:rsidRDefault="00BB07EF" w:rsidP="00EC63DA">
      <w:pPr>
        <w:spacing w:after="60"/>
        <w:jc w:val="both"/>
        <w:rPr>
          <w:rFonts w:ascii="Verdana" w:hAnsi="Verdana" w:cs="Times New Roman"/>
        </w:rPr>
      </w:pPr>
      <w:r w:rsidRPr="00EE4D50">
        <w:rPr>
          <w:rFonts w:ascii="Verdana" w:hAnsi="Verdana" w:cs="Times New Roman"/>
        </w:rPr>
        <w:t>Las estadísticas nos dicen que en octubre del año pasado se creía que el problema era el acceso al crédito, pero la verdad resultó no ser eso. Ante esto se hizo análisis estadístico</w:t>
      </w:r>
      <w:r w:rsidRPr="00EE4D50">
        <w:rPr>
          <w:rStyle w:val="Refdenotaalpie"/>
          <w:rFonts w:ascii="Verdana" w:hAnsi="Verdana" w:cs="Times New Roman"/>
        </w:rPr>
        <w:footnoteReference w:id="20"/>
      </w:r>
      <w:r w:rsidRPr="00EE4D50">
        <w:rPr>
          <w:rFonts w:ascii="Verdana" w:hAnsi="Verdana" w:cs="Times New Roman"/>
        </w:rPr>
        <w:t>, y observaron que del 100% de las personas que tenía un crédito pre-aprobado para la compra de un vehículo, el 39% desistía de comprar ese vehículo, por múltiples razones:</w:t>
      </w:r>
    </w:p>
    <w:p w:rsidR="0003233A" w:rsidRPr="00EE4D50" w:rsidRDefault="0003233A" w:rsidP="00EC63DA">
      <w:pPr>
        <w:spacing w:after="60"/>
        <w:jc w:val="both"/>
        <w:rPr>
          <w:rFonts w:ascii="Verdana" w:hAnsi="Verdana" w:cs="Times New Roman"/>
        </w:rPr>
      </w:pPr>
    </w:p>
    <w:p w:rsidR="00BB07EF" w:rsidRPr="00EE4D50" w:rsidRDefault="00BB07EF" w:rsidP="00EC63DA">
      <w:pPr>
        <w:pStyle w:val="Prrafodelista"/>
        <w:numPr>
          <w:ilvl w:val="0"/>
          <w:numId w:val="18"/>
        </w:numPr>
        <w:jc w:val="both"/>
        <w:rPr>
          <w:rFonts w:ascii="Verdana" w:hAnsi="Verdana" w:cs="Times New Roman"/>
        </w:rPr>
      </w:pPr>
      <w:r w:rsidRPr="00EE4D50">
        <w:rPr>
          <w:rFonts w:ascii="Verdana" w:hAnsi="Verdana" w:cs="Times New Roman"/>
        </w:rPr>
        <w:t>Ya no quiero.</w:t>
      </w:r>
    </w:p>
    <w:p w:rsidR="00BB07EF" w:rsidRPr="00EE4D50" w:rsidRDefault="00BB07EF" w:rsidP="00EC63DA">
      <w:pPr>
        <w:pStyle w:val="Prrafodelista"/>
        <w:numPr>
          <w:ilvl w:val="0"/>
          <w:numId w:val="18"/>
        </w:numPr>
        <w:jc w:val="both"/>
        <w:rPr>
          <w:rFonts w:ascii="Verdana" w:hAnsi="Verdana" w:cs="Times New Roman"/>
        </w:rPr>
      </w:pPr>
      <w:r w:rsidRPr="00EE4D50">
        <w:rPr>
          <w:rFonts w:ascii="Verdana" w:hAnsi="Verdana" w:cs="Times New Roman"/>
        </w:rPr>
        <w:t>Me voy a comprar un auto usado.</w:t>
      </w:r>
    </w:p>
    <w:p w:rsidR="00BB07EF" w:rsidRPr="00EE4D50" w:rsidRDefault="00BB07EF" w:rsidP="00EC63DA">
      <w:pPr>
        <w:pStyle w:val="Prrafodelista"/>
        <w:numPr>
          <w:ilvl w:val="0"/>
          <w:numId w:val="18"/>
        </w:numPr>
        <w:jc w:val="both"/>
        <w:rPr>
          <w:rFonts w:ascii="Verdana" w:hAnsi="Verdana" w:cs="Times New Roman"/>
        </w:rPr>
      </w:pPr>
      <w:r w:rsidRPr="00EE4D50">
        <w:rPr>
          <w:rFonts w:ascii="Verdana" w:hAnsi="Verdana" w:cs="Times New Roman"/>
        </w:rPr>
        <w:t xml:space="preserve">Cambio de marca. </w:t>
      </w:r>
    </w:p>
    <w:p w:rsidR="0003233A" w:rsidRDefault="00BB07EF" w:rsidP="00EC63DA">
      <w:pPr>
        <w:pStyle w:val="Prrafodelista"/>
        <w:numPr>
          <w:ilvl w:val="0"/>
          <w:numId w:val="18"/>
        </w:numPr>
        <w:spacing w:after="60"/>
        <w:ind w:left="714" w:hanging="357"/>
        <w:jc w:val="both"/>
        <w:rPr>
          <w:rFonts w:ascii="Verdana" w:hAnsi="Verdana" w:cs="Times New Roman"/>
        </w:rPr>
      </w:pPr>
      <w:r w:rsidRPr="00EE4D50">
        <w:rPr>
          <w:rFonts w:ascii="Verdana" w:hAnsi="Verdana" w:cs="Times New Roman"/>
        </w:rPr>
        <w:t>Simplemente decido esperar.</w:t>
      </w:r>
    </w:p>
    <w:p w:rsidR="001A1E18" w:rsidRPr="001A1E18" w:rsidRDefault="001A1E18" w:rsidP="00EC63DA">
      <w:pPr>
        <w:pStyle w:val="Prrafodelista"/>
        <w:spacing w:after="60"/>
        <w:ind w:left="714"/>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De ese 39% que se registró en octubre del año pasado, el 12% ya no quería comprar el vehículo por temor a su estabilidad económica. En enero de este año, ese 39% de cada 100 aprobados, subió a 60%, ósea el 60% ya no quería comprar el vehículo y ese 12% paso a ser un 22%. Estamos frente a un ciclo bajo de economía. Esta industria ha pasado por ciclos de auge, pero hoy estamos viviendo un ciclo bajo y no se sabe hasta cuándo va a durar y cómo se va a recuperar. La gente tiene temor a quedarse sin trabajo porque las perspectivas económicas no se ven muy alentadoras, este es un bien que no es un commodity, y la gente lo piensa mucho en si es bueno comprarlo, claro que es una inversión pero genera deuda.</w:t>
      </w:r>
    </w:p>
    <w:p w:rsidR="0003233A" w:rsidRPr="00EE4D50" w:rsidRDefault="0003233A"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Por esta razón se planteó una medida que ya está en vigencia actualmente y que afortunadamente el gobierno la acogió, que fue la de reducir temporalmente el impuesto a los consumos especiales de los vehículos de hasta USD 30.000 con el objeto de poder abaratar los precios y poder salir del stock que actualmente tienen las empresas. Esto va a permitir vender vehículos que no se tenían pensado vender por precio.</w:t>
      </w:r>
    </w:p>
    <w:p w:rsidR="00BB07EF" w:rsidRPr="00EE4D50" w:rsidRDefault="00BB07EF" w:rsidP="00EC63DA">
      <w:pPr>
        <w:pStyle w:val="Prrafodelista"/>
        <w:jc w:val="both"/>
        <w:rPr>
          <w:rFonts w:ascii="Verdana" w:hAnsi="Verdana" w:cs="Times New Roman"/>
        </w:rPr>
      </w:pPr>
    </w:p>
    <w:p w:rsidR="00BB07EF" w:rsidRPr="00EE4D50" w:rsidRDefault="00BB07EF" w:rsidP="00EC63DA">
      <w:pPr>
        <w:pStyle w:val="Prrafodelista"/>
        <w:numPr>
          <w:ilvl w:val="0"/>
          <w:numId w:val="16"/>
        </w:numPr>
        <w:jc w:val="both"/>
        <w:rPr>
          <w:rFonts w:ascii="Verdana" w:hAnsi="Verdana" w:cs="Times New Roman"/>
          <w:b/>
          <w:i/>
        </w:rPr>
      </w:pPr>
      <w:r w:rsidRPr="00EE4D50">
        <w:rPr>
          <w:rFonts w:ascii="Verdana" w:hAnsi="Verdana" w:cs="Times New Roman"/>
          <w:b/>
          <w:i/>
        </w:rPr>
        <w:t>¿Por qué ha disminuido la actividad de los productores de autopartes ecuatorianas?</w:t>
      </w: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Esta disminución tiene varias aristas, una es los autopartistas, y hay dos clases de autopartistas: los autopartistas con mayor dependencia de las empresas ensambladoras y aquellas que tienen menor dependencia de ellas. Normalmente, las que no tienen mucha dependencia de las ensambladoras son aquellas que se </w:t>
      </w:r>
      <w:r w:rsidRPr="00EE4D50">
        <w:rPr>
          <w:rFonts w:ascii="Verdana" w:hAnsi="Verdana" w:cs="Times New Roman"/>
        </w:rPr>
        <w:lastRenderedPageBreak/>
        <w:t>enfocan mucho en el mercado de reposición, y son por ejemplo neumáticos y baterías principalmente. Si en un futuro desaparecen las ensambladoras, lo más probable es que se sigan vendiendo neumáticos y baterías porque esto necesariamente se cambia cada cierto tiempo.</w:t>
      </w:r>
    </w:p>
    <w:p w:rsidR="0003233A" w:rsidRPr="00EE4D50" w:rsidRDefault="0003233A"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Sin embargo, la gran mayoría de autopartistas se enfocan en piezas que no se cambian, como por ejemplo el balde de una camioneta no se cambia casi nunca; por lo tanto, están muy ligados al ensamblaje. Si se reduce la cantidad de vehículos vendidos se jala el problema a la cadena, ya que no se va a pedir tanta producción como antes, y probablemente solo se venda lo que está en stock y la planta de producción se paralice. Esto ocasiona disminución del empleo, esto ya se evidenció en el 2015 porque las ensambladoras tuvieron que hacer ajuste de personal, y por ende las empresas que las colaboraban tuvieron que hacer lo mismo, esto es una razón. </w:t>
      </w:r>
    </w:p>
    <w:p w:rsidR="0003233A" w:rsidRPr="00EE4D50" w:rsidRDefault="0003233A"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La otra razón es que no hay una política pública que este 100% aplicada y que no es consistente. No ha habido un sistema que incentive a comprar la producción local, y en su momento se implementó un sistema que fue, el CKD es la materia prima, el principal producto del ensamblaje, es el bien que compite con las autopartes. Los autopartistas les conviene que esté en 20%, lo que quiere decir que está más caro y por lo tanto se va vender, pero con 20% no resulta el modelo de negocio del ensamblador, por lo tanto no van a hacer ciertos modelos. </w:t>
      </w:r>
    </w:p>
    <w:p w:rsidR="0003233A" w:rsidRPr="00EE4D50" w:rsidRDefault="0003233A"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Por esta razón, se diseñó un esquema arancelario inversamente proporcional a la incorporación de partes y piezas, ósea si ellos incorporan un nivel determinado, el arancel baja, esto generaba un premio. Lastimosamente, con el gobierno se tuvo inconvenientes de contexto, y no se pudieron poner de acuerdo de cuál era la metodología a valorar de la incorporación de partes y piezas. Unos decían que la incorporación de la pieza es 100% cuando es hecha en el país, mientras que otra corriente afirmaba que si en importada la materia prima, ya no es 100% la pieza, al final ninguna economía produce lo que ya existe.</w:t>
      </w:r>
    </w:p>
    <w:p w:rsidR="0003233A" w:rsidRPr="00EE4D50" w:rsidRDefault="0003233A" w:rsidP="00EC63DA">
      <w:pPr>
        <w:spacing w:after="60"/>
        <w:jc w:val="both"/>
        <w:rPr>
          <w:rFonts w:ascii="Verdana" w:hAnsi="Verdana" w:cs="Times New Roman"/>
        </w:rPr>
      </w:pPr>
    </w:p>
    <w:p w:rsidR="0003233A" w:rsidRPr="00EE4D50" w:rsidRDefault="00BB07EF" w:rsidP="00EC63DA">
      <w:pPr>
        <w:spacing w:after="60"/>
        <w:jc w:val="both"/>
        <w:rPr>
          <w:rFonts w:ascii="Verdana" w:hAnsi="Verdana" w:cs="Times New Roman"/>
        </w:rPr>
      </w:pPr>
      <w:r w:rsidRPr="00EE4D50">
        <w:rPr>
          <w:rFonts w:ascii="Verdana" w:hAnsi="Verdana" w:cs="Times New Roman"/>
        </w:rPr>
        <w:t>Mientas duraban estas discusiones que tomaron tres años, no se pudo aplicar la tabla requerida en un principio. Hubo una inactividad de la política pública, ya que no se aplicó y no hubo el incentivo adecuado; y en diciembre del 2014, el arancel subió del 5% al 15%, y la tabla resulto inaplicable. Con estas cosas se ha tenido 0% de política pública hacia el sector automotriz, y con un 15% no hay incentivo porque se ha frenado un dialogo entre ensambladoras y autopartistas. Actualmente, están trabajando con el Ministerio de Industrias, y se está pensando en una lista mínima de incorporación, entonces hay que buscar un justo equilibrio, hay que buscar los incentivos indicados para la incorporación. Los incentivos adecuados serían:</w:t>
      </w:r>
    </w:p>
    <w:p w:rsidR="00BB07EF" w:rsidRPr="00EE4D50" w:rsidRDefault="00BB07EF" w:rsidP="00EC63DA">
      <w:pPr>
        <w:pStyle w:val="Prrafodelista"/>
        <w:numPr>
          <w:ilvl w:val="0"/>
          <w:numId w:val="15"/>
        </w:numPr>
        <w:jc w:val="both"/>
        <w:rPr>
          <w:rFonts w:ascii="Verdana" w:hAnsi="Verdana" w:cs="Times New Roman"/>
        </w:rPr>
      </w:pPr>
      <w:r w:rsidRPr="00EE4D50">
        <w:rPr>
          <w:rFonts w:ascii="Verdana" w:hAnsi="Verdana" w:cs="Times New Roman"/>
        </w:rPr>
        <w:lastRenderedPageBreak/>
        <w:t>Generar mayor incorporación, a través de un incentivo arancelario de reducción.</w:t>
      </w:r>
    </w:p>
    <w:p w:rsidR="00BB07EF" w:rsidRPr="00EE4D50" w:rsidRDefault="00BB07EF" w:rsidP="00EC63DA">
      <w:pPr>
        <w:pStyle w:val="Prrafodelista"/>
        <w:numPr>
          <w:ilvl w:val="0"/>
          <w:numId w:val="15"/>
        </w:numPr>
        <w:jc w:val="both"/>
        <w:rPr>
          <w:rFonts w:ascii="Verdana" w:hAnsi="Verdana" w:cs="Times New Roman"/>
        </w:rPr>
      </w:pPr>
      <w:r w:rsidRPr="00EE4D50">
        <w:rPr>
          <w:rFonts w:ascii="Verdana" w:hAnsi="Verdana" w:cs="Times New Roman"/>
        </w:rPr>
        <w:t>Generar protección positiva a los autopartistas, es decir, la pieza que venden debe tener el arancel más alto para la importación, y sus materias primas deben tener los aranceles más bajos para poder ser competitivos.</w:t>
      </w:r>
    </w:p>
    <w:p w:rsidR="00BB07EF" w:rsidRPr="00EE4D50" w:rsidRDefault="00BB07EF" w:rsidP="00EC63DA">
      <w:pPr>
        <w:pStyle w:val="Prrafodelista"/>
        <w:numPr>
          <w:ilvl w:val="0"/>
          <w:numId w:val="15"/>
        </w:numPr>
        <w:jc w:val="both"/>
        <w:rPr>
          <w:rFonts w:ascii="Verdana" w:hAnsi="Verdana" w:cs="Times New Roman"/>
        </w:rPr>
      </w:pPr>
      <w:r w:rsidRPr="00EE4D50">
        <w:rPr>
          <w:rFonts w:ascii="Verdana" w:hAnsi="Verdana" w:cs="Times New Roman"/>
        </w:rPr>
        <w:t>Convenios con otros países.</w:t>
      </w:r>
    </w:p>
    <w:p w:rsidR="00BB07EF" w:rsidRPr="00EE4D50" w:rsidRDefault="00BB07EF" w:rsidP="00EC63DA">
      <w:pPr>
        <w:jc w:val="both"/>
        <w:rPr>
          <w:rFonts w:ascii="Verdana" w:hAnsi="Verdana" w:cs="Times New Roman"/>
        </w:rPr>
      </w:pPr>
    </w:p>
    <w:p w:rsidR="00BB07EF" w:rsidRPr="00EE4D50" w:rsidRDefault="00BB07EF" w:rsidP="00EC63DA">
      <w:pPr>
        <w:pStyle w:val="Prrafodelista"/>
        <w:numPr>
          <w:ilvl w:val="0"/>
          <w:numId w:val="16"/>
        </w:numPr>
        <w:jc w:val="both"/>
        <w:rPr>
          <w:rFonts w:ascii="Verdana" w:hAnsi="Verdana" w:cs="Times New Roman"/>
          <w:b/>
          <w:i/>
        </w:rPr>
      </w:pPr>
      <w:r w:rsidRPr="00EE4D50">
        <w:rPr>
          <w:rFonts w:ascii="Verdana" w:hAnsi="Verdana" w:cs="Times New Roman"/>
          <w:b/>
        </w:rPr>
        <w:t>¿</w:t>
      </w:r>
      <w:r w:rsidRPr="00EE4D50">
        <w:rPr>
          <w:rFonts w:ascii="Verdana" w:hAnsi="Verdana" w:cs="Times New Roman"/>
          <w:b/>
          <w:i/>
        </w:rPr>
        <w:t>Qué fortalezas y facilidades logísticas existen actualmente en el sector autopartista ecuatoriano para que mejore su crecimiento?</w:t>
      </w:r>
    </w:p>
    <w:p w:rsidR="00BB07EF" w:rsidRPr="00EE4D50" w:rsidRDefault="00BB07EF" w:rsidP="00EC63DA">
      <w:pPr>
        <w:jc w:val="both"/>
        <w:rPr>
          <w:rFonts w:ascii="Verdana" w:hAnsi="Verdana" w:cs="Times New Roman"/>
        </w:rPr>
      </w:pPr>
      <w:r w:rsidRPr="00EE4D50">
        <w:rPr>
          <w:rFonts w:ascii="Verdana" w:hAnsi="Verdana" w:cs="Times New Roman"/>
        </w:rPr>
        <w:t>La logística es un tema fundamental para este sector y es una ventaja para que las empresas se instalen aquí. El sistema de ensamblaje es un sistema de justo a tiempo, ya que no se puede acumular muchos stocks, la entrega es inmediata; importar partes y piezas de afuera, significa tener una logística externa que permita tener esas facilidades. Todas las autopartistas están cerca de General Motors porque es la empresa más grande.</w:t>
      </w:r>
    </w:p>
    <w:p w:rsidR="00BB07EF" w:rsidRPr="00EE4D50" w:rsidRDefault="00BB07EF" w:rsidP="00EC63DA">
      <w:pPr>
        <w:jc w:val="both"/>
        <w:rPr>
          <w:rFonts w:ascii="Verdana" w:hAnsi="Verdana" w:cs="Times New Roman"/>
        </w:rPr>
      </w:pPr>
      <w:r w:rsidRPr="00EE4D50">
        <w:rPr>
          <w:rFonts w:ascii="Verdana" w:hAnsi="Verdana" w:cs="Times New Roman"/>
        </w:rPr>
        <w:t>La logística lo manejan muy bien las ensambladoras y tienen un sistema “justo a tiempo”, y  contratan logística externa para que lleguen a tiempo.</w:t>
      </w:r>
    </w:p>
    <w:p w:rsidR="00BB07EF" w:rsidRPr="00EE4D50" w:rsidRDefault="00BB07EF" w:rsidP="00EC63DA">
      <w:pPr>
        <w:spacing w:after="60"/>
        <w:jc w:val="both"/>
        <w:rPr>
          <w:rFonts w:ascii="Verdana" w:hAnsi="Verdana" w:cs="Times New Roman"/>
        </w:rPr>
      </w:pPr>
    </w:p>
    <w:p w:rsidR="00BB07EF" w:rsidRPr="00EE4D50" w:rsidRDefault="00BB07EF" w:rsidP="00EC63DA">
      <w:pPr>
        <w:pStyle w:val="Prrafodelista"/>
        <w:numPr>
          <w:ilvl w:val="0"/>
          <w:numId w:val="16"/>
        </w:numPr>
        <w:jc w:val="both"/>
        <w:rPr>
          <w:rFonts w:ascii="Verdana" w:hAnsi="Verdana" w:cs="Times New Roman"/>
          <w:b/>
          <w:i/>
        </w:rPr>
      </w:pPr>
      <w:r w:rsidRPr="00EE4D50">
        <w:rPr>
          <w:rFonts w:ascii="Verdana" w:hAnsi="Verdana" w:cs="Times New Roman"/>
          <w:b/>
          <w:i/>
        </w:rPr>
        <w:t>¿Qué oportunidades existe en el sector autopartista ecuatoriano para que se consolide como una industria que aporta significativamente a la matriz productiva del país?</w:t>
      </w:r>
    </w:p>
    <w:p w:rsidR="00BB07EF" w:rsidRPr="00EE4D50" w:rsidRDefault="00BB07EF" w:rsidP="00EC63DA">
      <w:pPr>
        <w:jc w:val="both"/>
        <w:rPr>
          <w:rFonts w:ascii="Verdana" w:hAnsi="Verdana" w:cs="Times New Roman"/>
        </w:rPr>
      </w:pPr>
      <w:r w:rsidRPr="00EE4D50">
        <w:rPr>
          <w:rFonts w:ascii="Verdana" w:hAnsi="Verdana" w:cs="Times New Roman"/>
        </w:rPr>
        <w:t>Tiene un potencial enorme, quizá con la farmacéutica que no está desarrollada, son los únicos sectores industriales de media y alta tecnología que existen. Toda la otra industria que tiene el país, que no es despreciable y nos da de comer, en términos de divisas es la agroindustria que tiene un potencial gigantesco, pero es una industria que no tiene alta tecnología. Mientras que el sector automotriz es una industria de precisión y el país está exigiendo estándares de calidad y seguridad del primer mundo. Se aprobó el año pasado el reglamento 034, que pone estándares a nivel de Europa, y las autopartistas tienen que hacer sus certificaciones, las cuales implican que trabajan con sus temas de calidad súper fuertes. Entonces, generando una política adecuada, generando los volúmenes adecuados y si se abre el mercado venezolano que se cerró hace tres años, hay potencialidades para generar divisas, innovación y traer más inversiones.</w:t>
      </w:r>
    </w:p>
    <w:p w:rsidR="00BB07EF" w:rsidRPr="00EE4D50" w:rsidRDefault="00BB07EF" w:rsidP="00EC63DA">
      <w:pPr>
        <w:pStyle w:val="Prrafodelista"/>
        <w:jc w:val="both"/>
        <w:rPr>
          <w:rFonts w:ascii="Verdana" w:hAnsi="Verdana" w:cs="Times New Roman"/>
          <w:b/>
          <w:i/>
        </w:rPr>
      </w:pPr>
    </w:p>
    <w:p w:rsidR="00BB07EF" w:rsidRPr="00EE4D50" w:rsidRDefault="00BB07EF" w:rsidP="00EC63DA">
      <w:pPr>
        <w:pStyle w:val="Prrafodelista"/>
        <w:numPr>
          <w:ilvl w:val="0"/>
          <w:numId w:val="16"/>
        </w:numPr>
        <w:jc w:val="both"/>
        <w:rPr>
          <w:rFonts w:ascii="Verdana" w:hAnsi="Verdana" w:cs="Times New Roman"/>
          <w:b/>
          <w:i/>
        </w:rPr>
      </w:pPr>
      <w:r w:rsidRPr="00EE4D50">
        <w:rPr>
          <w:rFonts w:ascii="Verdana" w:hAnsi="Verdana" w:cs="Times New Roman"/>
          <w:b/>
          <w:i/>
        </w:rPr>
        <w:t>¿Qué falencias existen en la actual política de gobierno hacia el sector metalmecánico autopartista ecuatoriano?</w:t>
      </w: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Lo que no existe es una conversación entre la política industrial y las otras políticas públicas tributaria, arancelaria, ambientales, de seguridad, de balanza de pagos; no existe una coordinación, cada medida sale, sin mirar cómo se puede afectar a la política industrial. Es evidente cuando se toma una medida de </w:t>
      </w:r>
      <w:r w:rsidRPr="00EE4D50">
        <w:rPr>
          <w:rFonts w:ascii="Verdana" w:hAnsi="Verdana" w:cs="Times New Roman"/>
        </w:rPr>
        <w:lastRenderedPageBreak/>
        <w:t>carácter arancelario, tributario, tienes que regresar a ver al sector automotor, ya que el sector automotriz genera una cantidad de impuestos impresionantes.</w:t>
      </w:r>
    </w:p>
    <w:p w:rsidR="0003233A" w:rsidRPr="00EE4D50" w:rsidRDefault="0003233A"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En el 2015, donde se cayó las importaciones, los impuestos generados por todo el sector de transportación, incluido transporte, buses, etc. fue de USD 800 millones, en aranceles, impuesto a la renta, iva; en el mejor momento eso superaba los USD 1.000 millones. Entonces cuando el país necesita plata para la caja fiscal, ¿a quién le cargan?, ¿le pongo impuesto a la comida o a tres ensambladoras?, ¿a las tres ensambladoras o a diez importadores</w:t>
      </w:r>
      <w:r w:rsidR="00337B4C" w:rsidRPr="00EE4D50">
        <w:rPr>
          <w:rFonts w:ascii="Verdana" w:hAnsi="Verdana" w:cs="Times New Roman"/>
        </w:rPr>
        <w:t>?</w:t>
      </w:r>
      <w:r w:rsidRPr="00EE4D50">
        <w:rPr>
          <w:rFonts w:ascii="Verdana" w:hAnsi="Verdana" w:cs="Times New Roman"/>
        </w:rPr>
        <w:t xml:space="preserve"> Esto es más manejable políticamente, no van a regresar a ver, primero porque es un sector muy grande, que factura muchísimo; y por lo tanto, es apetecible desde el punto de vista de generación tributaria, aranceles, etc. Subes el arancel del 10 al 15% del CKD y sólo se tiene reclamando a tres ensambladoras, o pones el arancel a las computadoras y reclamarían casi nadie. </w:t>
      </w:r>
    </w:p>
    <w:p w:rsidR="0003233A" w:rsidRPr="00EE4D50" w:rsidRDefault="0003233A"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 xml:space="preserve">Al final del día es un tema político que afecta y aniquila a la política industrial. Eso es lo que está pasando con la negociación con Corea hoy en día, no conversan con el sector industrial, ese es el verdadero problema donde no sólo debe haber una política industrial, sino debe haber una política integral del sector automotriz que se articule con la política comercial, arancelaria, tributaria, ambiental, de seguridad, de movilidad, entre otras y que no se contradigan entre sí. </w:t>
      </w:r>
    </w:p>
    <w:p w:rsidR="0003233A" w:rsidRPr="00EE4D50" w:rsidRDefault="0003233A"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gobierno tiene su propio punto de vista y se pregunta hasta qué punto es un verdadero cambio para la matriz productiva, es una industria que importa mucho. Si es un sector que debería ser fundamental para la matriz productiva y deberían impulsarlo, pero al ser un sector que genera mucha importación desequilibra las otras cuentas; por esta razón, el Ministerio de Economía no puede cerrar sus cuentas con tantas importaciones, tenemos dólar y como no podemos devaluar, tienen que irse al sector real. Y hay que darle más volumen a la industria, pero implica que se importa mucho, hay más salida de divisas y esa búsqueda de ese equilibrio es demasiado compleja.</w:t>
      </w:r>
    </w:p>
    <w:p w:rsidR="0003233A" w:rsidRPr="00EE4D50" w:rsidRDefault="0003233A" w:rsidP="00EC63DA">
      <w:pPr>
        <w:spacing w:after="60"/>
        <w:jc w:val="both"/>
        <w:rPr>
          <w:rFonts w:ascii="Verdana" w:hAnsi="Verdana" w:cs="Times New Roman"/>
        </w:rPr>
      </w:pPr>
    </w:p>
    <w:p w:rsidR="00BB07EF" w:rsidRPr="00EE4D50" w:rsidRDefault="00BB07EF" w:rsidP="00EC63DA">
      <w:pPr>
        <w:jc w:val="both"/>
        <w:rPr>
          <w:rFonts w:ascii="Verdana" w:hAnsi="Verdana" w:cs="Times New Roman"/>
        </w:rPr>
      </w:pPr>
      <w:r w:rsidRPr="00EE4D50">
        <w:rPr>
          <w:rFonts w:ascii="Verdana" w:hAnsi="Verdana" w:cs="Times New Roman"/>
        </w:rPr>
        <w:t>Lo mejor sería dejar de ser ensambladores y empezar a fabricar partes y piezas. Eso es posible si se encuentra mercados internacionales, los sistemas de fundición servirían si se va producir en masa, como una vez el gobierno pensó en hacer una gran siderúrgica que exporte, eso podría funcionar.</w:t>
      </w:r>
    </w:p>
    <w:p w:rsidR="00BB07EF" w:rsidRPr="00EE4D50" w:rsidRDefault="00BB07EF" w:rsidP="00EC63DA">
      <w:pPr>
        <w:spacing w:after="60"/>
        <w:jc w:val="both"/>
        <w:rPr>
          <w:rFonts w:ascii="Verdana" w:hAnsi="Verdana" w:cs="Times New Roman"/>
        </w:rPr>
      </w:pPr>
    </w:p>
    <w:p w:rsidR="00BB07EF" w:rsidRPr="00EE4D50" w:rsidRDefault="00BB07EF" w:rsidP="00EC63DA">
      <w:pPr>
        <w:jc w:val="both"/>
        <w:rPr>
          <w:rFonts w:ascii="Verdana" w:hAnsi="Verdana" w:cs="Times New Roman"/>
          <w:b/>
          <w:i/>
        </w:rPr>
      </w:pPr>
      <w:r w:rsidRPr="00EE4D50">
        <w:rPr>
          <w:rFonts w:ascii="Verdana" w:hAnsi="Verdana" w:cs="Times New Roman"/>
          <w:b/>
          <w:i/>
        </w:rPr>
        <w:t>Opinión final</w:t>
      </w:r>
    </w:p>
    <w:p w:rsidR="00BB07EF" w:rsidRPr="00EE4D50" w:rsidRDefault="00BB07EF" w:rsidP="00EC63DA">
      <w:pPr>
        <w:jc w:val="both"/>
        <w:rPr>
          <w:rFonts w:ascii="Verdana" w:hAnsi="Verdana" w:cs="Times New Roman"/>
        </w:rPr>
      </w:pPr>
      <w:r w:rsidRPr="00EE4D50">
        <w:rPr>
          <w:rFonts w:ascii="Verdana" w:hAnsi="Verdana" w:cs="Times New Roman"/>
        </w:rPr>
        <w:t>Cuando se habla del sector automotor, no solo hay que ver el sector industrial, sino todo lo que afecta como política pública:</w:t>
      </w:r>
    </w:p>
    <w:p w:rsidR="00BB07EF" w:rsidRPr="00EE4D50" w:rsidRDefault="00BB07EF" w:rsidP="00EC63DA">
      <w:pPr>
        <w:pStyle w:val="Prrafodelista"/>
        <w:numPr>
          <w:ilvl w:val="0"/>
          <w:numId w:val="17"/>
        </w:numPr>
        <w:jc w:val="both"/>
        <w:rPr>
          <w:rFonts w:ascii="Verdana" w:hAnsi="Verdana" w:cs="Times New Roman"/>
        </w:rPr>
      </w:pPr>
      <w:r w:rsidRPr="00EE4D50">
        <w:rPr>
          <w:rFonts w:ascii="Verdana" w:hAnsi="Verdana" w:cs="Times New Roman"/>
        </w:rPr>
        <w:lastRenderedPageBreak/>
        <w:t>Salida de divisas</w:t>
      </w:r>
    </w:p>
    <w:p w:rsidR="00BB07EF" w:rsidRPr="00EE4D50" w:rsidRDefault="00BB07EF" w:rsidP="00EC63DA">
      <w:pPr>
        <w:pStyle w:val="Prrafodelista"/>
        <w:numPr>
          <w:ilvl w:val="0"/>
          <w:numId w:val="17"/>
        </w:numPr>
        <w:jc w:val="both"/>
        <w:rPr>
          <w:rFonts w:ascii="Verdana" w:hAnsi="Verdana" w:cs="Times New Roman"/>
        </w:rPr>
      </w:pPr>
      <w:r w:rsidRPr="00EE4D50">
        <w:rPr>
          <w:rFonts w:ascii="Verdana" w:hAnsi="Verdana" w:cs="Times New Roman"/>
        </w:rPr>
        <w:t>Aranceles</w:t>
      </w:r>
    </w:p>
    <w:p w:rsidR="00BB07EF" w:rsidRPr="00EE4D50" w:rsidRDefault="00BB07EF" w:rsidP="00EC63DA">
      <w:pPr>
        <w:pStyle w:val="Prrafodelista"/>
        <w:numPr>
          <w:ilvl w:val="0"/>
          <w:numId w:val="17"/>
        </w:numPr>
        <w:jc w:val="both"/>
        <w:rPr>
          <w:rFonts w:ascii="Verdana" w:hAnsi="Verdana" w:cs="Times New Roman"/>
        </w:rPr>
      </w:pPr>
      <w:r w:rsidRPr="00EE4D50">
        <w:rPr>
          <w:rFonts w:ascii="Verdana" w:hAnsi="Verdana" w:cs="Times New Roman"/>
        </w:rPr>
        <w:t>Contaminación</w:t>
      </w:r>
    </w:p>
    <w:p w:rsidR="00BB07EF" w:rsidRPr="00EE4D50" w:rsidRDefault="00BB07EF" w:rsidP="00EC63DA">
      <w:pPr>
        <w:pStyle w:val="Prrafodelista"/>
        <w:numPr>
          <w:ilvl w:val="0"/>
          <w:numId w:val="17"/>
        </w:numPr>
        <w:jc w:val="both"/>
        <w:rPr>
          <w:rFonts w:ascii="Verdana" w:hAnsi="Verdana" w:cs="Times New Roman"/>
        </w:rPr>
      </w:pPr>
      <w:r w:rsidRPr="00EE4D50">
        <w:rPr>
          <w:rFonts w:ascii="Verdana" w:hAnsi="Verdana" w:cs="Times New Roman"/>
        </w:rPr>
        <w:t>Subsidio</w:t>
      </w:r>
    </w:p>
    <w:p w:rsidR="0003233A" w:rsidRPr="00EE4D50" w:rsidRDefault="00121737" w:rsidP="00EC63DA">
      <w:pPr>
        <w:pStyle w:val="Prrafodelista"/>
        <w:numPr>
          <w:ilvl w:val="0"/>
          <w:numId w:val="17"/>
        </w:numPr>
        <w:jc w:val="both"/>
        <w:rPr>
          <w:rFonts w:ascii="Verdana" w:hAnsi="Verdana" w:cs="Times New Roman"/>
        </w:rPr>
      </w:pPr>
      <w:r w:rsidRPr="00EE4D50">
        <w:rPr>
          <w:rFonts w:ascii="Verdana" w:hAnsi="Verdana" w:cs="Times New Roman"/>
        </w:rPr>
        <w:t>Seguridad</w:t>
      </w:r>
    </w:p>
    <w:p w:rsidR="00BB07EF" w:rsidRPr="00EE4D50" w:rsidRDefault="00BB07EF" w:rsidP="00EC63DA">
      <w:pPr>
        <w:spacing w:after="60"/>
        <w:jc w:val="both"/>
        <w:rPr>
          <w:rFonts w:ascii="Verdana" w:hAnsi="Verdana" w:cs="Times New Roman"/>
        </w:rPr>
      </w:pPr>
      <w:r w:rsidRPr="00EE4D50">
        <w:rPr>
          <w:rFonts w:ascii="Verdana" w:hAnsi="Verdana" w:cs="Times New Roman"/>
        </w:rPr>
        <w:t>Al final del día hay que ver cuánto le cuesta al país tener más vehículos, en relación del tráfico (que se valora a través del tiempo) y tener la infraestructura vehicular. Cada auto que entra es un problema de salida de divisa, de contaminación, de seguridad, lo cual tiene varios detractores; mientras que para la otra parte, cada auto que vendemos es ganancia, empleo, innovación, tecnología.</w:t>
      </w:r>
    </w:p>
    <w:p w:rsidR="0003233A" w:rsidRPr="00EE4D50" w:rsidRDefault="0003233A" w:rsidP="00EC63DA">
      <w:pPr>
        <w:spacing w:after="60"/>
        <w:jc w:val="both"/>
        <w:rPr>
          <w:rFonts w:ascii="Verdana" w:hAnsi="Verdana" w:cs="Times New Roman"/>
        </w:rPr>
      </w:pPr>
    </w:p>
    <w:p w:rsidR="00BB07EF" w:rsidRPr="00EE4D50" w:rsidRDefault="00BB07EF" w:rsidP="00EC63DA">
      <w:pPr>
        <w:jc w:val="both"/>
        <w:rPr>
          <w:rFonts w:ascii="Verdana" w:hAnsi="Verdana" w:cs="Times New Roman"/>
        </w:rPr>
      </w:pPr>
      <w:r w:rsidRPr="00EE4D50">
        <w:rPr>
          <w:rFonts w:ascii="Verdana" w:hAnsi="Verdana" w:cs="Times New Roman"/>
        </w:rPr>
        <w:t>Hay que mirar la integridad de la política, no funciona solo con una visión, porque varias partes del gobierno pueden poner sus objeciones. Se necesita una política pública consistente y analizar la sostenibilidad de la industria en un contexto de apertura comercial, en un contexto de la liquidez.</w:t>
      </w:r>
    </w:p>
    <w:p w:rsidR="00EC4E36" w:rsidRPr="00EE4D50" w:rsidRDefault="00EC4E36" w:rsidP="00EC63DA">
      <w:pPr>
        <w:spacing w:after="60"/>
        <w:jc w:val="both"/>
        <w:rPr>
          <w:rFonts w:ascii="Verdana" w:hAnsi="Verdana" w:cs="Times New Roman"/>
        </w:rPr>
      </w:pPr>
    </w:p>
    <w:p w:rsidR="00EC4E36" w:rsidRDefault="00EC4E36" w:rsidP="00EC63DA">
      <w:pPr>
        <w:pStyle w:val="Ttulo2"/>
        <w:rPr>
          <w:rFonts w:cs="Times New Roman"/>
        </w:rPr>
      </w:pPr>
      <w:bookmarkStart w:id="113" w:name="_Toc485137242"/>
      <w:r w:rsidRPr="00EE4D50">
        <w:rPr>
          <w:rFonts w:cs="Times New Roman"/>
        </w:rPr>
        <w:t>Propuestas de política industrial para el sector automotor</w:t>
      </w:r>
      <w:bookmarkEnd w:id="113"/>
    </w:p>
    <w:p w:rsidR="00EC4A49" w:rsidRPr="00EC4A49" w:rsidRDefault="00EC4A49" w:rsidP="00EC4A49">
      <w:pPr>
        <w:rPr>
          <w:lang w:val="es-MX"/>
        </w:rPr>
      </w:pPr>
    </w:p>
    <w:p w:rsidR="00EC4A49" w:rsidRDefault="00EC4A49" w:rsidP="00EC4A49">
      <w:pPr>
        <w:spacing w:after="60"/>
        <w:jc w:val="both"/>
        <w:rPr>
          <w:rFonts w:ascii="Verdana" w:hAnsi="Verdana" w:cs="Times New Roman"/>
        </w:rPr>
      </w:pPr>
      <w:r w:rsidRPr="00EC4A49">
        <w:rPr>
          <w:rFonts w:ascii="Verdana" w:hAnsi="Verdana" w:cs="Times New Roman"/>
        </w:rPr>
        <w:t>La industria automotriz en el país es importante en la economía ecuatoriana ya que impulsa el desarrollo de otras industrias.  El aporte de este sector en los últimos años ha generado 250 millones de dólares y se ha creado alrededor de 6.000 puestos de trabajo directos y unos 5.000 indirectos (CINAE, 2017)</w:t>
      </w:r>
    </w:p>
    <w:p w:rsidR="00524BF2" w:rsidRPr="00EC4A49" w:rsidRDefault="00524BF2" w:rsidP="00EC4A49">
      <w:pPr>
        <w:spacing w:after="60"/>
        <w:jc w:val="both"/>
        <w:rPr>
          <w:rFonts w:ascii="Verdana" w:hAnsi="Verdana" w:cs="Times New Roman"/>
        </w:rPr>
      </w:pPr>
    </w:p>
    <w:p w:rsidR="00EC4A49" w:rsidRDefault="00EC4A49" w:rsidP="00EC4A49">
      <w:pPr>
        <w:spacing w:after="60"/>
        <w:jc w:val="both"/>
        <w:rPr>
          <w:rFonts w:ascii="Verdana" w:hAnsi="Verdana" w:cs="Times New Roman"/>
        </w:rPr>
      </w:pPr>
      <w:r w:rsidRPr="00EC4A49">
        <w:rPr>
          <w:rFonts w:ascii="Verdana" w:hAnsi="Verdana" w:cs="Times New Roman"/>
        </w:rPr>
        <w:t>El año anterior mostro una contracción en el sector  que ha llevado a que las ventas anuales se comparen como las registradas hace 13 años atrás. Por esta razón es importante una política industrial urgente y eficaz que lleve a dar un giro a este sector.</w:t>
      </w:r>
    </w:p>
    <w:p w:rsidR="00524BF2" w:rsidRPr="00EC4A49" w:rsidRDefault="00524BF2" w:rsidP="00EC4A49">
      <w:pPr>
        <w:spacing w:after="60"/>
        <w:jc w:val="both"/>
        <w:rPr>
          <w:rFonts w:ascii="Verdana" w:hAnsi="Verdana" w:cs="Times New Roman"/>
        </w:rPr>
      </w:pPr>
    </w:p>
    <w:p w:rsidR="00EC4A49" w:rsidRDefault="00EC4A49" w:rsidP="00EC4A49">
      <w:pPr>
        <w:spacing w:after="60"/>
        <w:jc w:val="both"/>
        <w:rPr>
          <w:rFonts w:ascii="Verdana" w:hAnsi="Verdana" w:cs="Times New Roman"/>
        </w:rPr>
      </w:pPr>
      <w:r w:rsidRPr="00EC4A49">
        <w:rPr>
          <w:rFonts w:ascii="Verdana" w:hAnsi="Verdana" w:cs="Times New Roman"/>
        </w:rPr>
        <w:t xml:space="preserve">La CINAE ha trabajo en varias propuestas para que esta política industrial sea efectiva y permita el desarrollo y crecimiento de la industria del ensamblaje y de su encadenamiento productivo. También ha trabajado con varias autoridades públicas. </w:t>
      </w:r>
    </w:p>
    <w:p w:rsidR="00524BF2" w:rsidRPr="00EC4A49" w:rsidRDefault="00524BF2" w:rsidP="00EC4A49">
      <w:pPr>
        <w:spacing w:after="60"/>
        <w:jc w:val="both"/>
        <w:rPr>
          <w:rFonts w:ascii="Verdana" w:hAnsi="Verdana" w:cs="Times New Roman"/>
        </w:rPr>
      </w:pPr>
    </w:p>
    <w:p w:rsidR="00EC4A49" w:rsidRPr="00EC4A49" w:rsidRDefault="00EC4A49" w:rsidP="00EC4A49">
      <w:pPr>
        <w:spacing w:after="60"/>
        <w:jc w:val="both"/>
        <w:rPr>
          <w:rFonts w:ascii="Verdana" w:hAnsi="Verdana" w:cs="Times New Roman"/>
        </w:rPr>
      </w:pPr>
      <w:r w:rsidRPr="00EC4A49">
        <w:rPr>
          <w:rFonts w:ascii="Verdana" w:hAnsi="Verdana" w:cs="Times New Roman"/>
        </w:rPr>
        <w:t xml:space="preserve">En el 2012, el Comité de Comercio Exterior (COMEX), detalló una política arancelaria que incentive la incorporación de contenido nacional, con su Resolución 065 a mayor incorporación de contenido, menor arancel para el CKD, pero esta nunca fue aprobada por presentar discrepancias entre integrantes del gobierno. En diciembre del 2014 el Comex incorporo un arancel minimo del 15% para las importaciones  de CKD, lo cual no promovió incentivos para la incorporación local y ocaciono una competencia desigual entre los vehiculos </w:t>
      </w:r>
      <w:r w:rsidRPr="00EC4A49">
        <w:rPr>
          <w:rFonts w:ascii="Verdana" w:hAnsi="Verdana" w:cs="Times New Roman"/>
        </w:rPr>
        <w:lastRenderedPageBreak/>
        <w:t>armados que vienen de Colombia y que pagan 0% arancel a los de producción nacional (CINAE, 2017)</w:t>
      </w:r>
    </w:p>
    <w:p w:rsidR="00EC4E36" w:rsidRPr="00EE4D50" w:rsidRDefault="00EC4E36" w:rsidP="00EC63DA">
      <w:pPr>
        <w:spacing w:after="60"/>
        <w:jc w:val="both"/>
        <w:rPr>
          <w:rFonts w:ascii="Verdana" w:hAnsi="Verdana" w:cs="Times New Roman"/>
          <w:b/>
        </w:rPr>
      </w:pPr>
    </w:p>
    <w:p w:rsidR="00EC4E36" w:rsidRPr="00EE4D50" w:rsidRDefault="00EC4E36" w:rsidP="00EC63DA">
      <w:pPr>
        <w:spacing w:after="60"/>
        <w:jc w:val="both"/>
        <w:rPr>
          <w:rFonts w:ascii="Verdana" w:hAnsi="Verdana" w:cs="Times New Roman"/>
          <w:b/>
          <w:sz w:val="18"/>
        </w:rPr>
      </w:pPr>
      <w:r w:rsidRPr="00EE4D50">
        <w:rPr>
          <w:rFonts w:ascii="Verdana" w:hAnsi="Verdana" w:cs="Times New Roman"/>
          <w:color w:val="000000"/>
          <w:szCs w:val="27"/>
        </w:rPr>
        <w:t>La cámara de la industria automotriz (CINAE) tiene la particularidad de que aglutina a ensambladores y autopartistas, lo cual es una situación inédita porque los intereses no son necesariamente convergentes entre ellos. A continuación se presenta la posición de ambas partes:</w:t>
      </w:r>
    </w:p>
    <w:p w:rsidR="00EC4E36" w:rsidRPr="00EE4D50" w:rsidRDefault="00EC4E36" w:rsidP="00EC63DA">
      <w:pPr>
        <w:spacing w:after="60"/>
        <w:jc w:val="both"/>
        <w:rPr>
          <w:rFonts w:ascii="Verdana" w:hAnsi="Verdana" w:cs="Times New Roman"/>
          <w:b/>
          <w:sz w:val="18"/>
        </w:rPr>
      </w:pPr>
    </w:p>
    <w:p w:rsidR="00EC4E36" w:rsidRPr="00EE4D50" w:rsidRDefault="00EC4E36" w:rsidP="00EC63DA">
      <w:pPr>
        <w:pStyle w:val="Ttulo2"/>
        <w:rPr>
          <w:rFonts w:cs="Times New Roman"/>
        </w:rPr>
      </w:pPr>
      <w:bookmarkStart w:id="114" w:name="_Toc485137243"/>
      <w:r w:rsidRPr="00EE4D50">
        <w:rPr>
          <w:rFonts w:cs="Times New Roman"/>
        </w:rPr>
        <w:t>Empresas autopartistas sobre política industrial</w:t>
      </w:r>
      <w:bookmarkEnd w:id="114"/>
    </w:p>
    <w:p w:rsidR="00EC4E36" w:rsidRPr="00EE4D50" w:rsidRDefault="00EC4E36" w:rsidP="00EC63DA">
      <w:pPr>
        <w:spacing w:after="60"/>
        <w:jc w:val="both"/>
        <w:rPr>
          <w:rFonts w:ascii="Verdana" w:hAnsi="Verdana" w:cs="Times New Roman"/>
          <w:b/>
        </w:rPr>
      </w:pPr>
    </w:p>
    <w:p w:rsidR="00EC4E36" w:rsidRPr="00EE4D50" w:rsidRDefault="00EC4E36" w:rsidP="00EC63DA">
      <w:pPr>
        <w:spacing w:after="60"/>
        <w:jc w:val="both"/>
        <w:rPr>
          <w:rFonts w:ascii="Verdana" w:hAnsi="Verdana" w:cs="Times New Roman"/>
        </w:rPr>
      </w:pPr>
      <w:r w:rsidRPr="00EE4D50">
        <w:rPr>
          <w:rFonts w:ascii="Verdana" w:hAnsi="Verdana" w:cs="Times New Roman"/>
        </w:rPr>
        <w:t xml:space="preserve">Los autopartistas nacionales proponen articular una política industrial del sector para promover el ensamblaje de vehículos, consolidando y ampliando la actual base de fabricantes de autopartes. </w:t>
      </w:r>
    </w:p>
    <w:p w:rsidR="00EC4E36" w:rsidRPr="00EE4D50" w:rsidRDefault="00EC4E36" w:rsidP="00EC63DA">
      <w:pPr>
        <w:spacing w:after="60"/>
        <w:jc w:val="both"/>
        <w:rPr>
          <w:rFonts w:ascii="Verdana" w:hAnsi="Verdana" w:cs="Times New Roman"/>
        </w:rPr>
      </w:pPr>
    </w:p>
    <w:p w:rsidR="00EC4E36" w:rsidRPr="00EE4D50" w:rsidRDefault="00EC4E36" w:rsidP="00EC63DA">
      <w:pPr>
        <w:spacing w:after="60"/>
        <w:jc w:val="both"/>
        <w:rPr>
          <w:rFonts w:ascii="Verdana" w:hAnsi="Verdana" w:cs="Times New Roman"/>
        </w:rPr>
      </w:pPr>
      <w:r w:rsidRPr="00EE4D50">
        <w:rPr>
          <w:rFonts w:ascii="Verdana" w:hAnsi="Verdana" w:cs="Times New Roman"/>
        </w:rPr>
        <w:t>A continuación, se presenta una síntesis de los ejes de dicha política que fueron presentadas en el Oficio CPI 186-16 de fecha 20 de diciembre de 2016, suscrito por el Eco. Guillermo Landázuri - presidente de la Comisión de la Política Industrial de la Cámara de la Industria Automotriz (CINAE),  dirigida al señor Ministro de Industrias Santiago León, en la cual se presenta la posición de las empresas autopartistas sobre política industrial</w:t>
      </w:r>
      <w:r w:rsidRPr="00EE4D50">
        <w:rPr>
          <w:rStyle w:val="Refdenotaalpie"/>
          <w:rFonts w:ascii="Verdana" w:hAnsi="Verdana" w:cs="Times New Roman"/>
        </w:rPr>
        <w:footnoteReference w:id="21"/>
      </w:r>
      <w:r w:rsidRPr="00EE4D50">
        <w:rPr>
          <w:rFonts w:ascii="Verdana" w:hAnsi="Verdana" w:cs="Times New Roman"/>
        </w:rPr>
        <w:t>:</w:t>
      </w:r>
    </w:p>
    <w:p w:rsidR="00EC4E36" w:rsidRPr="00EE4D50" w:rsidRDefault="00EC4E36" w:rsidP="00EC63DA">
      <w:pPr>
        <w:spacing w:after="60"/>
        <w:jc w:val="both"/>
        <w:rPr>
          <w:rFonts w:ascii="Verdana" w:hAnsi="Verdana" w:cs="Times New Roman"/>
        </w:rPr>
      </w:pPr>
      <w:r w:rsidRPr="00EE4D50">
        <w:rPr>
          <w:rFonts w:ascii="Verdana" w:hAnsi="Verdana" w:cs="Times New Roman"/>
        </w:rPr>
        <w:t>Se busca la competitividad del sector en todos los niveles de la cadena. Por eso proponen una “lista mínima de componentes nacionales” para mejorar la escala de producción y asegurar las inversiones y el empleo.</w:t>
      </w:r>
    </w:p>
    <w:p w:rsidR="00EC4E36" w:rsidRPr="00EE4D50" w:rsidRDefault="00EC4E36" w:rsidP="00EC63DA">
      <w:pPr>
        <w:spacing w:after="60"/>
        <w:jc w:val="both"/>
        <w:rPr>
          <w:rFonts w:ascii="Verdana" w:hAnsi="Verdana" w:cs="Times New Roman"/>
        </w:rPr>
      </w:pPr>
    </w:p>
    <w:p w:rsidR="00EC4E36" w:rsidRPr="00EE4D50" w:rsidRDefault="00EC4E36" w:rsidP="00EC63DA">
      <w:pPr>
        <w:spacing w:after="60"/>
        <w:jc w:val="both"/>
        <w:rPr>
          <w:rFonts w:ascii="Verdana" w:hAnsi="Verdana" w:cs="Times New Roman"/>
        </w:rPr>
      </w:pPr>
      <w:r w:rsidRPr="00EE4D50">
        <w:rPr>
          <w:rFonts w:ascii="Verdana" w:hAnsi="Verdana" w:cs="Times New Roman"/>
        </w:rPr>
        <w:t>La lista mínima debe contener (partes y piezas) que en la actualidad ya se incorporan en los vehículos, y aquellos que ya se venían integrando. Si las ensambladoras ya están incorporando estas partes y piezas, es precisamente, porque ya cumplen con los estándares y niveles de competitividad requeridos por las ensambladoras.</w:t>
      </w:r>
    </w:p>
    <w:p w:rsidR="00EC4E36" w:rsidRPr="00EE4D50" w:rsidRDefault="00EC4E36" w:rsidP="00EC63DA">
      <w:pPr>
        <w:spacing w:after="60"/>
        <w:jc w:val="both"/>
        <w:rPr>
          <w:rFonts w:ascii="Verdana" w:hAnsi="Verdana" w:cs="Times New Roman"/>
        </w:rPr>
      </w:pPr>
    </w:p>
    <w:p w:rsidR="00EC4E36" w:rsidRPr="00EE4D50" w:rsidRDefault="00EC4E36" w:rsidP="00EC63DA">
      <w:pPr>
        <w:spacing w:after="60"/>
        <w:jc w:val="both"/>
        <w:rPr>
          <w:rFonts w:ascii="Verdana" w:hAnsi="Verdana" w:cs="Times New Roman"/>
        </w:rPr>
      </w:pPr>
      <w:r w:rsidRPr="00EE4D50">
        <w:rPr>
          <w:rFonts w:ascii="Verdana" w:hAnsi="Verdana" w:cs="Times New Roman"/>
        </w:rPr>
        <w:t>Es importante que la lista tenga vigencia temporal hasta que se cumplan al menos lo siguiente:</w:t>
      </w:r>
    </w:p>
    <w:p w:rsidR="00EC4E36" w:rsidRPr="00EE4D50" w:rsidRDefault="00EC4E36" w:rsidP="00EC63DA">
      <w:pPr>
        <w:pStyle w:val="Prrafodelista"/>
        <w:jc w:val="both"/>
        <w:rPr>
          <w:rFonts w:ascii="Verdana" w:hAnsi="Verdana" w:cs="Times New Roman"/>
        </w:rPr>
      </w:pPr>
    </w:p>
    <w:p w:rsidR="00EC4E36" w:rsidRPr="00EE4D50" w:rsidRDefault="00EC4E36" w:rsidP="00EC63DA">
      <w:pPr>
        <w:pStyle w:val="Prrafodelista"/>
        <w:numPr>
          <w:ilvl w:val="0"/>
          <w:numId w:val="22"/>
        </w:numPr>
        <w:jc w:val="both"/>
        <w:rPr>
          <w:rFonts w:ascii="Verdana" w:hAnsi="Verdana" w:cs="Times New Roman"/>
        </w:rPr>
      </w:pPr>
      <w:r w:rsidRPr="00EE4D50">
        <w:rPr>
          <w:rFonts w:ascii="Verdana" w:hAnsi="Verdana" w:cs="Times New Roman"/>
        </w:rPr>
        <w:t>Hasta que entre en vigencia una tabla arancelaria inversa al porcentaje de Incorporación de Material Originario Ecuatoriano (MOE). Es decir, una tabla arancelaria que premie la incorporación nacional con un menor arancel.</w:t>
      </w:r>
    </w:p>
    <w:p w:rsidR="00EC4E36" w:rsidRPr="00EE4D50" w:rsidRDefault="00EC4E36" w:rsidP="00EC63DA">
      <w:pPr>
        <w:pStyle w:val="Prrafodelista"/>
        <w:ind w:left="1080"/>
        <w:jc w:val="both"/>
        <w:rPr>
          <w:rFonts w:ascii="Verdana" w:hAnsi="Verdana" w:cs="Times New Roman"/>
        </w:rPr>
      </w:pPr>
    </w:p>
    <w:p w:rsidR="00EC4E36" w:rsidRDefault="00EC4E36" w:rsidP="00EC63DA">
      <w:pPr>
        <w:pStyle w:val="Prrafodelista"/>
        <w:numPr>
          <w:ilvl w:val="0"/>
          <w:numId w:val="22"/>
        </w:numPr>
        <w:jc w:val="both"/>
        <w:rPr>
          <w:rFonts w:ascii="Verdana" w:hAnsi="Verdana" w:cs="Times New Roman"/>
        </w:rPr>
      </w:pPr>
      <w:r w:rsidRPr="00EE4D50">
        <w:rPr>
          <w:rFonts w:ascii="Verdana" w:hAnsi="Verdana" w:cs="Times New Roman"/>
        </w:rPr>
        <w:t>Hasta que todos los modelos que se ensamblan en el país hayan alcanzado, al menos, un porcentaje de incorporación equivalente al promedio actual, que se sitúa alrededor del 16%.</w:t>
      </w:r>
    </w:p>
    <w:p w:rsidR="00524BF2" w:rsidRPr="00524BF2" w:rsidRDefault="00524BF2" w:rsidP="00524BF2">
      <w:pPr>
        <w:jc w:val="both"/>
        <w:rPr>
          <w:rFonts w:ascii="Verdana" w:hAnsi="Verdana" w:cs="Times New Roman"/>
        </w:rPr>
      </w:pPr>
    </w:p>
    <w:p w:rsidR="00EC4E36" w:rsidRDefault="00524BF2" w:rsidP="00524BF2">
      <w:pPr>
        <w:jc w:val="both"/>
        <w:rPr>
          <w:rFonts w:ascii="Verdana" w:hAnsi="Verdana" w:cs="Times New Roman"/>
        </w:rPr>
      </w:pPr>
      <w:r>
        <w:rPr>
          <w:rFonts w:ascii="Verdana" w:hAnsi="Verdana" w:cs="Times New Roman"/>
        </w:rPr>
        <w:t>Las últimas propuestas que han estado discutiendo con autoridades del Gobierno según CINAE, 2017 son las siguientes:</w:t>
      </w:r>
    </w:p>
    <w:p w:rsidR="00524BF2" w:rsidRPr="00524BF2" w:rsidRDefault="00524BF2" w:rsidP="00524BF2">
      <w:pPr>
        <w:spacing w:after="60" w:line="240" w:lineRule="auto"/>
        <w:ind w:left="644"/>
        <w:jc w:val="both"/>
        <w:rPr>
          <w:rFonts w:ascii="Verdana" w:eastAsia="Times New Roman" w:hAnsi="Verdana" w:cs="Times New Roman"/>
          <w:sz w:val="20"/>
          <w:lang w:eastAsia="es-EC"/>
        </w:rPr>
      </w:pPr>
      <w:r w:rsidRPr="00524BF2">
        <w:rPr>
          <w:rFonts w:ascii="Verdana" w:eastAsia="Times New Roman" w:hAnsi="Verdana" w:cs="Times New Roman"/>
          <w:sz w:val="20"/>
          <w:lang w:eastAsia="es-EC"/>
        </w:rPr>
        <w:t xml:space="preserve">• El mantenimiento del arancel externo común para los vehículos armados (CBU) en los niveles que permite la Organización Mundial de Comercio (OMC). </w:t>
      </w:r>
    </w:p>
    <w:p w:rsidR="00524BF2" w:rsidRPr="00524BF2" w:rsidRDefault="00524BF2" w:rsidP="00524BF2">
      <w:pPr>
        <w:spacing w:after="60" w:line="240" w:lineRule="auto"/>
        <w:ind w:left="644"/>
        <w:jc w:val="both"/>
        <w:rPr>
          <w:rFonts w:ascii="Verdana" w:eastAsia="Times New Roman" w:hAnsi="Verdana" w:cs="Times New Roman"/>
          <w:sz w:val="20"/>
          <w:lang w:eastAsia="es-EC"/>
        </w:rPr>
      </w:pPr>
      <w:r w:rsidRPr="00524BF2">
        <w:rPr>
          <w:rFonts w:ascii="Verdana" w:eastAsia="Times New Roman" w:hAnsi="Verdana" w:cs="Times New Roman"/>
          <w:sz w:val="20"/>
          <w:lang w:eastAsia="es-EC"/>
        </w:rPr>
        <w:t xml:space="preserve">• El establecimiento de una tabla arancelaria para los CKD que premie con aranceles bajos, la incorporación de contenido nacional. </w:t>
      </w:r>
    </w:p>
    <w:p w:rsidR="00524BF2" w:rsidRPr="00524BF2" w:rsidRDefault="00524BF2" w:rsidP="00524BF2">
      <w:pPr>
        <w:spacing w:after="60" w:line="240" w:lineRule="auto"/>
        <w:ind w:left="644"/>
        <w:jc w:val="both"/>
        <w:rPr>
          <w:rFonts w:ascii="Verdana" w:eastAsia="Times New Roman" w:hAnsi="Verdana" w:cs="Times New Roman"/>
          <w:sz w:val="20"/>
          <w:lang w:eastAsia="es-EC"/>
        </w:rPr>
      </w:pPr>
      <w:r w:rsidRPr="00524BF2">
        <w:rPr>
          <w:rFonts w:ascii="Verdana" w:eastAsia="Times New Roman" w:hAnsi="Verdana" w:cs="Times New Roman"/>
          <w:sz w:val="20"/>
          <w:lang w:eastAsia="es-EC"/>
        </w:rPr>
        <w:t>• El establecimiento de reglas claras que incentiven la compra local por parte de las ensambladoras, como el incremento del porcentaje mínimo de incorporación y el fortalecimiento de la industria autopartista.</w:t>
      </w:r>
    </w:p>
    <w:p w:rsidR="00524BF2" w:rsidRPr="00524BF2" w:rsidRDefault="00524BF2" w:rsidP="00524BF2">
      <w:pPr>
        <w:spacing w:after="60" w:line="240" w:lineRule="auto"/>
        <w:ind w:left="644"/>
        <w:jc w:val="both"/>
        <w:rPr>
          <w:rFonts w:ascii="Verdana" w:eastAsia="Times New Roman" w:hAnsi="Verdana" w:cs="Times New Roman"/>
          <w:sz w:val="20"/>
          <w:lang w:eastAsia="es-EC"/>
        </w:rPr>
      </w:pPr>
      <w:r w:rsidRPr="00524BF2">
        <w:rPr>
          <w:rFonts w:ascii="Verdana" w:eastAsia="Times New Roman" w:hAnsi="Verdana" w:cs="Times New Roman"/>
          <w:sz w:val="20"/>
          <w:lang w:eastAsia="es-EC"/>
        </w:rPr>
        <w:t xml:space="preserve"> • Mejoramiento de la competitividad para el sector de autopartes, a través de la reducción de aranceles y salvaguardias en sus bienes de capital, materias primas e insumos. </w:t>
      </w:r>
    </w:p>
    <w:p w:rsidR="00524BF2" w:rsidRDefault="00524BF2" w:rsidP="00524BF2">
      <w:pPr>
        <w:spacing w:after="60" w:line="240" w:lineRule="auto"/>
        <w:ind w:left="644"/>
        <w:jc w:val="both"/>
        <w:rPr>
          <w:rFonts w:ascii="Verdana" w:eastAsia="Times New Roman" w:hAnsi="Verdana" w:cs="Times New Roman"/>
          <w:sz w:val="20"/>
          <w:lang w:eastAsia="es-EC"/>
        </w:rPr>
      </w:pPr>
      <w:r w:rsidRPr="00524BF2">
        <w:rPr>
          <w:rFonts w:ascii="Verdana" w:eastAsia="Times New Roman" w:hAnsi="Verdana" w:cs="Times New Roman"/>
          <w:sz w:val="20"/>
          <w:lang w:eastAsia="es-EC"/>
        </w:rPr>
        <w:t>• Diseño de programas de desarrollo y fortalecimiento de proveedores, con la activa participación de la empresa privada.</w:t>
      </w:r>
    </w:p>
    <w:p w:rsidR="00524BF2" w:rsidRPr="00524BF2" w:rsidRDefault="00524BF2" w:rsidP="00524BF2">
      <w:pPr>
        <w:spacing w:after="60" w:line="240" w:lineRule="auto"/>
        <w:ind w:left="644"/>
        <w:jc w:val="both"/>
        <w:rPr>
          <w:rFonts w:ascii="Verdana" w:eastAsia="Times New Roman" w:hAnsi="Verdana" w:cs="Times New Roman"/>
          <w:sz w:val="20"/>
          <w:lang w:eastAsia="es-EC"/>
        </w:rPr>
      </w:pPr>
    </w:p>
    <w:p w:rsidR="00EC4E36" w:rsidRPr="00EE4D50" w:rsidRDefault="00EC4E36" w:rsidP="00EC63DA">
      <w:pPr>
        <w:pStyle w:val="Ttulo2"/>
        <w:rPr>
          <w:rFonts w:cs="Times New Roman"/>
        </w:rPr>
      </w:pPr>
      <w:bookmarkStart w:id="115" w:name="_Toc485137244"/>
      <w:r w:rsidRPr="00EE4D50">
        <w:rPr>
          <w:rFonts w:cs="Times New Roman"/>
        </w:rPr>
        <w:t>Empresas ensambladoras sobre política industrial</w:t>
      </w:r>
      <w:bookmarkEnd w:id="115"/>
    </w:p>
    <w:p w:rsidR="00EC4E36" w:rsidRPr="00EE4D50" w:rsidRDefault="00EC4E36" w:rsidP="00EC63DA">
      <w:pPr>
        <w:spacing w:after="60"/>
        <w:jc w:val="both"/>
        <w:rPr>
          <w:rFonts w:ascii="Verdana" w:hAnsi="Verdana" w:cs="Times New Roman"/>
          <w:b/>
        </w:rPr>
      </w:pPr>
    </w:p>
    <w:p w:rsidR="00EC4E36" w:rsidRPr="00EE4D50" w:rsidRDefault="00EC4E36" w:rsidP="00EC63DA">
      <w:pPr>
        <w:spacing w:after="60"/>
        <w:jc w:val="both"/>
        <w:rPr>
          <w:rFonts w:ascii="Verdana" w:hAnsi="Verdana" w:cs="Times New Roman"/>
        </w:rPr>
      </w:pPr>
      <w:r w:rsidRPr="00EE4D50">
        <w:rPr>
          <w:rFonts w:ascii="Verdana" w:hAnsi="Verdana" w:cs="Times New Roman"/>
        </w:rPr>
        <w:t>Con el fin de analizar la posición de los autopartistas sobre el establecimiento de la lista mínima obligatoria, el 23 de diciembre de 2016, las empresas ensambladoras se reunieron y enviaron una carta al Ministro de Industrias argumentando la inconveniencia del establecimiento de la referida lista. Lo que solicitaron al Ministro consistió en que entre en vigencia la resolución 065 aplicándola acorde a los convenios firmados por el Ecuador y en simultáneo, una reducción arancelaria al 0% a las materias primas de los diferentes autopartistas.</w:t>
      </w:r>
    </w:p>
    <w:p w:rsidR="00EC4E36" w:rsidRPr="00EE4D50" w:rsidRDefault="00EC4E36" w:rsidP="00EC63DA">
      <w:pPr>
        <w:spacing w:after="60"/>
        <w:jc w:val="both"/>
        <w:rPr>
          <w:rFonts w:ascii="Verdana" w:hAnsi="Verdana" w:cs="Times New Roman"/>
        </w:rPr>
      </w:pPr>
    </w:p>
    <w:p w:rsidR="00EC4E36" w:rsidRPr="00EE4D50" w:rsidRDefault="00EC4E36" w:rsidP="00EC63DA">
      <w:pPr>
        <w:spacing w:after="60"/>
        <w:jc w:val="both"/>
        <w:rPr>
          <w:rFonts w:ascii="Verdana" w:hAnsi="Verdana" w:cs="Times New Roman"/>
        </w:rPr>
      </w:pPr>
      <w:r w:rsidRPr="00EE4D50">
        <w:rPr>
          <w:rFonts w:ascii="Verdana" w:hAnsi="Verdana" w:cs="Times New Roman"/>
        </w:rPr>
        <w:t>Los representantes de las ensambladoras señalaron que ya se aprobó un instrumento que va en la línea de aprobar una tabla arancelaria que premie la incorporación nacional. Es por eso que solicitaron la vigencia de la resolución 065 del COMEX</w:t>
      </w:r>
      <w:r w:rsidRPr="00EE4D50">
        <w:rPr>
          <w:rStyle w:val="Refdenotaalpie"/>
          <w:rFonts w:ascii="Verdana" w:hAnsi="Verdana" w:cs="Times New Roman"/>
        </w:rPr>
        <w:footnoteReference w:id="22"/>
      </w:r>
      <w:r w:rsidRPr="00EE4D50">
        <w:rPr>
          <w:rFonts w:ascii="Verdana" w:hAnsi="Verdana" w:cs="Times New Roman"/>
        </w:rPr>
        <w:t xml:space="preserve"> establecida en junio del 2012 que por razones inherentes a la propia administración pública nunca se puso en vigencia. </w:t>
      </w:r>
    </w:p>
    <w:p w:rsidR="00EC4E36" w:rsidRPr="00EE4D50" w:rsidRDefault="00EC4E36" w:rsidP="00EC63DA">
      <w:pPr>
        <w:spacing w:after="60"/>
        <w:jc w:val="both"/>
        <w:rPr>
          <w:rFonts w:ascii="Verdana" w:hAnsi="Verdana" w:cs="Times New Roman"/>
        </w:rPr>
      </w:pPr>
    </w:p>
    <w:p w:rsidR="00EC4E36" w:rsidRPr="00EE4D50" w:rsidRDefault="00EC4E36" w:rsidP="00EC63DA">
      <w:pPr>
        <w:pStyle w:val="Ttulo2"/>
        <w:rPr>
          <w:rFonts w:cs="Times New Roman"/>
        </w:rPr>
      </w:pPr>
      <w:bookmarkStart w:id="116" w:name="_Toc485137245"/>
      <w:r w:rsidRPr="00EE4D50">
        <w:rPr>
          <w:rFonts w:cs="Times New Roman"/>
        </w:rPr>
        <w:t>Resolución</w:t>
      </w:r>
      <w:bookmarkEnd w:id="116"/>
    </w:p>
    <w:p w:rsidR="00EC4E36" w:rsidRPr="00EE4D50" w:rsidRDefault="00EC4E36" w:rsidP="00EC63DA">
      <w:pPr>
        <w:spacing w:after="60"/>
        <w:jc w:val="both"/>
        <w:rPr>
          <w:rFonts w:ascii="Verdana" w:hAnsi="Verdana" w:cs="Times New Roman"/>
          <w:b/>
        </w:rPr>
      </w:pPr>
    </w:p>
    <w:p w:rsidR="00EC4E36" w:rsidRDefault="00EC4E36" w:rsidP="00EC63DA">
      <w:pPr>
        <w:spacing w:after="60"/>
        <w:jc w:val="both"/>
        <w:rPr>
          <w:rFonts w:ascii="Verdana" w:hAnsi="Verdana" w:cs="Times New Roman"/>
        </w:rPr>
      </w:pPr>
      <w:r w:rsidRPr="00EE4D50">
        <w:rPr>
          <w:rFonts w:ascii="Verdana" w:hAnsi="Verdana" w:cs="Times New Roman"/>
        </w:rPr>
        <w:t>El desacuerdo entre autopartistas y ensambladoras consiste en que los primeros dicen que lo que se ha producido como autopartes, en esta historia de 40 años, debe ser lo mínimo que integre toda plataforma que se haga en el país, a no ser, que hayan dificultades tecnológicas. Mientras que los ensambladores dicen que eso es una presión indebida, pero en esa r</w:t>
      </w:r>
      <w:r w:rsidR="00824DBB">
        <w:rPr>
          <w:rFonts w:ascii="Verdana" w:hAnsi="Verdana" w:cs="Times New Roman"/>
        </w:rPr>
        <w:t xml:space="preserve">elación ellos son los que tienen la </w:t>
      </w:r>
      <w:r w:rsidR="00824DBB">
        <w:rPr>
          <w:rFonts w:ascii="Verdana" w:hAnsi="Verdana" w:cs="Times New Roman"/>
        </w:rPr>
        <w:lastRenderedPageBreak/>
        <w:t>iniciativa para incorporar</w:t>
      </w:r>
      <w:r w:rsidRPr="00EE4D50">
        <w:rPr>
          <w:rFonts w:ascii="Verdana" w:hAnsi="Verdana" w:cs="Times New Roman"/>
        </w:rPr>
        <w:t>, es decir, las partes que se han hecho en el país han sido porque ello</w:t>
      </w:r>
      <w:r w:rsidR="00824DBB">
        <w:rPr>
          <w:rFonts w:ascii="Verdana" w:hAnsi="Verdana" w:cs="Times New Roman"/>
        </w:rPr>
        <w:t>s han impulsado</w:t>
      </w:r>
      <w:r w:rsidRPr="00EE4D50">
        <w:rPr>
          <w:rFonts w:ascii="Verdana" w:hAnsi="Verdana" w:cs="Times New Roman"/>
        </w:rPr>
        <w:t xml:space="preserve">. Por esto, </w:t>
      </w:r>
      <w:r w:rsidR="00B002C4">
        <w:rPr>
          <w:rFonts w:ascii="Verdana" w:hAnsi="Verdana" w:cs="Times New Roman"/>
        </w:rPr>
        <w:t>a las ensambladoras no les ha convenido integrar más componente nacional, esto conlleva a que el porcentaje mínimo del 13% el cual tiene que llegar al 16% se deberá ir incorporando con más componente nacional.</w:t>
      </w:r>
    </w:p>
    <w:p w:rsidR="00B002C4" w:rsidRPr="00EE4D50" w:rsidRDefault="00B002C4" w:rsidP="00EC63DA">
      <w:pPr>
        <w:spacing w:after="60"/>
        <w:jc w:val="both"/>
        <w:rPr>
          <w:rFonts w:ascii="Verdana" w:hAnsi="Verdana" w:cs="Times New Roman"/>
        </w:rPr>
      </w:pPr>
    </w:p>
    <w:p w:rsidR="00EC4E36" w:rsidRPr="00EE4D50" w:rsidRDefault="00EC4E36" w:rsidP="00EC63DA">
      <w:pPr>
        <w:spacing w:after="60"/>
        <w:jc w:val="both"/>
        <w:rPr>
          <w:rFonts w:ascii="Verdana" w:hAnsi="Verdana" w:cs="Times New Roman"/>
        </w:rPr>
      </w:pPr>
      <w:r w:rsidRPr="00EE4D50">
        <w:rPr>
          <w:rFonts w:ascii="Verdana" w:hAnsi="Verdana" w:cs="Times New Roman"/>
        </w:rPr>
        <w:t>Después de los puntos de vista expuestos por los sectores autopartistas y ensambladores, la CINAE ha tomado contacto con las autoridades encargadas de este proceso para detallar avances. Al respecto, CINAE (2017</w:t>
      </w:r>
      <w:r w:rsidR="000360FF">
        <w:rPr>
          <w:rFonts w:ascii="Verdana" w:hAnsi="Verdana" w:cs="Times New Roman"/>
        </w:rPr>
        <w:t>a: 7</w:t>
      </w:r>
      <w:r w:rsidRPr="00EE4D50">
        <w:rPr>
          <w:rFonts w:ascii="Verdana" w:hAnsi="Verdana" w:cs="Times New Roman"/>
        </w:rPr>
        <w:t>) señala que “el Director Ejecutivo de la CINAE conoció que el Ministro de industrias habría aceptado la conformación de una lista mínima obligatoria de componentes ecuatorianos que deben incorporarse al ensamblaje de vehículos, con el carácter de temporal”.</w:t>
      </w:r>
    </w:p>
    <w:p w:rsidR="00EC4E36" w:rsidRPr="00EE4D50" w:rsidRDefault="00EC4E36" w:rsidP="00EC63DA">
      <w:pPr>
        <w:spacing w:after="60"/>
        <w:jc w:val="both"/>
        <w:rPr>
          <w:rFonts w:ascii="Verdana" w:hAnsi="Verdana" w:cs="Times New Roman"/>
        </w:rPr>
      </w:pPr>
    </w:p>
    <w:p w:rsidR="00EC4E36" w:rsidRPr="00EE4D50" w:rsidRDefault="00EC4E36" w:rsidP="00EC63DA">
      <w:pPr>
        <w:spacing w:after="60"/>
        <w:jc w:val="both"/>
        <w:rPr>
          <w:rFonts w:ascii="Verdana" w:hAnsi="Verdana" w:cs="Times New Roman"/>
        </w:rPr>
      </w:pPr>
      <w:r w:rsidRPr="00EE4D50">
        <w:rPr>
          <w:rFonts w:ascii="Verdana" w:hAnsi="Verdana" w:cs="Times New Roman"/>
        </w:rPr>
        <w:t>Según CINAE (2017b</w:t>
      </w:r>
      <w:r w:rsidR="000360FF">
        <w:rPr>
          <w:rFonts w:ascii="Verdana" w:hAnsi="Verdana" w:cs="Times New Roman"/>
        </w:rPr>
        <w:t>: 8</w:t>
      </w:r>
      <w:r w:rsidRPr="00EE4D50">
        <w:rPr>
          <w:rFonts w:ascii="Verdana" w:hAnsi="Verdana" w:cs="Times New Roman"/>
        </w:rPr>
        <w:t>), como parte del proceso, el 26 de enero de 2017 se reunió la comisión de política industrial de la CINAE para discutir la aplicabilidad de la lista mínima de componentes ecuatorianos que deben incorporarse en el ensamblaje. Se elaboró la lista de las partes y piezas que se producen actualmente en Ecuador</w:t>
      </w:r>
      <w:r w:rsidRPr="00EE4D50">
        <w:rPr>
          <w:rStyle w:val="Refdenotaalpie"/>
          <w:rFonts w:ascii="Verdana" w:hAnsi="Verdana" w:cs="Times New Roman"/>
        </w:rPr>
        <w:footnoteReference w:id="23"/>
      </w:r>
      <w:r w:rsidRPr="00EE4D50">
        <w:rPr>
          <w:rFonts w:ascii="Verdana" w:hAnsi="Verdana" w:cs="Times New Roman"/>
        </w:rPr>
        <w:t xml:space="preserve">, y que se han incorporado en al menos uno de los modelos ensamblados en el país en los últimos tres años. </w:t>
      </w:r>
    </w:p>
    <w:p w:rsidR="00EC4E36" w:rsidRPr="00EE4D50" w:rsidRDefault="00EC4E36" w:rsidP="00EC63DA">
      <w:pPr>
        <w:spacing w:after="60"/>
        <w:jc w:val="both"/>
        <w:rPr>
          <w:rFonts w:ascii="Verdana" w:hAnsi="Verdana" w:cs="Times New Roman"/>
        </w:rPr>
      </w:pPr>
    </w:p>
    <w:p w:rsidR="00EC4E36" w:rsidRDefault="00EC4E36" w:rsidP="00EC63DA">
      <w:pPr>
        <w:jc w:val="both"/>
        <w:rPr>
          <w:rFonts w:ascii="Verdana" w:hAnsi="Verdana" w:cs="Times New Roman"/>
        </w:rPr>
      </w:pPr>
      <w:r w:rsidRPr="00EE4D50">
        <w:rPr>
          <w:rFonts w:ascii="Verdana" w:hAnsi="Verdana" w:cs="Times New Roman"/>
        </w:rPr>
        <w:t>Con esta información, la CINAE envió una carta al Ministro de Industrias con la lista para poner en marcha la propuesta de la comisión en pos de una perspectiva de sostenibilidad y crecimiento, pues lo óptimo sería promover un modelo de desarrollo hacia la industrialización y sustituir eficientemente a las importaciones, teniendo en cuenta de que si existe industria nacional para la fabricación de autopartes.</w:t>
      </w:r>
    </w:p>
    <w:p w:rsidR="00665EC5" w:rsidRDefault="00665EC5" w:rsidP="00EC63DA">
      <w:pPr>
        <w:jc w:val="both"/>
        <w:rPr>
          <w:rFonts w:ascii="Verdana" w:hAnsi="Verdana" w:cs="Times New Roman"/>
        </w:rPr>
      </w:pPr>
    </w:p>
    <w:p w:rsidR="00665EC5" w:rsidRDefault="00665EC5" w:rsidP="00665EC5">
      <w:pPr>
        <w:pStyle w:val="Ttulo2"/>
      </w:pPr>
      <w:bookmarkStart w:id="117" w:name="_Toc485137246"/>
      <w:r>
        <w:t>Conclusiones capítulo 3</w:t>
      </w:r>
      <w:bookmarkEnd w:id="117"/>
    </w:p>
    <w:p w:rsidR="00665EC5" w:rsidRPr="00EE4D50" w:rsidRDefault="00665EC5" w:rsidP="00EC63DA">
      <w:pPr>
        <w:jc w:val="both"/>
        <w:rPr>
          <w:rFonts w:ascii="Verdana" w:hAnsi="Verdana" w:cs="Times New Roman"/>
        </w:rPr>
      </w:pPr>
    </w:p>
    <w:p w:rsidR="00665EC5" w:rsidRDefault="00665EC5" w:rsidP="00665EC5">
      <w:pPr>
        <w:jc w:val="both"/>
        <w:rPr>
          <w:rFonts w:ascii="Verdana" w:hAnsi="Verdana"/>
        </w:rPr>
      </w:pPr>
      <w:r>
        <w:rPr>
          <w:rFonts w:ascii="Verdana" w:hAnsi="Verdana"/>
        </w:rPr>
        <w:t>En este capítulo se han analizado diferentes industrias automotrices que han ido a la par con el país como son Colombia y Argentina; y la Industria de México que se ha consolidado como una de las mejores de América Latina por su auge en el ensamblaje y por tener las mejores plantas ensambladoras de mundo.</w:t>
      </w:r>
    </w:p>
    <w:p w:rsidR="00665EC5" w:rsidRPr="00CB40D7" w:rsidRDefault="00665EC5" w:rsidP="00665EC5">
      <w:pPr>
        <w:jc w:val="both"/>
        <w:rPr>
          <w:rFonts w:ascii="Verdana" w:hAnsi="Verdana" w:cs="Times New Roman"/>
        </w:rPr>
      </w:pPr>
      <w:r>
        <w:rPr>
          <w:rFonts w:ascii="Verdana" w:hAnsi="Verdana"/>
        </w:rPr>
        <w:t xml:space="preserve">Argentina ha tenido una trayectoria histórica con </w:t>
      </w:r>
      <w:r w:rsidRPr="00CB40D7">
        <w:rPr>
          <w:rFonts w:ascii="Verdana" w:hAnsi="Verdana" w:cs="Times New Roman"/>
        </w:rPr>
        <w:t>shocks externos e internos experimentados por la economía local como internacional, lo cual generó que la producción de vehículos a través de la industria auto</w:t>
      </w:r>
      <w:r>
        <w:rPr>
          <w:rFonts w:ascii="Verdana" w:hAnsi="Verdana" w:cs="Times New Roman"/>
        </w:rPr>
        <w:t>motriz en los años 90’s registró</w:t>
      </w:r>
      <w:r w:rsidRPr="00CB40D7">
        <w:rPr>
          <w:rFonts w:ascii="Verdana" w:hAnsi="Verdana" w:cs="Times New Roman"/>
        </w:rPr>
        <w:t xml:space="preserve"> una caída de 0,3% en promedio anual, en tanto que, durante el período 2003-2012, este sector creció en promedio 17 % anual.</w:t>
      </w:r>
    </w:p>
    <w:p w:rsidR="00665EC5" w:rsidRDefault="00665EC5" w:rsidP="00665EC5">
      <w:pPr>
        <w:spacing w:after="60"/>
        <w:jc w:val="both"/>
        <w:rPr>
          <w:rFonts w:ascii="Verdana" w:hAnsi="Verdana" w:cs="Times New Roman"/>
        </w:rPr>
      </w:pPr>
      <w:r w:rsidRPr="00EE4D50">
        <w:rPr>
          <w:rFonts w:ascii="Verdana" w:hAnsi="Verdana" w:cs="Times New Roman"/>
        </w:rPr>
        <w:lastRenderedPageBreak/>
        <w:t>La industria automotriz es el resultado de transformaciones que incluyen la evolución hacia la globalización del sector, así como el alineamiento a una política industrial interna, aspectos que han mantenido un proceso de constante evolución e innovación. A diferencia del manejo político sobre el sector automotriz de Argentina, el Gobierno de México prestó un gran esfuerzo para desarrollar el mismo, debido a que este sector fue considerado como clave en el desarrollo industrial de México. Por esta razón, las medidas que fueron tomadas con el fin de proteger al sector se las enfocó en aplicar ciertas restricciones al número de empresas terminales, limitar la participación de la inversión extranjera directa en las empresas de autopartes, y prohibir la importación de partes que sean producidos a nive</w:t>
      </w:r>
      <w:r>
        <w:rPr>
          <w:rFonts w:ascii="Verdana" w:hAnsi="Verdana" w:cs="Times New Roman"/>
        </w:rPr>
        <w:t>l local, así como de vehículos.</w:t>
      </w:r>
    </w:p>
    <w:p w:rsidR="00665EC5" w:rsidRPr="00A54112" w:rsidRDefault="00665EC5" w:rsidP="00665EC5">
      <w:pPr>
        <w:spacing w:after="60"/>
        <w:jc w:val="both"/>
        <w:rPr>
          <w:rFonts w:ascii="Verdana" w:hAnsi="Verdana" w:cs="Times New Roman"/>
        </w:rPr>
      </w:pPr>
    </w:p>
    <w:p w:rsidR="00665EC5" w:rsidRDefault="00665EC5" w:rsidP="00665EC5">
      <w:pPr>
        <w:jc w:val="both"/>
        <w:rPr>
          <w:rFonts w:ascii="Verdana" w:hAnsi="Verdana" w:cs="Times New Roman"/>
        </w:rPr>
      </w:pPr>
      <w:r w:rsidRPr="00EE4D50">
        <w:rPr>
          <w:rFonts w:ascii="Verdana" w:hAnsi="Verdana" w:cs="Times New Roman"/>
        </w:rPr>
        <w:t xml:space="preserve">El sector automotriz colombiano debería reflexionar sobre la realidad de su industria automotriz, la cual </w:t>
      </w:r>
      <w:r>
        <w:rPr>
          <w:rFonts w:ascii="Verdana" w:hAnsi="Verdana" w:cs="Times New Roman"/>
        </w:rPr>
        <w:t>requiere</w:t>
      </w:r>
      <w:r w:rsidRPr="00EE4D50">
        <w:rPr>
          <w:rFonts w:ascii="Verdana" w:hAnsi="Verdana" w:cs="Times New Roman"/>
        </w:rPr>
        <w:t xml:space="preserve"> una revisión de aspectos proteccionistas creciente y prolongado, con la consecuente baja incorporación del contenido nacional. </w:t>
      </w:r>
      <w:r>
        <w:rPr>
          <w:rFonts w:ascii="Verdana" w:hAnsi="Verdana" w:cs="Times New Roman"/>
        </w:rPr>
        <w:t xml:space="preserve">Los tratados de libre comercio que se han realizado </w:t>
      </w:r>
      <w:r w:rsidRPr="00EE4D50">
        <w:rPr>
          <w:rFonts w:ascii="Verdana" w:hAnsi="Verdana" w:cs="Times New Roman"/>
        </w:rPr>
        <w:t xml:space="preserve">con Estados Unidos y Europa </w:t>
      </w:r>
      <w:r>
        <w:rPr>
          <w:rFonts w:ascii="Verdana" w:hAnsi="Verdana" w:cs="Times New Roman"/>
        </w:rPr>
        <w:t>han dificultado su industria, deben considerar</w:t>
      </w:r>
      <w:r w:rsidRPr="00EE4D50">
        <w:rPr>
          <w:rFonts w:ascii="Verdana" w:hAnsi="Verdana" w:cs="Times New Roman"/>
        </w:rPr>
        <w:t xml:space="preserve"> una reestructuración de los plazos, ya que Colombia mantiene una relación sensible respecto al sector automotriz, razón por la cual dicho país deberá apuntar a acuerdos en el mediano y corto plazo para el desarrollo de la industria.</w:t>
      </w:r>
    </w:p>
    <w:p w:rsidR="0041783F" w:rsidRDefault="0041783F" w:rsidP="0041783F">
      <w:pPr>
        <w:jc w:val="both"/>
        <w:rPr>
          <w:rFonts w:ascii="Verdana" w:hAnsi="Verdana" w:cs="Times New Roman"/>
        </w:rPr>
      </w:pPr>
      <w:r>
        <w:rPr>
          <w:rFonts w:ascii="Verdana" w:hAnsi="Verdana" w:cs="Times New Roman"/>
        </w:rPr>
        <w:t>Se debe desarrollar un sector autopartista que contribuya con sus productos para que el ensamblador sea más competitivo. Por esta razón debe haber un trabajo en conjunto, entre autopartistas, ensambladores y estado, los cuales deben buscar un equilibro y un bienestar común sin afectar al otro, con iniciativas, apoyo en común.</w:t>
      </w:r>
    </w:p>
    <w:p w:rsidR="0041783F" w:rsidRPr="00CB40D7" w:rsidRDefault="0041783F" w:rsidP="0041783F">
      <w:pPr>
        <w:jc w:val="both"/>
        <w:rPr>
          <w:rFonts w:ascii="Verdana" w:hAnsi="Verdana"/>
        </w:rPr>
      </w:pPr>
      <w:r>
        <w:rPr>
          <w:rFonts w:ascii="Verdana" w:hAnsi="Verdana" w:cs="Times New Roman"/>
        </w:rPr>
        <w:t>El Estado debe incluir políticas públicas que ayuden al autopartista ya que ellos son la parte primordial que va ayudar al crecimiento de la industria y a la consolidación del sector del ensamblaje.</w:t>
      </w:r>
    </w:p>
    <w:p w:rsidR="006E0E23" w:rsidRPr="00EE4D50" w:rsidRDefault="006E0E23" w:rsidP="00EC63DA">
      <w:pPr>
        <w:pStyle w:val="Ttulo1"/>
        <w:rPr>
          <w:rFonts w:ascii="Verdana" w:hAnsi="Verdana" w:cs="Times New Roman"/>
          <w:i/>
          <w:color w:val="auto"/>
          <w:sz w:val="36"/>
          <w:szCs w:val="36"/>
          <w:lang w:val="es-EC"/>
        </w:rPr>
      </w:pPr>
    </w:p>
    <w:p w:rsidR="00862CCC" w:rsidRDefault="00862CCC" w:rsidP="00EC63DA">
      <w:pPr>
        <w:rPr>
          <w:rFonts w:ascii="Verdana" w:eastAsiaTheme="majorEastAsia" w:hAnsi="Verdana" w:cs="Times New Roman"/>
          <w:b/>
          <w:bCs/>
          <w:i/>
          <w:sz w:val="36"/>
          <w:szCs w:val="36"/>
          <w:lang w:val="es-US"/>
        </w:rPr>
      </w:pPr>
    </w:p>
    <w:p w:rsidR="00D83D1A" w:rsidRDefault="00D83D1A" w:rsidP="00EC63DA">
      <w:pPr>
        <w:rPr>
          <w:rFonts w:ascii="Verdana" w:eastAsiaTheme="majorEastAsia" w:hAnsi="Verdana" w:cs="Times New Roman"/>
          <w:b/>
          <w:bCs/>
          <w:i/>
          <w:sz w:val="36"/>
          <w:szCs w:val="36"/>
          <w:lang w:val="es-US"/>
        </w:rPr>
      </w:pPr>
    </w:p>
    <w:p w:rsidR="00D83D1A" w:rsidRDefault="00D83D1A" w:rsidP="00EC63DA">
      <w:pPr>
        <w:rPr>
          <w:rFonts w:ascii="Verdana" w:hAnsi="Verdana" w:cs="Times New Roman"/>
          <w:lang w:val="es-US"/>
        </w:rPr>
      </w:pPr>
    </w:p>
    <w:p w:rsidR="009F1305" w:rsidRDefault="009F1305" w:rsidP="00EC63DA">
      <w:pPr>
        <w:rPr>
          <w:rFonts w:ascii="Verdana" w:hAnsi="Verdana" w:cs="Times New Roman"/>
          <w:lang w:val="es-US"/>
        </w:rPr>
      </w:pPr>
    </w:p>
    <w:p w:rsidR="001A1E18" w:rsidRPr="00EE4D50" w:rsidRDefault="001A1E18" w:rsidP="00EC63DA">
      <w:pPr>
        <w:rPr>
          <w:rFonts w:ascii="Verdana" w:hAnsi="Verdana" w:cs="Times New Roman"/>
          <w:lang w:val="es-US"/>
        </w:rPr>
      </w:pPr>
    </w:p>
    <w:p w:rsidR="00BB07EF" w:rsidRPr="00EE4D50" w:rsidRDefault="00BB07EF" w:rsidP="00EC63DA">
      <w:pPr>
        <w:pStyle w:val="Ttulo1"/>
        <w:jc w:val="center"/>
        <w:rPr>
          <w:rFonts w:ascii="Verdana" w:hAnsi="Verdana" w:cs="Times New Roman"/>
          <w:i/>
          <w:color w:val="auto"/>
          <w:sz w:val="32"/>
          <w:szCs w:val="36"/>
        </w:rPr>
      </w:pPr>
      <w:bookmarkStart w:id="118" w:name="_Toc485137247"/>
      <w:r w:rsidRPr="00EE4D50">
        <w:rPr>
          <w:rFonts w:ascii="Verdana" w:hAnsi="Verdana" w:cs="Times New Roman"/>
          <w:i/>
          <w:color w:val="auto"/>
          <w:sz w:val="32"/>
          <w:szCs w:val="36"/>
        </w:rPr>
        <w:lastRenderedPageBreak/>
        <w:t>Conclusiones</w:t>
      </w:r>
      <w:bookmarkEnd w:id="118"/>
    </w:p>
    <w:p w:rsidR="00056722" w:rsidRPr="00EE4D50" w:rsidRDefault="00056722" w:rsidP="00EC63DA">
      <w:pPr>
        <w:spacing w:after="60"/>
        <w:jc w:val="both"/>
        <w:rPr>
          <w:rFonts w:ascii="Verdana" w:hAnsi="Verdana" w:cs="Times New Roman"/>
          <w:lang w:val="es-US"/>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 industria automotriz es estratégica para la economía de Ecuador, con gran potencial de desarrollo, pero se encuentra en una fase de ralentización a partir de 2013. En un escenario complejo, los actores de este sector se encuentran en una pugna por la estabilidad en el corto plazo; esperando que las condiciones de la demanda interna y externa por vehículos aumente, así como las medidas gubernamentales hacia la oferta nacional de vehículos se relajen, de manera que se repunte el crecimiento de este sector en el mediano y largo plazo.</w:t>
      </w:r>
    </w:p>
    <w:p w:rsidR="0003233A" w:rsidRPr="00EE4D50" w:rsidRDefault="0003233A"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El sector automotriz se encuentra ante el desafío de mantener sostenibilidad de su negocio dentro de un ambiente de restricciones y cupos a las importaciones, también involucra la preservación de puestos de trabajo y mantener servicios automotrices de calidad, comercialización de repuestos y facilitación de talleres automotrices ante las salvaguardias e impuestos, y acatar con las resoluciones y especificaciones que no siempre son iguales en los países donde se importa vehículos.</w:t>
      </w:r>
    </w:p>
    <w:p w:rsidR="0003233A" w:rsidRPr="00EE4D50" w:rsidRDefault="0003233A"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 oferta nacional de vehículos ha aumentado su participación en el mercado local y ha conseguido posicionarse en las preferencias de los consumidores. Esto se evidencia en las ventas, ya que la mitad provienen del ensamblaje y la otra de las importaciones. En consecuencia, el desarrollo de la manufactura de automotores con eficiente tecnología y certificaciones de calidad posibilitan la opción de sustitución efectiva de partes y piezas importadas, las cuales pueden ser proveídas por los autopartistas nacionales; y así contribuir con valor agregado a la matriz productiva del país.</w:t>
      </w:r>
    </w:p>
    <w:p w:rsidR="0003233A" w:rsidRPr="00EE4D50" w:rsidRDefault="0003233A"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rPr>
      </w:pPr>
      <w:r w:rsidRPr="00EE4D50">
        <w:rPr>
          <w:rFonts w:ascii="Verdana" w:hAnsi="Verdana" w:cs="Times New Roman"/>
        </w:rPr>
        <w:t>Las reformas y medidas impuestas por el gobierno al sector automotriz han afectado a su producción y ventas en el mercado local y externo. Los impuestos y restricciones encarecen el valor comercial de los vehículos, ya que los costos para los fabricantes y gastos de las concesionarias aumentan; y en consecuencia, los consumidores ecuatorianos se ven con menor capacidad adquisitiva para que puedan adquirir uno porque es un bien de demanda elástica respecto al precio.</w:t>
      </w:r>
    </w:p>
    <w:p w:rsidR="0003233A" w:rsidRPr="00EE4D50" w:rsidRDefault="0003233A" w:rsidP="00EC63DA">
      <w:pPr>
        <w:spacing w:after="60"/>
        <w:jc w:val="both"/>
        <w:rPr>
          <w:rFonts w:ascii="Verdana" w:hAnsi="Verdana" w:cs="Times New Roman"/>
        </w:rPr>
      </w:pPr>
    </w:p>
    <w:p w:rsidR="00BB07EF" w:rsidRDefault="00BB07EF" w:rsidP="00EC63DA">
      <w:pPr>
        <w:spacing w:after="60"/>
        <w:jc w:val="both"/>
        <w:rPr>
          <w:rFonts w:ascii="Verdana" w:hAnsi="Verdana" w:cs="Times New Roman"/>
        </w:rPr>
      </w:pPr>
      <w:r w:rsidRPr="00EE4D50">
        <w:rPr>
          <w:rFonts w:ascii="Verdana" w:hAnsi="Verdana" w:cs="Times New Roman"/>
        </w:rPr>
        <w:t>El aumento de precios de los vehículos de modelos nuevos provoca, como ya ha ocurrido en otras ocasiones, que la demanda prefiera modelos seminuevos de hasta cinco años de antigüedad por motivos de cambiar el modelo, cambiar la utilidad o invertir. Este escenario crea especulación en el mercado porque se elevan el valor de los vehículos usados, lo cual muestra un mercado que se muestra no muy flexible para la negociación. Es por esto que los hacedores de políticas deben evitar cambios drásticos para generar confianza y evitar las especulaciones que lo que hacen es estancar a las ventas.</w:t>
      </w:r>
    </w:p>
    <w:p w:rsidR="00EB78FD" w:rsidRPr="00EE4D50" w:rsidRDefault="00EB78FD" w:rsidP="00EC63DA">
      <w:pPr>
        <w:spacing w:after="60"/>
        <w:jc w:val="both"/>
        <w:rPr>
          <w:rFonts w:ascii="Verdana" w:hAnsi="Verdana" w:cs="Times New Roman"/>
        </w:rPr>
      </w:pPr>
    </w:p>
    <w:p w:rsidR="00EB78FD" w:rsidRDefault="00BB07EF" w:rsidP="00EB78FD">
      <w:pPr>
        <w:spacing w:after="60"/>
        <w:jc w:val="both"/>
        <w:rPr>
          <w:rFonts w:ascii="Verdana" w:hAnsi="Verdana" w:cs="Times New Roman"/>
        </w:rPr>
      </w:pPr>
      <w:r w:rsidRPr="00EE4D50">
        <w:rPr>
          <w:rFonts w:ascii="Verdana" w:hAnsi="Verdana" w:cs="Times New Roman"/>
        </w:rPr>
        <w:lastRenderedPageBreak/>
        <w:t>Es de suma importancia que se promueva una efectiva protección a las ensambladoras y autopartistas nacionales a través de un esquema arancelario que incentive la incorporación de partes y piezas de fabricación local, y permitir mayores de escalas de producción de vehículos que hoy se ve limitada por las restricciones, cupos e impuestos, con el afán de posicionar de mejor manera la compe</w:t>
      </w:r>
      <w:r w:rsidR="00665EC5">
        <w:rPr>
          <w:rFonts w:ascii="Verdana" w:hAnsi="Verdana" w:cs="Times New Roman"/>
        </w:rPr>
        <w:t>titividad de los autopartistas.</w:t>
      </w:r>
    </w:p>
    <w:p w:rsidR="00EB78FD" w:rsidRPr="00EE4D50" w:rsidRDefault="00EB78FD" w:rsidP="00EB78FD">
      <w:pPr>
        <w:spacing w:after="60"/>
        <w:jc w:val="both"/>
        <w:rPr>
          <w:rFonts w:ascii="Verdana" w:hAnsi="Verdana" w:cs="Times New Roman"/>
        </w:rPr>
      </w:pPr>
    </w:p>
    <w:p w:rsidR="00665EC5" w:rsidRPr="00EB78FD" w:rsidRDefault="00665EC5" w:rsidP="00EB78FD">
      <w:pPr>
        <w:spacing w:after="60"/>
        <w:jc w:val="both"/>
        <w:rPr>
          <w:rFonts w:ascii="Verdana" w:hAnsi="Verdana" w:cs="Times New Roman"/>
        </w:rPr>
      </w:pPr>
      <w:r w:rsidRPr="00EB78FD">
        <w:rPr>
          <w:rFonts w:ascii="Verdana" w:hAnsi="Verdana" w:cs="Times New Roman"/>
        </w:rPr>
        <w:t>En este país pagamos precios muy altos por los vehículos ya que los impuestos no están muy bien regulados, los precios de los vehículos en relación a los del extranjero son muy altos, estamos protegiendo a una industria solo para mantener los impuestos. Esta industria perjudica al consumidor porque paga precios relativamente altos. La gente solo compra el auto porque es un referente de ahorro y estatus.</w:t>
      </w:r>
    </w:p>
    <w:p w:rsidR="00EB78FD" w:rsidRPr="00EB78FD" w:rsidRDefault="00EB78FD" w:rsidP="00EB78FD">
      <w:pPr>
        <w:spacing w:after="60"/>
        <w:jc w:val="both"/>
        <w:rPr>
          <w:rFonts w:ascii="Verdana" w:hAnsi="Verdana" w:cs="Times New Roman"/>
        </w:rPr>
      </w:pPr>
    </w:p>
    <w:p w:rsidR="00665EC5" w:rsidRPr="00EB78FD" w:rsidRDefault="00665EC5" w:rsidP="00EB78FD">
      <w:pPr>
        <w:spacing w:after="60"/>
        <w:jc w:val="both"/>
        <w:rPr>
          <w:rFonts w:ascii="Verdana" w:hAnsi="Verdana" w:cs="Times New Roman"/>
        </w:rPr>
      </w:pPr>
      <w:r w:rsidRPr="00EB78FD">
        <w:rPr>
          <w:rFonts w:ascii="Verdana" w:hAnsi="Verdana" w:cs="Times New Roman"/>
        </w:rPr>
        <w:t xml:space="preserve">El productor de ensamblaje tiene un nivel muy bueno, ya que cumple normativas y satisface estándares internacionales que han permitido </w:t>
      </w:r>
      <w:r w:rsidR="00EB78FD" w:rsidRPr="00EB78FD">
        <w:rPr>
          <w:rFonts w:ascii="Verdana" w:hAnsi="Verdana" w:cs="Times New Roman"/>
        </w:rPr>
        <w:t>que haya un buen producto final por esta razón el sector</w:t>
      </w:r>
      <w:r w:rsidRPr="00EB78FD">
        <w:rPr>
          <w:rFonts w:ascii="Verdana" w:hAnsi="Verdana" w:cs="Times New Roman"/>
        </w:rPr>
        <w:t xml:space="preserve"> automotriz va por un buen camino ya que comparando con otros países como Colombia y Argentina hemos tenido mejores resultados y nos podemos catalogar como un sector de elite, que tiene que ser regulada por el estado si, para no afectar mucho al consumidor y poder abrir más mercados para los autopartistas.</w:t>
      </w:r>
    </w:p>
    <w:p w:rsidR="00EB78FD" w:rsidRPr="00EB78FD" w:rsidRDefault="00EB78FD" w:rsidP="00EB78FD">
      <w:pPr>
        <w:spacing w:after="60"/>
        <w:jc w:val="both"/>
        <w:rPr>
          <w:rFonts w:ascii="Verdana" w:hAnsi="Verdana" w:cs="Times New Roman"/>
        </w:rPr>
      </w:pPr>
    </w:p>
    <w:p w:rsidR="00665EC5" w:rsidRPr="00EB78FD" w:rsidRDefault="00665EC5" w:rsidP="00EB78FD">
      <w:pPr>
        <w:spacing w:after="60"/>
        <w:jc w:val="both"/>
        <w:rPr>
          <w:rFonts w:ascii="Verdana" w:hAnsi="Verdana" w:cs="Times New Roman"/>
        </w:rPr>
      </w:pPr>
      <w:r w:rsidRPr="00EB78FD">
        <w:rPr>
          <w:rFonts w:ascii="Verdana" w:hAnsi="Verdana" w:cs="Times New Roman"/>
        </w:rPr>
        <w:t>La industria de los motores está cambiando, se está pasando al hibrido, al autónomo total, si cambia todo el ensamblaje al eléctrico podemos tener más opciones. Deberíamos pegar el salto de combustión al eléctrico.</w:t>
      </w:r>
    </w:p>
    <w:p w:rsidR="00665EC5" w:rsidRDefault="00665EC5" w:rsidP="00EB78FD">
      <w:pPr>
        <w:spacing w:after="60"/>
        <w:jc w:val="both"/>
        <w:rPr>
          <w:rFonts w:ascii="Verdana" w:hAnsi="Verdana" w:cs="Times New Roman"/>
        </w:rPr>
      </w:pPr>
      <w:r w:rsidRPr="00EB78FD">
        <w:rPr>
          <w:rFonts w:ascii="Verdana" w:hAnsi="Verdana" w:cs="Times New Roman"/>
        </w:rPr>
        <w:t>La industria es tan inestable ya que hasta una baja de golpe puede generar inconvenientes en los consumidores. La barbaridad impositiva ha hecho que el enfoque a la baja deba ser gradual, esto puede ocurrir solo si se cambia totalmente el modo de producción a eléctrico con todas las prestancias.</w:t>
      </w:r>
    </w:p>
    <w:p w:rsidR="00EB78FD" w:rsidRPr="00EB78FD" w:rsidRDefault="00EB78FD" w:rsidP="00EB78FD">
      <w:pPr>
        <w:spacing w:after="60"/>
        <w:jc w:val="both"/>
        <w:rPr>
          <w:rFonts w:ascii="Verdana" w:hAnsi="Verdana" w:cs="Times New Roman"/>
        </w:rPr>
      </w:pPr>
    </w:p>
    <w:p w:rsidR="00665EC5" w:rsidRPr="00EB78FD" w:rsidRDefault="00665EC5" w:rsidP="00EB78FD">
      <w:pPr>
        <w:spacing w:after="60"/>
        <w:jc w:val="both"/>
        <w:rPr>
          <w:rFonts w:ascii="Verdana" w:hAnsi="Verdana" w:cs="Times New Roman"/>
        </w:rPr>
      </w:pPr>
      <w:r w:rsidRPr="00EB78FD">
        <w:rPr>
          <w:rFonts w:ascii="Verdana" w:hAnsi="Verdana" w:cs="Times New Roman"/>
        </w:rPr>
        <w:t xml:space="preserve">Aunque el problema es el alto precio de los vehículos, este sector tiene varios opositores que no les conviene que este producto sea tan fácilmente accesible, como son los defensores del medio ambiente, </w:t>
      </w:r>
      <w:r w:rsidR="00EB78FD">
        <w:rPr>
          <w:rFonts w:ascii="Verdana" w:hAnsi="Verdana" w:cs="Times New Roman"/>
        </w:rPr>
        <w:t>otro detractor sería el problema de</w:t>
      </w:r>
      <w:r w:rsidRPr="00EB78FD">
        <w:rPr>
          <w:rFonts w:ascii="Verdana" w:hAnsi="Verdana" w:cs="Times New Roman"/>
        </w:rPr>
        <w:t xml:space="preserve"> la congestión vehicular.</w:t>
      </w:r>
    </w:p>
    <w:p w:rsidR="008931F8" w:rsidRPr="00EE4D50" w:rsidRDefault="008931F8" w:rsidP="00EC63DA">
      <w:pPr>
        <w:jc w:val="both"/>
        <w:rPr>
          <w:rFonts w:ascii="Verdana" w:hAnsi="Verdana" w:cs="Times New Roman"/>
        </w:rPr>
      </w:pPr>
    </w:p>
    <w:p w:rsidR="008931F8" w:rsidRPr="00EE4D50" w:rsidRDefault="008931F8" w:rsidP="00EC63DA">
      <w:pPr>
        <w:jc w:val="both"/>
        <w:rPr>
          <w:rFonts w:ascii="Verdana" w:hAnsi="Verdana" w:cs="Times New Roman"/>
        </w:rPr>
      </w:pPr>
    </w:p>
    <w:p w:rsidR="008931F8" w:rsidRDefault="008931F8" w:rsidP="00EC63DA">
      <w:pPr>
        <w:jc w:val="both"/>
        <w:rPr>
          <w:rFonts w:ascii="Verdana" w:hAnsi="Verdana" w:cs="Times New Roman"/>
        </w:rPr>
      </w:pPr>
    </w:p>
    <w:p w:rsidR="009F1305" w:rsidRPr="00EE4D50" w:rsidRDefault="009F1305" w:rsidP="00EC63DA">
      <w:pPr>
        <w:jc w:val="both"/>
        <w:rPr>
          <w:rFonts w:ascii="Verdana" w:hAnsi="Verdana" w:cs="Times New Roman"/>
        </w:rPr>
      </w:pPr>
    </w:p>
    <w:p w:rsidR="00BB07EF" w:rsidRPr="00EE4D50" w:rsidRDefault="00BB07EF" w:rsidP="00EC63DA">
      <w:pPr>
        <w:pStyle w:val="Ttulo1"/>
        <w:jc w:val="center"/>
        <w:rPr>
          <w:rFonts w:ascii="Verdana" w:hAnsi="Verdana" w:cs="Times New Roman"/>
          <w:i/>
          <w:color w:val="auto"/>
          <w:sz w:val="32"/>
        </w:rPr>
      </w:pPr>
      <w:bookmarkStart w:id="119" w:name="_Toc485137248"/>
      <w:r w:rsidRPr="00EE4D50">
        <w:rPr>
          <w:rFonts w:ascii="Verdana" w:hAnsi="Verdana" w:cs="Times New Roman"/>
          <w:i/>
          <w:color w:val="auto"/>
          <w:sz w:val="32"/>
        </w:rPr>
        <w:lastRenderedPageBreak/>
        <w:t>Recomendaciones</w:t>
      </w:r>
      <w:bookmarkEnd w:id="119"/>
    </w:p>
    <w:p w:rsidR="00056722" w:rsidRPr="00EE4D50" w:rsidRDefault="00056722" w:rsidP="00EC63DA">
      <w:pPr>
        <w:spacing w:after="60"/>
        <w:jc w:val="both"/>
        <w:rPr>
          <w:rFonts w:ascii="Verdana" w:hAnsi="Verdana" w:cs="Times New Roman"/>
          <w:lang w:val="es-US"/>
        </w:rPr>
      </w:pPr>
    </w:p>
    <w:p w:rsidR="00BB07EF" w:rsidRPr="00EE4D50" w:rsidRDefault="00BB07EF" w:rsidP="00EC63DA">
      <w:pPr>
        <w:spacing w:after="60"/>
        <w:jc w:val="both"/>
        <w:rPr>
          <w:rFonts w:ascii="Verdana" w:hAnsi="Verdana" w:cs="Times New Roman"/>
        </w:rPr>
      </w:pPr>
      <w:r w:rsidRPr="00EE4D50">
        <w:rPr>
          <w:rFonts w:ascii="Verdana" w:hAnsi="Verdana" w:cs="Times New Roman"/>
          <w:color w:val="000000"/>
        </w:rPr>
        <w:t xml:space="preserve">Es necesario para el sector automotriz que se establezca un </w:t>
      </w:r>
      <w:r w:rsidR="00121737" w:rsidRPr="00EE4D50">
        <w:rPr>
          <w:rFonts w:ascii="Verdana" w:hAnsi="Verdana" w:cs="Times New Roman"/>
          <w:color w:val="000000"/>
        </w:rPr>
        <w:t xml:space="preserve">horizonte industrial, con un mayor y creciente </w:t>
      </w:r>
      <w:r w:rsidRPr="00EE4D50">
        <w:rPr>
          <w:rFonts w:ascii="Verdana" w:hAnsi="Verdana" w:cs="Times New Roman"/>
          <w:color w:val="000000"/>
        </w:rPr>
        <w:t xml:space="preserve">grado de </w:t>
      </w:r>
      <w:r w:rsidR="00121737" w:rsidRPr="00EE4D50">
        <w:rPr>
          <w:rFonts w:ascii="Verdana" w:hAnsi="Verdana" w:cs="Times New Roman"/>
          <w:color w:val="000000"/>
        </w:rPr>
        <w:t xml:space="preserve">incorporación de partes y piezas de fabricación nacional </w:t>
      </w:r>
      <w:r w:rsidRPr="00EE4D50">
        <w:rPr>
          <w:rFonts w:ascii="Verdana" w:hAnsi="Verdana" w:cs="Times New Roman"/>
          <w:color w:val="000000"/>
        </w:rPr>
        <w:t>en los vehículos ensamblados</w:t>
      </w:r>
      <w:r w:rsidR="00BC43B6" w:rsidRPr="00EE4D50">
        <w:rPr>
          <w:rFonts w:ascii="Verdana" w:hAnsi="Verdana" w:cs="Times New Roman"/>
          <w:color w:val="000000"/>
        </w:rPr>
        <w:t>,</w:t>
      </w:r>
      <w:r w:rsidRPr="00EE4D50">
        <w:rPr>
          <w:rFonts w:ascii="Verdana" w:hAnsi="Verdana" w:cs="Times New Roman"/>
          <w:color w:val="000000"/>
        </w:rPr>
        <w:t xml:space="preserve"> </w:t>
      </w:r>
      <w:r w:rsidRPr="00EE4D50">
        <w:rPr>
          <w:rFonts w:ascii="Verdana" w:hAnsi="Verdana" w:cs="Times New Roman"/>
        </w:rPr>
        <w:t>para medi</w:t>
      </w:r>
      <w:r w:rsidR="00BC43B6" w:rsidRPr="00EE4D50">
        <w:rPr>
          <w:rFonts w:ascii="Verdana" w:hAnsi="Verdana" w:cs="Times New Roman"/>
        </w:rPr>
        <w:t xml:space="preserve">r el desarrollo de la industria </w:t>
      </w:r>
      <w:r w:rsidRPr="00EE4D50">
        <w:rPr>
          <w:rFonts w:ascii="Verdana" w:hAnsi="Verdana" w:cs="Times New Roman"/>
        </w:rPr>
        <w:t xml:space="preserve">y sus implicaciones en la economía en </w:t>
      </w:r>
      <w:r w:rsidR="00BC43B6" w:rsidRPr="00EE4D50">
        <w:rPr>
          <w:rFonts w:ascii="Verdana" w:hAnsi="Verdana" w:cs="Times New Roman"/>
        </w:rPr>
        <w:t>los</w:t>
      </w:r>
      <w:r w:rsidRPr="00EE4D50">
        <w:rPr>
          <w:rFonts w:ascii="Verdana" w:hAnsi="Verdana" w:cs="Times New Roman"/>
        </w:rPr>
        <w:t xml:space="preserve"> ámbito</w:t>
      </w:r>
      <w:r w:rsidR="00BC43B6" w:rsidRPr="00EE4D50">
        <w:rPr>
          <w:rFonts w:ascii="Verdana" w:hAnsi="Verdana" w:cs="Times New Roman"/>
        </w:rPr>
        <w:t>s</w:t>
      </w:r>
      <w:r w:rsidRPr="00EE4D50">
        <w:rPr>
          <w:rFonts w:ascii="Verdana" w:hAnsi="Verdana" w:cs="Times New Roman"/>
        </w:rPr>
        <w:t xml:space="preserve"> de la manufactura, inversiones, sustitución de importaciones y generación de empleo.</w:t>
      </w:r>
    </w:p>
    <w:p w:rsidR="0003233A" w:rsidRPr="00EE4D50" w:rsidRDefault="0003233A" w:rsidP="00EC63DA">
      <w:pPr>
        <w:spacing w:after="60"/>
        <w:jc w:val="both"/>
        <w:rPr>
          <w:rFonts w:ascii="Verdana" w:hAnsi="Verdana" w:cs="Times New Roman"/>
        </w:rPr>
      </w:pPr>
    </w:p>
    <w:p w:rsidR="00BB07EF" w:rsidRPr="00EE4D50" w:rsidRDefault="00BB07EF" w:rsidP="00EC63DA">
      <w:pPr>
        <w:spacing w:after="60"/>
        <w:jc w:val="both"/>
        <w:rPr>
          <w:rFonts w:ascii="Verdana" w:hAnsi="Verdana" w:cs="Times New Roman"/>
          <w:color w:val="000000"/>
          <w:lang w:val="es-ES"/>
        </w:rPr>
      </w:pPr>
      <w:r w:rsidRPr="00EE4D50">
        <w:rPr>
          <w:rFonts w:ascii="Verdana" w:hAnsi="Verdana" w:cs="Times New Roman"/>
          <w:color w:val="000000"/>
          <w:lang w:val="es-ES"/>
        </w:rPr>
        <w:t>Impulsar alianzas estratégicas entre empresas proveedoras de autopartes del extranjero con los productores nacionales. En especial que exista el interés de los proveedores subregionales en compartir tecnología en pro del interés del sector automotriz ecuatoriano para que su evolución sea más compleja asegurando que la innovación es un factor que potencializa a las inversiones.</w:t>
      </w:r>
    </w:p>
    <w:p w:rsidR="00BB07EF" w:rsidRPr="00EE4D50" w:rsidRDefault="00BB07EF" w:rsidP="00EB78FD">
      <w:pPr>
        <w:spacing w:after="60"/>
        <w:jc w:val="both"/>
        <w:rPr>
          <w:rFonts w:ascii="Verdana" w:hAnsi="Verdana"/>
          <w:color w:val="000000"/>
          <w:lang w:val="es-ES"/>
        </w:rPr>
      </w:pPr>
    </w:p>
    <w:p w:rsidR="00BB07EF" w:rsidRPr="00EE4D50" w:rsidRDefault="00BB07EF" w:rsidP="00EC63DA">
      <w:pPr>
        <w:pStyle w:val="NormalWeb"/>
        <w:spacing w:before="0" w:beforeAutospacing="0" w:after="0" w:afterAutospacing="0" w:line="276" w:lineRule="auto"/>
        <w:jc w:val="both"/>
        <w:rPr>
          <w:rFonts w:ascii="Verdana" w:hAnsi="Verdana"/>
          <w:sz w:val="22"/>
          <w:szCs w:val="22"/>
        </w:rPr>
      </w:pPr>
      <w:r w:rsidRPr="00EE4D50">
        <w:rPr>
          <w:rFonts w:ascii="Verdana" w:hAnsi="Verdana"/>
          <w:color w:val="000000"/>
          <w:sz w:val="22"/>
          <w:szCs w:val="22"/>
        </w:rPr>
        <w:t>No solo debe haber una política industrial, sino una política integral. Mientras no haya una política de visión a largo plazo, va a ser difícil que las empresas autopartistas arriesguen inversiones y nuevos emprendimientos porque no saben si hay futuro en la industria. Es necesario p</w:t>
      </w:r>
      <w:r w:rsidRPr="00EE4D50">
        <w:rPr>
          <w:rFonts w:ascii="Verdana" w:hAnsi="Verdana"/>
          <w:sz w:val="22"/>
          <w:szCs w:val="22"/>
        </w:rPr>
        <w:t xml:space="preserve">lantear política industrial clara, pero que si no está </w:t>
      </w:r>
      <w:r w:rsidR="00BC43B6" w:rsidRPr="00EE4D50">
        <w:rPr>
          <w:rFonts w:ascii="Verdana" w:hAnsi="Verdana"/>
          <w:sz w:val="22"/>
          <w:szCs w:val="22"/>
        </w:rPr>
        <w:t>a</w:t>
      </w:r>
      <w:r w:rsidRPr="00EE4D50">
        <w:rPr>
          <w:rFonts w:ascii="Verdana" w:hAnsi="Verdana"/>
          <w:sz w:val="22"/>
          <w:szCs w:val="22"/>
        </w:rPr>
        <w:t xml:space="preserve">lineado a la política comercial, </w:t>
      </w:r>
      <w:r w:rsidR="00BC43B6" w:rsidRPr="00EE4D50">
        <w:rPr>
          <w:rFonts w:ascii="Verdana" w:hAnsi="Verdana"/>
          <w:sz w:val="22"/>
          <w:szCs w:val="22"/>
        </w:rPr>
        <w:t xml:space="preserve">tributaria, </w:t>
      </w:r>
      <w:r w:rsidRPr="00EE4D50">
        <w:rPr>
          <w:rFonts w:ascii="Verdana" w:hAnsi="Verdana"/>
          <w:sz w:val="22"/>
          <w:szCs w:val="22"/>
        </w:rPr>
        <w:t>ambiental, de movilidad que se complementen entre sí no sirve. Es decir, el Estado tiene que apoyar a la industria y plantear un trabajo conjunto entre los actores del sector automotriz con el gobierno central para un beneficio mutuo, así como se ha hecho en otros países que lo han logrado con éxito.</w:t>
      </w:r>
    </w:p>
    <w:p w:rsidR="00BB07EF" w:rsidRPr="00EE4D50" w:rsidRDefault="00BB07EF" w:rsidP="00EB78FD">
      <w:pPr>
        <w:spacing w:after="60"/>
        <w:jc w:val="both"/>
        <w:rPr>
          <w:rFonts w:ascii="Verdana" w:hAnsi="Verdana" w:cs="Times New Roman"/>
        </w:rPr>
      </w:pPr>
    </w:p>
    <w:p w:rsidR="00EB78FD" w:rsidRDefault="00EB78FD" w:rsidP="00EB78FD">
      <w:pPr>
        <w:spacing w:after="60"/>
        <w:jc w:val="both"/>
        <w:rPr>
          <w:rFonts w:ascii="Verdana" w:hAnsi="Verdana"/>
        </w:rPr>
      </w:pPr>
      <w:r w:rsidRPr="00CB40D7">
        <w:rPr>
          <w:rFonts w:ascii="Verdana" w:hAnsi="Verdana"/>
        </w:rPr>
        <w:t xml:space="preserve">Las políticas arancelarias deben ser reguladas paulatinamente, ya que un cambio brusco puede ocasionar problemas no solo en el ámbito arancelario sino en los consumidores, los </w:t>
      </w:r>
      <w:r>
        <w:rPr>
          <w:rFonts w:ascii="Verdana" w:hAnsi="Verdana"/>
        </w:rPr>
        <w:t>que ya han adquirido un auto con un valor elevado al contrario con una baja que provoque encarecimiento del vehículo.</w:t>
      </w:r>
    </w:p>
    <w:p w:rsidR="00EB78FD" w:rsidRPr="00CB40D7" w:rsidRDefault="00EB78FD" w:rsidP="00EB78FD">
      <w:pPr>
        <w:spacing w:after="60"/>
        <w:jc w:val="both"/>
        <w:rPr>
          <w:rFonts w:ascii="Verdana" w:hAnsi="Verdana"/>
        </w:rPr>
      </w:pPr>
    </w:p>
    <w:p w:rsidR="00EB78FD" w:rsidRDefault="00EB78FD" w:rsidP="00EB78FD">
      <w:pPr>
        <w:spacing w:after="60"/>
        <w:jc w:val="both"/>
        <w:rPr>
          <w:rFonts w:ascii="Verdana" w:hAnsi="Verdana"/>
        </w:rPr>
      </w:pPr>
      <w:r w:rsidRPr="00CB40D7">
        <w:rPr>
          <w:rFonts w:ascii="Verdana" w:hAnsi="Verdana"/>
        </w:rPr>
        <w:t>Los ensambladores deben ser más accesibles con los autopartistas para que no haya cierre de estos por falta de pedidos, con la incorporación de la lista mínima, los cuales ellos mismo han propuesto con el tiempo.</w:t>
      </w:r>
    </w:p>
    <w:p w:rsidR="00EB78FD" w:rsidRPr="00CB40D7" w:rsidRDefault="00EB78FD" w:rsidP="00EB78FD">
      <w:pPr>
        <w:spacing w:after="60"/>
        <w:jc w:val="both"/>
        <w:rPr>
          <w:rFonts w:ascii="Verdana" w:hAnsi="Verdana"/>
        </w:rPr>
      </w:pPr>
    </w:p>
    <w:p w:rsidR="00EB78FD" w:rsidRDefault="00EB78FD" w:rsidP="00EB78FD">
      <w:pPr>
        <w:spacing w:after="60"/>
        <w:jc w:val="both"/>
        <w:rPr>
          <w:rFonts w:ascii="Verdana" w:hAnsi="Verdana"/>
        </w:rPr>
      </w:pPr>
      <w:r w:rsidRPr="00CB40D7">
        <w:rPr>
          <w:rFonts w:ascii="Verdana" w:hAnsi="Verdana"/>
        </w:rPr>
        <w:t xml:space="preserve">Para que este sector siga funcionando como hasta hoy y no haya problemas de cierre de sus plantas como paso con Maresa, hace falta diversificar y dar un cambio completo de su forma de producción donde los vehículos eléctricos no solo serían una solución a la producción en el país con tecnología exportable, sino también ayudarías a solucionar </w:t>
      </w:r>
      <w:r>
        <w:rPr>
          <w:rFonts w:ascii="Verdana" w:hAnsi="Verdana"/>
        </w:rPr>
        <w:t>los</w:t>
      </w:r>
      <w:r w:rsidRPr="00CB40D7">
        <w:rPr>
          <w:rFonts w:ascii="Verdana" w:hAnsi="Verdana"/>
        </w:rPr>
        <w:t xml:space="preserve"> conflictos </w:t>
      </w:r>
      <w:r>
        <w:rPr>
          <w:rFonts w:ascii="Verdana" w:hAnsi="Verdana"/>
        </w:rPr>
        <w:t>con los</w:t>
      </w:r>
      <w:r w:rsidRPr="00CB40D7">
        <w:rPr>
          <w:rFonts w:ascii="Verdana" w:hAnsi="Verdana"/>
        </w:rPr>
        <w:t xml:space="preserve"> opositores los cuales buscan un medio a</w:t>
      </w:r>
      <w:r>
        <w:rPr>
          <w:rFonts w:ascii="Verdana" w:hAnsi="Verdana"/>
        </w:rPr>
        <w:t>mbiente limpio y un tránsito más fluido.</w:t>
      </w:r>
    </w:p>
    <w:p w:rsidR="00EB78FD" w:rsidRPr="00CB40D7" w:rsidRDefault="00EB78FD" w:rsidP="00EB78FD">
      <w:pPr>
        <w:spacing w:after="60"/>
        <w:jc w:val="both"/>
        <w:rPr>
          <w:rFonts w:ascii="Verdana" w:hAnsi="Verdana"/>
        </w:rPr>
      </w:pPr>
    </w:p>
    <w:p w:rsidR="00EB78FD" w:rsidRDefault="00EB78FD" w:rsidP="00EB78FD">
      <w:pPr>
        <w:spacing w:after="60"/>
        <w:jc w:val="both"/>
        <w:rPr>
          <w:rFonts w:ascii="Verdana" w:hAnsi="Verdana"/>
        </w:rPr>
      </w:pPr>
      <w:r w:rsidRPr="00CB40D7">
        <w:rPr>
          <w:rFonts w:ascii="Verdana" w:hAnsi="Verdana"/>
        </w:rPr>
        <w:t xml:space="preserve">Este sector con el transcurso del tiempo ha generado gran cantidad de puestos de empleo, lo cual debe seguir avanzando, con apoyo </w:t>
      </w:r>
      <w:r>
        <w:rPr>
          <w:rFonts w:ascii="Verdana" w:hAnsi="Verdana"/>
        </w:rPr>
        <w:t xml:space="preserve">integro a proteger no solo </w:t>
      </w:r>
      <w:r>
        <w:rPr>
          <w:rFonts w:ascii="Verdana" w:hAnsi="Verdana"/>
        </w:rPr>
        <w:lastRenderedPageBreak/>
        <w:t xml:space="preserve">a las ensambladoras sino a los autopartistas, </w:t>
      </w:r>
      <w:r w:rsidRPr="00CB40D7">
        <w:rPr>
          <w:rFonts w:ascii="Verdana" w:hAnsi="Verdana"/>
        </w:rPr>
        <w:t>los cuales necesitan apoyo</w:t>
      </w:r>
      <w:r>
        <w:rPr>
          <w:rFonts w:ascii="Verdana" w:hAnsi="Verdana"/>
        </w:rPr>
        <w:t xml:space="preserve"> de inversión y nuevas tecnologias</w:t>
      </w:r>
    </w:p>
    <w:p w:rsidR="00EB78FD" w:rsidRPr="00CB40D7" w:rsidRDefault="00EB78FD" w:rsidP="00EB78FD">
      <w:pPr>
        <w:spacing w:after="60"/>
        <w:jc w:val="both"/>
        <w:rPr>
          <w:rFonts w:ascii="Verdana" w:hAnsi="Verdana"/>
        </w:rPr>
      </w:pPr>
    </w:p>
    <w:p w:rsidR="00EB78FD" w:rsidRPr="00CB40D7" w:rsidRDefault="00EB78FD" w:rsidP="00EB78FD">
      <w:pPr>
        <w:jc w:val="both"/>
        <w:rPr>
          <w:rFonts w:ascii="Verdana" w:hAnsi="Verdana"/>
        </w:rPr>
      </w:pPr>
      <w:r w:rsidRPr="00CB40D7">
        <w:rPr>
          <w:rFonts w:ascii="Verdana" w:hAnsi="Verdana"/>
        </w:rPr>
        <w:t>Los autopartistas deben ser más competitivos y estar a nivel de las ensambladoras para poder importar men</w:t>
      </w:r>
      <w:r>
        <w:rPr>
          <w:rFonts w:ascii="Verdana" w:hAnsi="Verdana"/>
        </w:rPr>
        <w:t>os y los costos del auto bajen con incorporación de nueva tecnología.</w:t>
      </w:r>
    </w:p>
    <w:p w:rsidR="00BB07EF" w:rsidRPr="00EE4D50" w:rsidRDefault="00BB07EF" w:rsidP="00EC63DA">
      <w:pPr>
        <w:jc w:val="both"/>
        <w:rPr>
          <w:rFonts w:ascii="Verdana" w:hAnsi="Verdana" w:cs="Times New Roman"/>
        </w:rPr>
      </w:pPr>
    </w:p>
    <w:p w:rsidR="00056722" w:rsidRPr="00EE4D50" w:rsidRDefault="00056722" w:rsidP="00EC63DA">
      <w:pPr>
        <w:jc w:val="both"/>
        <w:rPr>
          <w:rFonts w:ascii="Verdana" w:hAnsi="Verdana" w:cs="Times New Roman"/>
        </w:rPr>
      </w:pPr>
    </w:p>
    <w:p w:rsidR="00056722" w:rsidRPr="00EE4D50" w:rsidRDefault="00056722" w:rsidP="00EC63DA">
      <w:pPr>
        <w:jc w:val="both"/>
        <w:rPr>
          <w:rFonts w:ascii="Verdana" w:hAnsi="Verdana" w:cs="Times New Roman"/>
        </w:rPr>
      </w:pPr>
    </w:p>
    <w:p w:rsidR="00056722" w:rsidRPr="00EE4D50" w:rsidRDefault="00056722" w:rsidP="00EC63DA">
      <w:pPr>
        <w:jc w:val="both"/>
        <w:rPr>
          <w:rFonts w:ascii="Verdana" w:hAnsi="Verdana" w:cs="Times New Roman"/>
        </w:rPr>
      </w:pPr>
    </w:p>
    <w:p w:rsidR="00056722" w:rsidRPr="00EE4D50" w:rsidRDefault="00056722" w:rsidP="00EC63DA">
      <w:pPr>
        <w:jc w:val="both"/>
        <w:rPr>
          <w:rFonts w:ascii="Verdana" w:hAnsi="Verdana" w:cs="Times New Roman"/>
        </w:rPr>
      </w:pPr>
    </w:p>
    <w:p w:rsidR="00056722" w:rsidRPr="00EE4D50" w:rsidRDefault="00056722" w:rsidP="00EC63DA">
      <w:pPr>
        <w:jc w:val="both"/>
        <w:rPr>
          <w:rFonts w:ascii="Verdana" w:hAnsi="Verdana" w:cs="Times New Roman"/>
        </w:rPr>
      </w:pPr>
    </w:p>
    <w:p w:rsidR="00056722" w:rsidRPr="00EE4D50" w:rsidRDefault="00056722" w:rsidP="00EC63DA">
      <w:pPr>
        <w:jc w:val="both"/>
        <w:rPr>
          <w:rFonts w:ascii="Verdana" w:hAnsi="Verdana" w:cs="Times New Roman"/>
        </w:rPr>
      </w:pPr>
    </w:p>
    <w:p w:rsidR="00056722" w:rsidRPr="00EE4D50" w:rsidRDefault="00056722" w:rsidP="00EC63DA">
      <w:pPr>
        <w:jc w:val="both"/>
        <w:rPr>
          <w:rFonts w:ascii="Verdana" w:hAnsi="Verdana" w:cs="Times New Roman"/>
        </w:rPr>
      </w:pPr>
    </w:p>
    <w:p w:rsidR="00862CCC" w:rsidRDefault="00862CCC" w:rsidP="00EC63DA">
      <w:pPr>
        <w:jc w:val="both"/>
        <w:rPr>
          <w:rFonts w:ascii="Verdana" w:hAnsi="Verdana" w:cs="Times New Roman"/>
        </w:rPr>
      </w:pPr>
    </w:p>
    <w:p w:rsidR="001A1E18" w:rsidRDefault="001A1E18" w:rsidP="00EC63DA">
      <w:pPr>
        <w:jc w:val="both"/>
        <w:rPr>
          <w:rFonts w:ascii="Verdana" w:hAnsi="Verdana" w:cs="Times New Roman"/>
        </w:rPr>
      </w:pPr>
    </w:p>
    <w:p w:rsidR="009F1305" w:rsidRDefault="009F1305" w:rsidP="00EC63DA">
      <w:pPr>
        <w:jc w:val="both"/>
        <w:rPr>
          <w:rFonts w:ascii="Verdana" w:hAnsi="Verdana" w:cs="Times New Roman"/>
        </w:rPr>
      </w:pPr>
    </w:p>
    <w:p w:rsidR="009F1305" w:rsidRDefault="009F1305" w:rsidP="00EC63DA">
      <w:pPr>
        <w:jc w:val="both"/>
        <w:rPr>
          <w:rFonts w:ascii="Verdana" w:hAnsi="Verdana" w:cs="Times New Roman"/>
        </w:rPr>
      </w:pPr>
    </w:p>
    <w:p w:rsidR="009F1305" w:rsidRDefault="009F1305" w:rsidP="00EC63DA">
      <w:pPr>
        <w:jc w:val="both"/>
        <w:rPr>
          <w:rFonts w:ascii="Verdana" w:hAnsi="Verdana" w:cs="Times New Roman"/>
        </w:rPr>
      </w:pPr>
    </w:p>
    <w:p w:rsidR="009F1305" w:rsidRDefault="009F1305" w:rsidP="00EC63DA">
      <w:pPr>
        <w:jc w:val="both"/>
        <w:rPr>
          <w:rFonts w:ascii="Verdana" w:hAnsi="Verdana" w:cs="Times New Roman"/>
        </w:rPr>
      </w:pPr>
    </w:p>
    <w:p w:rsidR="009F1305" w:rsidRDefault="009F1305" w:rsidP="00EC63DA">
      <w:pPr>
        <w:jc w:val="both"/>
        <w:rPr>
          <w:rFonts w:ascii="Verdana" w:hAnsi="Verdana" w:cs="Times New Roman"/>
        </w:rPr>
      </w:pPr>
    </w:p>
    <w:p w:rsidR="009F1305" w:rsidRDefault="009F1305" w:rsidP="00EC63DA">
      <w:pPr>
        <w:jc w:val="both"/>
        <w:rPr>
          <w:rFonts w:ascii="Verdana" w:hAnsi="Verdana" w:cs="Times New Roman"/>
        </w:rPr>
      </w:pPr>
    </w:p>
    <w:p w:rsidR="009F1305" w:rsidRDefault="009F1305" w:rsidP="00EC63DA">
      <w:pPr>
        <w:jc w:val="both"/>
        <w:rPr>
          <w:rFonts w:ascii="Verdana" w:hAnsi="Verdana" w:cs="Times New Roman"/>
        </w:rPr>
      </w:pPr>
    </w:p>
    <w:p w:rsidR="009F1305" w:rsidRDefault="009F1305" w:rsidP="00EC63DA">
      <w:pPr>
        <w:jc w:val="both"/>
        <w:rPr>
          <w:rFonts w:ascii="Verdana" w:hAnsi="Verdana" w:cs="Times New Roman"/>
        </w:rPr>
      </w:pPr>
    </w:p>
    <w:p w:rsidR="009F1305" w:rsidRDefault="009F1305" w:rsidP="00EC63DA">
      <w:pPr>
        <w:jc w:val="both"/>
        <w:rPr>
          <w:rFonts w:ascii="Verdana" w:hAnsi="Verdana" w:cs="Times New Roman"/>
        </w:rPr>
      </w:pPr>
    </w:p>
    <w:p w:rsidR="009F1305" w:rsidRDefault="009F1305" w:rsidP="00EC63DA">
      <w:pPr>
        <w:jc w:val="both"/>
        <w:rPr>
          <w:rFonts w:ascii="Verdana" w:hAnsi="Verdana" w:cs="Times New Roman"/>
        </w:rPr>
      </w:pPr>
    </w:p>
    <w:p w:rsidR="009F1305" w:rsidRDefault="009F1305" w:rsidP="00EC63DA">
      <w:pPr>
        <w:jc w:val="both"/>
        <w:rPr>
          <w:rFonts w:ascii="Verdana" w:hAnsi="Verdana" w:cs="Times New Roman"/>
        </w:rPr>
      </w:pPr>
    </w:p>
    <w:p w:rsidR="009F1305" w:rsidRDefault="009F1305" w:rsidP="00EC63DA">
      <w:pPr>
        <w:jc w:val="both"/>
        <w:rPr>
          <w:rFonts w:ascii="Verdana" w:hAnsi="Verdana" w:cs="Times New Roman"/>
        </w:rPr>
      </w:pPr>
    </w:p>
    <w:p w:rsidR="009F1305" w:rsidRPr="00EE4D50" w:rsidRDefault="009F1305" w:rsidP="00EC63DA">
      <w:pPr>
        <w:jc w:val="both"/>
        <w:rPr>
          <w:rFonts w:ascii="Verdana" w:hAnsi="Verdana" w:cs="Times New Roman"/>
        </w:rPr>
      </w:pPr>
    </w:p>
    <w:p w:rsidR="00522B72" w:rsidRDefault="009E610C" w:rsidP="00EC63DA">
      <w:pPr>
        <w:pStyle w:val="Ttulo1"/>
        <w:jc w:val="center"/>
        <w:rPr>
          <w:rFonts w:ascii="Verdana" w:hAnsi="Verdana" w:cs="Times New Roman"/>
          <w:i/>
          <w:color w:val="auto"/>
          <w:sz w:val="32"/>
        </w:rPr>
      </w:pPr>
      <w:bookmarkStart w:id="120" w:name="_Toc485137249"/>
      <w:r w:rsidRPr="00EE4D50">
        <w:rPr>
          <w:rFonts w:ascii="Verdana" w:hAnsi="Verdana" w:cs="Times New Roman"/>
          <w:i/>
          <w:color w:val="auto"/>
          <w:sz w:val="32"/>
        </w:rPr>
        <w:lastRenderedPageBreak/>
        <w:t>Referencias B</w:t>
      </w:r>
      <w:r w:rsidR="00522B72" w:rsidRPr="00EE4D50">
        <w:rPr>
          <w:rFonts w:ascii="Verdana" w:hAnsi="Verdana" w:cs="Times New Roman"/>
          <w:i/>
          <w:color w:val="auto"/>
          <w:sz w:val="32"/>
        </w:rPr>
        <w:t>ibliográficas</w:t>
      </w:r>
      <w:bookmarkEnd w:id="120"/>
    </w:p>
    <w:p w:rsidR="00CC453B" w:rsidRPr="00CC453B" w:rsidRDefault="00CC453B" w:rsidP="00CC453B">
      <w:pPr>
        <w:rPr>
          <w:lang w:val="es-US"/>
        </w:rPr>
      </w:pPr>
    </w:p>
    <w:p w:rsidR="00F33635" w:rsidRDefault="00CC453B" w:rsidP="00CC453B">
      <w:pPr>
        <w:spacing w:after="0" w:line="240" w:lineRule="auto"/>
        <w:ind w:left="709" w:hanging="709"/>
        <w:jc w:val="both"/>
        <w:rPr>
          <w:rFonts w:ascii="Verdana" w:hAnsi="Verdana" w:cs="Times New Roman"/>
        </w:rPr>
      </w:pPr>
      <w:r w:rsidRPr="00CC453B">
        <w:rPr>
          <w:rFonts w:ascii="Verdana" w:hAnsi="Verdana" w:cs="Times New Roman"/>
        </w:rPr>
        <w:t xml:space="preserve">Acolfa.org (1999) </w:t>
      </w:r>
      <w:r w:rsidRPr="007D71D3">
        <w:rPr>
          <w:rFonts w:ascii="Verdana" w:hAnsi="Verdana" w:cs="Times New Roman"/>
          <w:b/>
          <w:i/>
        </w:rPr>
        <w:t>Convenio De Complementación En El Sector Automotor.</w:t>
      </w:r>
      <w:r w:rsidRPr="00CC453B">
        <w:rPr>
          <w:rFonts w:ascii="Verdana" w:hAnsi="Verdana" w:cs="Times New Roman"/>
        </w:rPr>
        <w:t xml:space="preserve">        </w:t>
      </w:r>
      <w:r>
        <w:rPr>
          <w:rFonts w:ascii="Verdana" w:hAnsi="Verdana" w:cs="Times New Roman"/>
        </w:rPr>
        <w:t xml:space="preserve">Recuperado de </w:t>
      </w:r>
      <w:r w:rsidRPr="00CC453B">
        <w:rPr>
          <w:rFonts w:ascii="Verdana" w:hAnsi="Verdana" w:cs="Times New Roman"/>
        </w:rPr>
        <w:t>http://www.acolfa.org.co/index.php/legislacion/convenio-automotor-andino/file</w:t>
      </w:r>
    </w:p>
    <w:p w:rsidR="00CC453B" w:rsidRDefault="00CC453B" w:rsidP="00CC453B">
      <w:pPr>
        <w:spacing w:after="0" w:line="240" w:lineRule="auto"/>
        <w:ind w:left="709" w:hanging="709"/>
        <w:jc w:val="both"/>
        <w:rPr>
          <w:rFonts w:ascii="Verdana" w:hAnsi="Verdana" w:cs="Times New Roman"/>
        </w:rPr>
      </w:pPr>
    </w:p>
    <w:p w:rsidR="007D71D3" w:rsidRDefault="007D71D3" w:rsidP="00CC453B">
      <w:pPr>
        <w:spacing w:after="0" w:line="240" w:lineRule="auto"/>
        <w:ind w:left="709" w:hanging="709"/>
        <w:jc w:val="both"/>
        <w:rPr>
          <w:rFonts w:ascii="Verdana" w:hAnsi="Verdana" w:cs="Times New Roman"/>
        </w:rPr>
      </w:pPr>
      <w:r w:rsidRPr="00CC453B">
        <w:rPr>
          <w:rFonts w:ascii="Verdana" w:hAnsi="Verdana" w:cs="Times New Roman"/>
        </w:rPr>
        <w:t>Acolfa.org (</w:t>
      </w:r>
      <w:r>
        <w:rPr>
          <w:rFonts w:ascii="Verdana" w:hAnsi="Verdana" w:cs="Times New Roman"/>
        </w:rPr>
        <w:t>2009</w:t>
      </w:r>
      <w:r w:rsidRPr="00CC453B">
        <w:rPr>
          <w:rFonts w:ascii="Verdana" w:hAnsi="Verdana" w:cs="Times New Roman"/>
        </w:rPr>
        <w:t>)</w:t>
      </w:r>
      <w:r>
        <w:rPr>
          <w:rFonts w:ascii="Verdana" w:hAnsi="Verdana" w:cs="Times New Roman"/>
        </w:rPr>
        <w:t xml:space="preserve"> </w:t>
      </w:r>
      <w:r w:rsidRPr="007D71D3">
        <w:rPr>
          <w:rFonts w:ascii="Verdana" w:hAnsi="Verdana" w:cs="Times New Roman"/>
          <w:b/>
          <w:i/>
        </w:rPr>
        <w:t>Resolución Nº 323</w:t>
      </w:r>
      <w:r>
        <w:rPr>
          <w:rFonts w:ascii="Verdana" w:hAnsi="Verdana" w:cs="Times New Roman"/>
          <w:b/>
          <w:i/>
        </w:rPr>
        <w:t xml:space="preserve">. </w:t>
      </w:r>
      <w:r>
        <w:rPr>
          <w:rFonts w:ascii="Verdana" w:hAnsi="Verdana" w:cs="Times New Roman"/>
        </w:rPr>
        <w:t xml:space="preserve">Recuperado de </w:t>
      </w:r>
      <w:r w:rsidRPr="007D71D3">
        <w:rPr>
          <w:rFonts w:ascii="Verdana" w:hAnsi="Verdana" w:cs="Times New Roman"/>
        </w:rPr>
        <w:t>http://www.acolfa.org.co/index.php/legislacion/resoluciones/13-resolucion-323/file</w:t>
      </w:r>
    </w:p>
    <w:p w:rsidR="007D71D3" w:rsidRPr="007D71D3" w:rsidRDefault="007D71D3" w:rsidP="00CC453B">
      <w:pPr>
        <w:spacing w:after="0" w:line="240" w:lineRule="auto"/>
        <w:ind w:left="709" w:hanging="709"/>
        <w:jc w:val="both"/>
        <w:rPr>
          <w:rFonts w:ascii="Verdana" w:hAnsi="Verdana" w:cs="Times New Roman"/>
        </w:rPr>
      </w:pPr>
    </w:p>
    <w:p w:rsidR="00522B72" w:rsidRDefault="00F33635" w:rsidP="00EC63DA">
      <w:pPr>
        <w:spacing w:after="0" w:line="240" w:lineRule="auto"/>
        <w:ind w:left="709" w:hanging="709"/>
        <w:jc w:val="both"/>
        <w:rPr>
          <w:rFonts w:ascii="Verdana" w:hAnsi="Verdana" w:cs="Times New Roman"/>
        </w:rPr>
      </w:pPr>
      <w:r>
        <w:rPr>
          <w:rFonts w:ascii="Verdana" w:hAnsi="Verdana" w:cs="Times New Roman"/>
        </w:rPr>
        <w:t>AEADE (2010</w:t>
      </w:r>
      <w:r w:rsidRPr="00ED3D1B">
        <w:rPr>
          <w:rFonts w:ascii="Verdana" w:hAnsi="Verdana" w:cs="Times New Roman"/>
        </w:rPr>
        <w:t xml:space="preserve">) </w:t>
      </w:r>
      <w:r>
        <w:rPr>
          <w:rFonts w:ascii="Verdana" w:hAnsi="Verdana" w:cs="Times New Roman"/>
          <w:b/>
          <w:i/>
        </w:rPr>
        <w:t>Anuario 2010</w:t>
      </w:r>
      <w:r>
        <w:rPr>
          <w:rFonts w:ascii="Verdana" w:hAnsi="Verdana" w:cs="Times New Roman"/>
        </w:rPr>
        <w:t xml:space="preserve">. Recuperado de </w:t>
      </w:r>
      <w:r w:rsidRPr="00F33635">
        <w:rPr>
          <w:rFonts w:ascii="Verdana" w:hAnsi="Verdana" w:cs="Times New Roman"/>
        </w:rPr>
        <w:t>http://aeade.net/wp-content/uploads/2016/11/ANUARIO-2010.pdf</w:t>
      </w:r>
    </w:p>
    <w:p w:rsidR="00F33635" w:rsidRPr="00EE4D50" w:rsidRDefault="00F33635" w:rsidP="00EC63DA">
      <w:pPr>
        <w:spacing w:after="0" w:line="240" w:lineRule="auto"/>
        <w:ind w:left="709" w:hanging="709"/>
        <w:jc w:val="both"/>
        <w:rPr>
          <w:rFonts w:ascii="Verdana" w:hAnsi="Verdana" w:cs="Times New Roman"/>
        </w:rPr>
      </w:pPr>
    </w:p>
    <w:p w:rsidR="00522B72" w:rsidRPr="00ED3D1B" w:rsidRDefault="00522B72" w:rsidP="00EC63DA">
      <w:pPr>
        <w:pStyle w:val="Sinespaciado"/>
        <w:ind w:left="709" w:hanging="709"/>
        <w:jc w:val="both"/>
        <w:rPr>
          <w:rFonts w:ascii="Verdana" w:hAnsi="Verdana" w:cs="Times New Roman"/>
        </w:rPr>
      </w:pPr>
      <w:r w:rsidRPr="00ED3D1B">
        <w:rPr>
          <w:rFonts w:ascii="Verdana" w:hAnsi="Verdana" w:cs="Times New Roman"/>
        </w:rPr>
        <w:t xml:space="preserve">AEADE (2011) </w:t>
      </w:r>
      <w:r w:rsidRPr="00ED3D1B">
        <w:rPr>
          <w:rFonts w:ascii="Verdana" w:hAnsi="Verdana" w:cs="Times New Roman"/>
          <w:b/>
          <w:i/>
        </w:rPr>
        <w:t>Anuario 2011</w:t>
      </w:r>
      <w:r w:rsidRPr="00ED3D1B">
        <w:rPr>
          <w:rFonts w:ascii="Verdana" w:hAnsi="Verdana" w:cs="Times New Roman"/>
        </w:rPr>
        <w:t>. Recuperado de http://aeade.net/wp-content/uploads/2016/11/ANUARIO-2011.pdf</w:t>
      </w:r>
    </w:p>
    <w:p w:rsidR="00061EA7" w:rsidRPr="00ED3D1B" w:rsidRDefault="00061EA7" w:rsidP="00EC63DA">
      <w:pPr>
        <w:pStyle w:val="Sinespaciado"/>
        <w:spacing w:after="60"/>
        <w:ind w:left="708" w:hangingChars="322" w:hanging="708"/>
        <w:jc w:val="both"/>
        <w:rPr>
          <w:rFonts w:ascii="Verdana" w:hAnsi="Verdana" w:cs="Times New Roman"/>
        </w:rPr>
      </w:pPr>
    </w:p>
    <w:p w:rsidR="00522B72" w:rsidRPr="00ED3D1B" w:rsidRDefault="00522B72" w:rsidP="00EC63DA">
      <w:pPr>
        <w:pStyle w:val="Sinespaciado"/>
        <w:ind w:left="709" w:hanging="709"/>
        <w:jc w:val="both"/>
        <w:rPr>
          <w:rFonts w:ascii="Verdana" w:hAnsi="Verdana" w:cs="Times New Roman"/>
        </w:rPr>
      </w:pPr>
      <w:r w:rsidRPr="00ED3D1B">
        <w:rPr>
          <w:rFonts w:ascii="Verdana" w:hAnsi="Verdana" w:cs="Times New Roman"/>
        </w:rPr>
        <w:t xml:space="preserve">AEADE (2012) </w:t>
      </w:r>
      <w:r w:rsidRPr="00ED3D1B">
        <w:rPr>
          <w:rFonts w:ascii="Verdana" w:hAnsi="Verdana" w:cs="Times New Roman"/>
          <w:b/>
          <w:i/>
        </w:rPr>
        <w:t>Anuario 2012</w:t>
      </w:r>
      <w:r w:rsidR="00F33635">
        <w:rPr>
          <w:rFonts w:ascii="Verdana" w:hAnsi="Verdana" w:cs="Times New Roman"/>
        </w:rPr>
        <w:t>. Recuperado de</w:t>
      </w:r>
      <w:r w:rsidRPr="00ED3D1B">
        <w:rPr>
          <w:rFonts w:ascii="Verdana" w:hAnsi="Verdana" w:cs="Times New Roman"/>
        </w:rPr>
        <w:t xml:space="preserve"> http://aeade.net/wp-content/uploads/2016/11/ANUARIO-2012.pdf</w:t>
      </w:r>
    </w:p>
    <w:p w:rsidR="00522B72" w:rsidRPr="00ED3D1B" w:rsidRDefault="00522B72" w:rsidP="00EC63DA">
      <w:pPr>
        <w:pStyle w:val="Sinespaciado"/>
        <w:spacing w:after="60"/>
        <w:ind w:left="708" w:hangingChars="322" w:hanging="708"/>
        <w:jc w:val="both"/>
        <w:rPr>
          <w:rFonts w:ascii="Verdana" w:hAnsi="Verdana" w:cs="Times New Roman"/>
        </w:rPr>
      </w:pPr>
    </w:p>
    <w:p w:rsidR="00522B72" w:rsidRPr="00ED3D1B" w:rsidRDefault="00522B72" w:rsidP="00EC63DA">
      <w:pPr>
        <w:pStyle w:val="Sinespaciado"/>
        <w:ind w:left="709" w:hanging="709"/>
        <w:jc w:val="both"/>
        <w:rPr>
          <w:rFonts w:ascii="Verdana" w:hAnsi="Verdana" w:cs="Times New Roman"/>
        </w:rPr>
      </w:pPr>
      <w:r w:rsidRPr="00ED3D1B">
        <w:rPr>
          <w:rFonts w:ascii="Verdana" w:hAnsi="Verdana" w:cs="Times New Roman"/>
        </w:rPr>
        <w:t xml:space="preserve">AEADE (2013) </w:t>
      </w:r>
      <w:r w:rsidRPr="00ED3D1B">
        <w:rPr>
          <w:rFonts w:ascii="Verdana" w:hAnsi="Verdana" w:cs="Times New Roman"/>
          <w:b/>
          <w:i/>
        </w:rPr>
        <w:t>Anuario 2013</w:t>
      </w:r>
      <w:r w:rsidRPr="00ED3D1B">
        <w:rPr>
          <w:rFonts w:ascii="Verdana" w:hAnsi="Verdana" w:cs="Times New Roman"/>
        </w:rPr>
        <w:t xml:space="preserve">. Recuperado </w:t>
      </w:r>
      <w:r w:rsidR="00337B4C">
        <w:rPr>
          <w:rFonts w:ascii="Verdana" w:hAnsi="Verdana" w:cs="Times New Roman"/>
        </w:rPr>
        <w:t xml:space="preserve">de </w:t>
      </w:r>
      <w:r w:rsidR="00337B4C" w:rsidRPr="00ED3D1B">
        <w:rPr>
          <w:rFonts w:ascii="Verdana" w:hAnsi="Verdana" w:cs="Times New Roman"/>
        </w:rPr>
        <w:t>http</w:t>
      </w:r>
      <w:r w:rsidRPr="00ED3D1B">
        <w:rPr>
          <w:rFonts w:ascii="Verdana" w:hAnsi="Verdana" w:cs="Times New Roman"/>
        </w:rPr>
        <w:t>://aeade.net/wp-content/uploads/2016/11/ANUARIO-2013.pdf</w:t>
      </w:r>
    </w:p>
    <w:p w:rsidR="00522B72" w:rsidRPr="00ED3D1B" w:rsidRDefault="00522B72" w:rsidP="00EC63DA">
      <w:pPr>
        <w:pStyle w:val="Sinespaciado"/>
        <w:ind w:left="709" w:hanging="709"/>
        <w:jc w:val="both"/>
        <w:rPr>
          <w:rFonts w:ascii="Verdana" w:hAnsi="Verdana" w:cs="Times New Roman"/>
        </w:rPr>
      </w:pPr>
    </w:p>
    <w:p w:rsidR="00522B72" w:rsidRPr="00ED3D1B" w:rsidRDefault="00522B72" w:rsidP="00EC63DA">
      <w:pPr>
        <w:pStyle w:val="Sinespaciado"/>
        <w:ind w:left="709" w:hanging="709"/>
        <w:jc w:val="both"/>
        <w:rPr>
          <w:rFonts w:ascii="Verdana" w:hAnsi="Verdana" w:cs="Times New Roman"/>
        </w:rPr>
      </w:pPr>
      <w:r w:rsidRPr="00ED3D1B">
        <w:rPr>
          <w:rFonts w:ascii="Verdana" w:hAnsi="Verdana" w:cs="Times New Roman"/>
        </w:rPr>
        <w:t xml:space="preserve">AEADE (2014) </w:t>
      </w:r>
      <w:r w:rsidRPr="00ED3D1B">
        <w:rPr>
          <w:rFonts w:ascii="Verdana" w:hAnsi="Verdana" w:cs="Times New Roman"/>
          <w:b/>
          <w:i/>
        </w:rPr>
        <w:t>Anuario 2014</w:t>
      </w:r>
      <w:r w:rsidR="00F33635">
        <w:rPr>
          <w:rFonts w:ascii="Verdana" w:hAnsi="Verdana" w:cs="Times New Roman"/>
        </w:rPr>
        <w:t>. Recuperado de</w:t>
      </w:r>
      <w:r w:rsidRPr="00ED3D1B">
        <w:rPr>
          <w:rFonts w:ascii="Verdana" w:hAnsi="Verdana" w:cs="Times New Roman"/>
        </w:rPr>
        <w:t xml:space="preserve"> http://aeade.net/wp-content/uploads/2016/11/ANUARIO-2014.pdf</w:t>
      </w:r>
    </w:p>
    <w:p w:rsidR="00522B72" w:rsidRPr="00ED3D1B" w:rsidRDefault="00522B72" w:rsidP="00EC63DA">
      <w:pPr>
        <w:pStyle w:val="Sinespaciado"/>
        <w:spacing w:after="60"/>
        <w:ind w:left="708" w:hangingChars="322" w:hanging="708"/>
        <w:jc w:val="both"/>
        <w:rPr>
          <w:rFonts w:ascii="Verdana" w:hAnsi="Verdana" w:cs="Times New Roman"/>
        </w:rPr>
      </w:pPr>
    </w:p>
    <w:p w:rsidR="00522B72" w:rsidRPr="00ED3D1B" w:rsidRDefault="00522B72" w:rsidP="00EC63DA">
      <w:pPr>
        <w:pStyle w:val="Sinespaciado"/>
        <w:ind w:left="708" w:hangingChars="322" w:hanging="708"/>
        <w:jc w:val="both"/>
        <w:rPr>
          <w:rFonts w:ascii="Verdana" w:hAnsi="Verdana" w:cs="Times New Roman"/>
        </w:rPr>
      </w:pPr>
      <w:r w:rsidRPr="00ED3D1B">
        <w:rPr>
          <w:rFonts w:ascii="Verdana" w:hAnsi="Verdana" w:cs="Times New Roman"/>
        </w:rPr>
        <w:t xml:space="preserve">AEADE (2015) </w:t>
      </w:r>
      <w:r w:rsidRPr="00ED3D1B">
        <w:rPr>
          <w:rFonts w:ascii="Verdana" w:hAnsi="Verdana" w:cs="Times New Roman"/>
          <w:b/>
          <w:i/>
        </w:rPr>
        <w:t>Anuario 2015</w:t>
      </w:r>
      <w:r w:rsidR="00F33635">
        <w:rPr>
          <w:rFonts w:ascii="Verdana" w:hAnsi="Verdana" w:cs="Times New Roman"/>
        </w:rPr>
        <w:t>. Recuperado de</w:t>
      </w:r>
      <w:r w:rsidRPr="00ED3D1B">
        <w:rPr>
          <w:rFonts w:ascii="Verdana" w:hAnsi="Verdana" w:cs="Times New Roman"/>
        </w:rPr>
        <w:t xml:space="preserve"> http://aeade.net/wp-content/uploads/2016/11/ANUARIO-2015.pdf</w:t>
      </w:r>
    </w:p>
    <w:p w:rsidR="00522B72" w:rsidRPr="00ED3D1B" w:rsidRDefault="00522B72" w:rsidP="00EC63DA">
      <w:pPr>
        <w:pStyle w:val="Sinespaciado"/>
        <w:spacing w:after="60"/>
        <w:ind w:left="708" w:hangingChars="322" w:hanging="708"/>
        <w:jc w:val="both"/>
        <w:rPr>
          <w:rFonts w:ascii="Verdana" w:hAnsi="Verdana" w:cs="Times New Roman"/>
        </w:rPr>
      </w:pPr>
    </w:p>
    <w:p w:rsidR="00522B72" w:rsidRPr="00ED3D1B" w:rsidRDefault="00522B72" w:rsidP="00EC63DA">
      <w:pPr>
        <w:pStyle w:val="Sinespaciado"/>
        <w:ind w:left="709" w:hanging="709"/>
        <w:jc w:val="both"/>
        <w:rPr>
          <w:rFonts w:ascii="Verdana" w:hAnsi="Verdana" w:cs="Times New Roman"/>
        </w:rPr>
      </w:pPr>
      <w:r w:rsidRPr="00ED3D1B">
        <w:rPr>
          <w:rFonts w:ascii="Verdana" w:hAnsi="Verdana" w:cs="Times New Roman"/>
        </w:rPr>
        <w:t xml:space="preserve">AEADE (2016) </w:t>
      </w:r>
      <w:r w:rsidRPr="00ED3D1B">
        <w:rPr>
          <w:rFonts w:ascii="Verdana" w:hAnsi="Verdana" w:cs="Times New Roman"/>
          <w:b/>
          <w:i/>
        </w:rPr>
        <w:t>Sector automotor en cifras</w:t>
      </w:r>
      <w:r w:rsidR="00F33635">
        <w:rPr>
          <w:rFonts w:ascii="Verdana" w:hAnsi="Verdana" w:cs="Times New Roman"/>
        </w:rPr>
        <w:t>. Recuperado de</w:t>
      </w:r>
      <w:r w:rsidRPr="00ED3D1B">
        <w:rPr>
          <w:rFonts w:ascii="Verdana" w:hAnsi="Verdana" w:cs="Times New Roman"/>
        </w:rPr>
        <w:t xml:space="preserve"> http://aeade.net/wp-content/uploads/2016/11/cifras-000-1.pdf</w:t>
      </w:r>
    </w:p>
    <w:p w:rsidR="00520C17" w:rsidRPr="00ED3D1B" w:rsidRDefault="00520C17" w:rsidP="00EC63DA">
      <w:pPr>
        <w:pStyle w:val="Sinespaciado"/>
        <w:spacing w:after="60"/>
        <w:ind w:left="708" w:hangingChars="322" w:hanging="708"/>
        <w:jc w:val="both"/>
        <w:rPr>
          <w:rFonts w:ascii="Verdana" w:hAnsi="Verdana" w:cs="Times New Roman"/>
        </w:rPr>
      </w:pPr>
    </w:p>
    <w:p w:rsidR="00520C17" w:rsidRPr="00ED3D1B" w:rsidRDefault="00520C17" w:rsidP="00EC63DA">
      <w:pPr>
        <w:pStyle w:val="Sinespaciado"/>
        <w:ind w:left="709" w:hanging="709"/>
        <w:jc w:val="both"/>
        <w:rPr>
          <w:rFonts w:ascii="Verdana" w:hAnsi="Verdana" w:cs="Times New Roman"/>
        </w:rPr>
      </w:pPr>
      <w:r w:rsidRPr="00ED3D1B">
        <w:rPr>
          <w:rFonts w:ascii="Verdana" w:hAnsi="Verdana" w:cs="Times New Roman"/>
        </w:rPr>
        <w:t xml:space="preserve">AEADE (2017) </w:t>
      </w:r>
      <w:r w:rsidRPr="00ED3D1B">
        <w:rPr>
          <w:rFonts w:ascii="Verdana" w:hAnsi="Verdana" w:cs="Times New Roman"/>
          <w:b/>
          <w:i/>
        </w:rPr>
        <w:t>Sector automotor en cifras</w:t>
      </w:r>
      <w:r w:rsidRPr="00ED3D1B">
        <w:rPr>
          <w:rFonts w:ascii="Verdana" w:hAnsi="Verdana" w:cs="Times New Roman"/>
        </w:rPr>
        <w:t>. Re</w:t>
      </w:r>
      <w:r w:rsidR="00F33635">
        <w:rPr>
          <w:rFonts w:ascii="Verdana" w:hAnsi="Verdana" w:cs="Times New Roman"/>
        </w:rPr>
        <w:t>cuperado de</w:t>
      </w:r>
      <w:r w:rsidRPr="00ED3D1B">
        <w:rPr>
          <w:rFonts w:ascii="Verdana" w:hAnsi="Verdana" w:cs="Times New Roman"/>
        </w:rPr>
        <w:t xml:space="preserve"> http://www.aeade.net/wp-content/uploads/2017/01/Sector-en-cifras-4_enero-2017-1.pdf</w:t>
      </w:r>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Sinespaciado"/>
        <w:ind w:left="709" w:hanging="709"/>
        <w:jc w:val="both"/>
        <w:rPr>
          <w:rFonts w:ascii="Verdana" w:hAnsi="Verdana" w:cs="Times New Roman"/>
        </w:rPr>
      </w:pPr>
      <w:r w:rsidRPr="00ED3D1B">
        <w:rPr>
          <w:rFonts w:ascii="Verdana" w:hAnsi="Verdana" w:cs="Times New Roman"/>
        </w:rPr>
        <w:t xml:space="preserve">Aguilar, Arturo (2016) </w:t>
      </w:r>
      <w:r w:rsidRPr="00ED3D1B">
        <w:rPr>
          <w:rFonts w:ascii="Verdana" w:hAnsi="Verdana" w:cs="Times New Roman"/>
          <w:b/>
          <w:i/>
        </w:rPr>
        <w:t>Mayores Fabricantes de Autos de América Latina</w:t>
      </w:r>
      <w:r w:rsidR="00F33635">
        <w:rPr>
          <w:rFonts w:ascii="Verdana" w:hAnsi="Verdana" w:cs="Times New Roman"/>
        </w:rPr>
        <w:t>. Recuperado de</w:t>
      </w:r>
      <w:r w:rsidRPr="00ED3D1B">
        <w:rPr>
          <w:rFonts w:ascii="Verdana" w:hAnsi="Verdana" w:cs="Times New Roman"/>
        </w:rPr>
        <w:t xml:space="preserve"> http://motorbit.com/mayores-fabricantes-de-autos-de-america-latina/?pais=</w:t>
      </w:r>
    </w:p>
    <w:p w:rsidR="00522B72" w:rsidRPr="00ED3D1B" w:rsidRDefault="00522B72" w:rsidP="00EC63DA">
      <w:pPr>
        <w:pStyle w:val="Sinespaciado"/>
        <w:ind w:left="709" w:hanging="709"/>
        <w:jc w:val="both"/>
        <w:rPr>
          <w:rFonts w:ascii="Verdana" w:hAnsi="Verdana" w:cs="Times New Roman"/>
        </w:rPr>
      </w:pPr>
    </w:p>
    <w:p w:rsidR="00522B72" w:rsidRPr="00ED3D1B" w:rsidRDefault="00522B72" w:rsidP="00EC63DA">
      <w:pPr>
        <w:pStyle w:val="Sinespaciado"/>
        <w:ind w:left="709" w:hanging="709"/>
        <w:jc w:val="both"/>
        <w:rPr>
          <w:rFonts w:ascii="Verdana" w:hAnsi="Verdana" w:cs="Times New Roman"/>
        </w:rPr>
      </w:pPr>
      <w:r w:rsidRPr="00ED3D1B">
        <w:rPr>
          <w:rFonts w:ascii="Verdana" w:hAnsi="Verdana" w:cs="Times New Roman"/>
        </w:rPr>
        <w:t xml:space="preserve">Ambacar (2016) </w:t>
      </w:r>
      <w:r w:rsidRPr="00ED3D1B">
        <w:rPr>
          <w:rFonts w:ascii="Verdana" w:hAnsi="Verdana" w:cs="Times New Roman"/>
          <w:b/>
          <w:i/>
        </w:rPr>
        <w:t>Historia Ambacar</w:t>
      </w:r>
      <w:r w:rsidRPr="00ED3D1B">
        <w:rPr>
          <w:rFonts w:ascii="Verdana" w:hAnsi="Verdana" w:cs="Times New Roman"/>
        </w:rPr>
        <w:t>. Recuperado de http://www.ambacar.com</w:t>
      </w:r>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Sinespaciado"/>
        <w:ind w:left="708" w:hangingChars="322" w:hanging="708"/>
        <w:jc w:val="both"/>
        <w:rPr>
          <w:rFonts w:ascii="Verdana" w:hAnsi="Verdana" w:cs="Times New Roman"/>
        </w:rPr>
      </w:pPr>
      <w:r w:rsidRPr="00ED3D1B">
        <w:rPr>
          <w:rFonts w:ascii="Verdana" w:hAnsi="Verdana" w:cs="Times New Roman"/>
        </w:rPr>
        <w:t xml:space="preserve">Andrade, Andrea (2014) </w:t>
      </w:r>
      <w:r w:rsidRPr="00ED3D1B">
        <w:rPr>
          <w:rFonts w:ascii="Verdana" w:hAnsi="Verdana" w:cs="Times New Roman"/>
          <w:b/>
          <w:i/>
        </w:rPr>
        <w:t>Determinantes del mercado importador y ensamblador de vehículos ecuatorianos, período 2002-2012</w:t>
      </w:r>
      <w:r w:rsidRPr="00ED3D1B">
        <w:rPr>
          <w:rFonts w:ascii="Verdana" w:hAnsi="Verdana" w:cs="Times New Roman"/>
        </w:rPr>
        <w:t xml:space="preserve"> (Disertación de Economía). Quito: Pontificia Universidad Católica del Ecuador.</w:t>
      </w:r>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Sinespaciado"/>
        <w:ind w:left="709" w:hanging="709"/>
        <w:jc w:val="both"/>
        <w:rPr>
          <w:rFonts w:ascii="Verdana" w:hAnsi="Verdana" w:cs="Times New Roman"/>
        </w:rPr>
      </w:pPr>
      <w:r w:rsidRPr="00ED3D1B">
        <w:rPr>
          <w:rFonts w:ascii="Verdana" w:hAnsi="Verdana" w:cs="Times New Roman"/>
        </w:rPr>
        <w:t xml:space="preserve">Asamblea Nacional (2012) </w:t>
      </w:r>
      <w:r w:rsidRPr="00ED3D1B">
        <w:rPr>
          <w:rFonts w:ascii="Verdana" w:hAnsi="Verdana" w:cs="Times New Roman"/>
          <w:b/>
          <w:i/>
        </w:rPr>
        <w:t>Ley orgánica para la regulación de los</w:t>
      </w:r>
      <w:r w:rsidR="00ED3D1B">
        <w:rPr>
          <w:rFonts w:ascii="Verdana" w:hAnsi="Verdana" w:cs="Times New Roman"/>
          <w:b/>
          <w:i/>
        </w:rPr>
        <w:t xml:space="preserve"> </w:t>
      </w:r>
      <w:r w:rsidRPr="00ED3D1B">
        <w:rPr>
          <w:rFonts w:ascii="Verdana" w:hAnsi="Verdana" w:cs="Times New Roman"/>
          <w:b/>
          <w:i/>
        </w:rPr>
        <w:t>créditos para vivienda y vehículos</w:t>
      </w:r>
      <w:r w:rsidR="00F33635">
        <w:rPr>
          <w:rFonts w:ascii="Verdana" w:hAnsi="Verdana" w:cs="Times New Roman"/>
        </w:rPr>
        <w:t>. Recuperado de</w:t>
      </w:r>
      <w:r w:rsidRPr="00ED3D1B">
        <w:rPr>
          <w:rFonts w:ascii="Verdana" w:hAnsi="Verdana" w:cs="Times New Roman"/>
        </w:rPr>
        <w:t xml:space="preserve"> </w:t>
      </w:r>
      <w:r w:rsidRPr="00ED3D1B">
        <w:rPr>
          <w:rFonts w:ascii="Verdana" w:hAnsi="Verdana" w:cs="Times New Roman"/>
        </w:rPr>
        <w:lastRenderedPageBreak/>
        <w:t>http://www.asambleanacional.gob.ec/es/system/files/ley_para_la_regulacion_de_los_creditos_</w:t>
      </w:r>
      <w:r w:rsidR="00CE1D9D" w:rsidRPr="00ED3D1B">
        <w:rPr>
          <w:rFonts w:ascii="Verdana" w:hAnsi="Verdana" w:cs="Times New Roman"/>
        </w:rPr>
        <w:t>para_la_vivienda_tramite_no.pdf</w:t>
      </w:r>
    </w:p>
    <w:p w:rsidR="00522B72" w:rsidRPr="00ED3D1B" w:rsidRDefault="00522B72" w:rsidP="00EC63DA">
      <w:pPr>
        <w:pStyle w:val="Sinespaciado"/>
        <w:ind w:left="709" w:hanging="709"/>
        <w:jc w:val="both"/>
        <w:rPr>
          <w:rFonts w:ascii="Verdana" w:hAnsi="Verdana" w:cs="Times New Roman"/>
        </w:rPr>
      </w:pPr>
    </w:p>
    <w:p w:rsidR="00522B72" w:rsidRPr="00ED3D1B" w:rsidRDefault="00522B72" w:rsidP="00EC63DA">
      <w:pPr>
        <w:pStyle w:val="Sinespaciado"/>
        <w:ind w:left="709" w:hanging="709"/>
        <w:jc w:val="both"/>
        <w:rPr>
          <w:rFonts w:ascii="Verdana" w:hAnsi="Verdana" w:cs="Times New Roman"/>
        </w:rPr>
      </w:pPr>
      <w:r w:rsidRPr="00ED3D1B">
        <w:rPr>
          <w:rFonts w:ascii="Verdana" w:hAnsi="Verdana" w:cs="Times New Roman"/>
        </w:rPr>
        <w:t xml:space="preserve">Asociación Mexicana de la Industria Automotriz-AMIA (2015) </w:t>
      </w:r>
      <w:r w:rsidRPr="00ED3D1B">
        <w:rPr>
          <w:rFonts w:ascii="Verdana" w:hAnsi="Verdana" w:cs="Times New Roman"/>
          <w:b/>
          <w:i/>
        </w:rPr>
        <w:t>Cifras de Diciembre y cierre 2015</w:t>
      </w:r>
      <w:r w:rsidR="00F33635">
        <w:rPr>
          <w:rFonts w:ascii="Verdana" w:hAnsi="Verdana" w:cs="Times New Roman"/>
        </w:rPr>
        <w:t>. Recuperado de</w:t>
      </w:r>
      <w:r w:rsidRPr="00ED3D1B">
        <w:rPr>
          <w:rFonts w:ascii="Verdana" w:hAnsi="Verdana" w:cs="Times New Roman"/>
        </w:rPr>
        <w:t xml:space="preserve"> http://www.amia.com.mx/descargarb.html</w:t>
      </w:r>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Sinespaciado"/>
        <w:ind w:left="709" w:hanging="709"/>
        <w:jc w:val="both"/>
        <w:rPr>
          <w:rFonts w:ascii="Verdana" w:hAnsi="Verdana" w:cs="Times New Roman"/>
        </w:rPr>
      </w:pPr>
      <w:r w:rsidRPr="00ED3D1B">
        <w:rPr>
          <w:rFonts w:ascii="Verdana" w:hAnsi="Verdana" w:cs="Times New Roman"/>
        </w:rPr>
        <w:t xml:space="preserve">Asociación Nacional Automotriz de Chile [ANAC]  (2016) </w:t>
      </w:r>
      <w:r w:rsidRPr="00ED3D1B">
        <w:rPr>
          <w:rFonts w:ascii="Verdana" w:hAnsi="Verdana" w:cs="Times New Roman"/>
          <w:b/>
          <w:i/>
        </w:rPr>
        <w:t>Anuario Automotriz 2015-2016</w:t>
      </w:r>
      <w:r w:rsidR="00F33635">
        <w:rPr>
          <w:rFonts w:ascii="Verdana" w:hAnsi="Verdana" w:cs="Times New Roman"/>
        </w:rPr>
        <w:t>. Recuperado de</w:t>
      </w:r>
      <w:r w:rsidRPr="00ED3D1B">
        <w:rPr>
          <w:rFonts w:ascii="Verdana" w:hAnsi="Verdana" w:cs="Times New Roman"/>
        </w:rPr>
        <w:t xml:space="preserve"> http://www.anac.cl/uploads/web/Anuario_ANAC_2015_2016.pdf</w:t>
      </w:r>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Sinespaciado"/>
        <w:ind w:left="709" w:hanging="709"/>
        <w:jc w:val="both"/>
        <w:rPr>
          <w:rFonts w:ascii="Verdana" w:hAnsi="Verdana" w:cs="Times New Roman"/>
        </w:rPr>
      </w:pPr>
      <w:r w:rsidRPr="00ED3D1B">
        <w:rPr>
          <w:rFonts w:ascii="Verdana" w:hAnsi="Verdana" w:cs="Times New Roman"/>
        </w:rPr>
        <w:t xml:space="preserve">Aymesa (2013) </w:t>
      </w:r>
      <w:r w:rsidRPr="00ED3D1B">
        <w:rPr>
          <w:rFonts w:ascii="Verdana" w:hAnsi="Verdana" w:cs="Times New Roman"/>
          <w:b/>
          <w:i/>
        </w:rPr>
        <w:t>Historia- “LA PRIMERA ENSAMBLADORA DE VEHICULOS DEL ECUADOR</w:t>
      </w:r>
      <w:r w:rsidR="00F33635">
        <w:rPr>
          <w:rFonts w:ascii="Verdana" w:hAnsi="Verdana" w:cs="Times New Roman"/>
        </w:rPr>
        <w:t>. Recuperado de</w:t>
      </w:r>
      <w:r w:rsidRPr="00ED3D1B">
        <w:rPr>
          <w:rFonts w:ascii="Verdana" w:hAnsi="Verdana" w:cs="Times New Roman"/>
        </w:rPr>
        <w:t xml:space="preserve"> http://w</w:t>
      </w:r>
      <w:r w:rsidR="00CE1D9D" w:rsidRPr="00ED3D1B">
        <w:rPr>
          <w:rFonts w:ascii="Verdana" w:hAnsi="Verdana" w:cs="Times New Roman"/>
        </w:rPr>
        <w:t>ww.aymesa.ec/index.php/historia</w:t>
      </w:r>
    </w:p>
    <w:p w:rsidR="00522B72" w:rsidRPr="00ED3D1B" w:rsidRDefault="00522B72" w:rsidP="00EC63DA">
      <w:pPr>
        <w:pStyle w:val="Sinespaciado"/>
        <w:ind w:left="709" w:hanging="709"/>
        <w:jc w:val="both"/>
        <w:rPr>
          <w:rFonts w:ascii="Verdana" w:hAnsi="Verdana" w:cs="Times New Roman"/>
        </w:rPr>
      </w:pPr>
    </w:p>
    <w:p w:rsidR="00522B72" w:rsidRPr="00ED3D1B" w:rsidRDefault="00522B72" w:rsidP="00EC63DA">
      <w:pPr>
        <w:pStyle w:val="Sinespaciado"/>
        <w:ind w:left="709" w:hanging="709"/>
        <w:jc w:val="both"/>
        <w:rPr>
          <w:rFonts w:ascii="Verdana" w:hAnsi="Verdana" w:cs="Times New Roman"/>
        </w:rPr>
      </w:pPr>
      <w:r w:rsidRPr="00ED3D1B">
        <w:rPr>
          <w:rFonts w:ascii="Verdana" w:hAnsi="Verdana" w:cs="Times New Roman"/>
        </w:rPr>
        <w:t xml:space="preserve">BBVA (2010) </w:t>
      </w:r>
      <w:r w:rsidRPr="00ED3D1B">
        <w:rPr>
          <w:rFonts w:ascii="Verdana" w:hAnsi="Verdana" w:cs="Times New Roman"/>
          <w:b/>
          <w:i/>
        </w:rPr>
        <w:t>Latinoamérica. Situación Automotriz.</w:t>
      </w:r>
      <w:r w:rsidR="00F33635">
        <w:rPr>
          <w:rFonts w:ascii="Verdana" w:hAnsi="Verdana" w:cs="Times New Roman"/>
        </w:rPr>
        <w:t xml:space="preserve"> Recuperado de</w:t>
      </w:r>
      <w:r w:rsidRPr="00ED3D1B">
        <w:rPr>
          <w:rFonts w:ascii="Verdana" w:hAnsi="Verdana" w:cs="Times New Roman"/>
        </w:rPr>
        <w:t xml:space="preserve"> https://www.bbvaresearch.com/KETD/fbin/mult/ESTAULT_14122010_tcm346-239499.pdf</w:t>
      </w:r>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Sinespaciado"/>
        <w:ind w:left="709" w:hanging="709"/>
        <w:jc w:val="both"/>
        <w:rPr>
          <w:rFonts w:ascii="Verdana" w:hAnsi="Verdana" w:cs="Times New Roman"/>
        </w:rPr>
      </w:pPr>
      <w:r w:rsidRPr="00ED3D1B">
        <w:rPr>
          <w:rFonts w:ascii="Verdana" w:hAnsi="Verdana" w:cs="Times New Roman"/>
        </w:rPr>
        <w:t xml:space="preserve">BCE (2015) </w:t>
      </w:r>
      <w:r w:rsidRPr="00ED3D1B">
        <w:rPr>
          <w:rFonts w:ascii="Verdana" w:hAnsi="Verdana" w:cs="Times New Roman"/>
          <w:b/>
          <w:i/>
        </w:rPr>
        <w:t>El Banco Central del Ecuador pone a disposición de la ciudadanía la información completa de la Inversión (Formación Bruta de Capital Fijo) para el período 1965-2013</w:t>
      </w:r>
      <w:r w:rsidRPr="00ED3D1B">
        <w:rPr>
          <w:rFonts w:ascii="Verdana" w:hAnsi="Verdana" w:cs="Times New Roman"/>
        </w:rPr>
        <w:t>. Recuperado de https://www.bce.fin.ec/index.php/boletines-de-prensa-archivo/item/802-el-banco-central-del-ecuador-pone-a-disposici%C3%B3n-de-la-ciudadan%C3%ADa-la-informaci%C3%B3n-completa-de-la-inversi%C3%B3n-formaci%C3%B3n-bruta-de-capital-fijo</w:t>
      </w:r>
      <w:r w:rsidR="008931F8" w:rsidRPr="00ED3D1B">
        <w:rPr>
          <w:rFonts w:ascii="Verdana" w:hAnsi="Verdana" w:cs="Times New Roman"/>
        </w:rPr>
        <w:t>-para-el-per%C3%ADodo-1965-2013</w:t>
      </w:r>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Sinespaciado"/>
        <w:ind w:left="709" w:hanging="709"/>
        <w:jc w:val="both"/>
        <w:rPr>
          <w:rFonts w:ascii="Verdana" w:hAnsi="Verdana" w:cs="Times New Roman"/>
        </w:rPr>
      </w:pPr>
      <w:r w:rsidRPr="00ED3D1B">
        <w:rPr>
          <w:rFonts w:ascii="Verdana" w:hAnsi="Verdana" w:cs="Times New Roman"/>
        </w:rPr>
        <w:t xml:space="preserve">BCE (2016)  </w:t>
      </w:r>
      <w:r w:rsidRPr="00ED3D1B">
        <w:rPr>
          <w:rFonts w:ascii="Verdana" w:hAnsi="Verdana" w:cs="Times New Roman"/>
          <w:b/>
          <w:i/>
        </w:rPr>
        <w:t>CUENTAS NACIONALES ANUALES</w:t>
      </w:r>
      <w:r w:rsidR="00F33635">
        <w:rPr>
          <w:rFonts w:ascii="Verdana" w:hAnsi="Verdana" w:cs="Times New Roman"/>
        </w:rPr>
        <w:t>. Recuperado de</w:t>
      </w:r>
      <w:r w:rsidRPr="00ED3D1B">
        <w:rPr>
          <w:rFonts w:ascii="Verdana" w:hAnsi="Verdana" w:cs="Times New Roman"/>
        </w:rPr>
        <w:t xml:space="preserve"> https://contenido.bce.fin.ec/documentos/PublicacionesNotas/Catalogo/CuentasNacionales/Anuales/Dolares/indicecn1.htm</w:t>
      </w:r>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C76E8B" w:rsidRPr="00ED3D1B" w:rsidRDefault="00522B72" w:rsidP="00C76E8B">
      <w:pPr>
        <w:pStyle w:val="Sinespaciado"/>
        <w:ind w:left="709" w:hanging="709"/>
        <w:jc w:val="both"/>
        <w:rPr>
          <w:rFonts w:ascii="Verdana" w:hAnsi="Verdana" w:cs="Times New Roman"/>
        </w:rPr>
      </w:pPr>
      <w:r w:rsidRPr="00ED3D1B">
        <w:rPr>
          <w:rFonts w:ascii="Verdana" w:hAnsi="Verdana" w:cs="Times New Roman"/>
        </w:rPr>
        <w:t xml:space="preserve">Business Cost Management (2016) </w:t>
      </w:r>
      <w:r w:rsidRPr="00ED3D1B">
        <w:rPr>
          <w:rFonts w:ascii="Verdana" w:hAnsi="Verdana" w:cs="Times New Roman"/>
          <w:b/>
          <w:i/>
        </w:rPr>
        <w:t>Situación del sector automotriz ecuatoriano</w:t>
      </w:r>
      <w:r w:rsidRPr="00ED3D1B">
        <w:rPr>
          <w:rFonts w:ascii="Verdana" w:hAnsi="Verdana" w:cs="Times New Roman"/>
        </w:rPr>
        <w:t xml:space="preserve">. Recuperado de </w:t>
      </w:r>
      <w:r w:rsidR="00C76E8B" w:rsidRPr="00C76E8B">
        <w:rPr>
          <w:rFonts w:ascii="Verdana" w:hAnsi="Verdana" w:cs="Times New Roman"/>
        </w:rPr>
        <w:t>http://www.bcmecuador.com/single-post/2016/01/05/Evoluci%C3%B3n-del-Sector-automotriz-Ecuatoriano-2011-2015</w:t>
      </w:r>
    </w:p>
    <w:p w:rsidR="00C76E8B" w:rsidRDefault="00C76E8B" w:rsidP="00C76E8B">
      <w:pPr>
        <w:pStyle w:val="Sinespaciado"/>
        <w:ind w:left="709" w:hanging="709"/>
        <w:jc w:val="both"/>
        <w:rPr>
          <w:rFonts w:ascii="Verdana" w:hAnsi="Verdana" w:cs="Times New Roman"/>
        </w:rPr>
      </w:pPr>
    </w:p>
    <w:p w:rsidR="00C76E8B" w:rsidRPr="00C76E8B" w:rsidRDefault="00C76E8B" w:rsidP="00C76E8B">
      <w:pPr>
        <w:pStyle w:val="Sinespaciado"/>
        <w:ind w:left="709" w:hanging="709"/>
        <w:jc w:val="both"/>
        <w:rPr>
          <w:rFonts w:ascii="Verdana" w:hAnsi="Verdana" w:cs="Times New Roman"/>
        </w:rPr>
      </w:pPr>
      <w:r w:rsidRPr="00C76E8B">
        <w:rPr>
          <w:rFonts w:ascii="Verdana" w:hAnsi="Verdana" w:cs="Times New Roman"/>
        </w:rPr>
        <w:t xml:space="preserve">Cabrera, F. (2010). </w:t>
      </w:r>
      <w:r w:rsidRPr="00C76E8B">
        <w:rPr>
          <w:rFonts w:ascii="Verdana" w:hAnsi="Verdana" w:cs="Times New Roman"/>
          <w:b/>
          <w:i/>
        </w:rPr>
        <w:t>Finalizó el convenio automotor andino, y ahora qué?</w:t>
      </w:r>
    </w:p>
    <w:p w:rsidR="00522B72" w:rsidRDefault="00C76E8B" w:rsidP="00C76E8B">
      <w:pPr>
        <w:pStyle w:val="Sinespaciado"/>
        <w:ind w:left="709" w:hanging="709"/>
        <w:rPr>
          <w:rFonts w:ascii="Verdana" w:hAnsi="Verdana" w:cs="Times New Roman"/>
        </w:rPr>
      </w:pPr>
      <w:r>
        <w:rPr>
          <w:rFonts w:ascii="Verdana" w:hAnsi="Verdana" w:cs="Times New Roman"/>
        </w:rPr>
        <w:t xml:space="preserve">          Recuperado </w:t>
      </w:r>
      <w:r w:rsidRPr="00C76E8B">
        <w:rPr>
          <w:rFonts w:ascii="Verdana" w:hAnsi="Verdana" w:cs="Times New Roman"/>
        </w:rPr>
        <w:t>de:</w:t>
      </w:r>
      <w:r>
        <w:rPr>
          <w:rFonts w:ascii="Verdana" w:hAnsi="Verdana" w:cs="Times New Roman"/>
        </w:rPr>
        <w:t xml:space="preserve"> </w:t>
      </w:r>
      <w:r w:rsidRPr="00C76E8B">
        <w:rPr>
          <w:rFonts w:ascii="Verdana" w:hAnsi="Verdana" w:cs="Times New Roman"/>
        </w:rPr>
        <w:t>http://www.revistagestion.ec/wpcontent/uploads/2013/07/191_003.pdf</w:t>
      </w:r>
    </w:p>
    <w:p w:rsidR="00C76E8B" w:rsidRPr="00ED3D1B" w:rsidRDefault="00C76E8B" w:rsidP="00C76E8B">
      <w:pPr>
        <w:pStyle w:val="Sinespaciado"/>
        <w:rPr>
          <w:rFonts w:ascii="Verdana" w:hAnsi="Verdana" w:cs="Times New Roman"/>
        </w:rPr>
      </w:pPr>
    </w:p>
    <w:p w:rsidR="00C76E8B" w:rsidRDefault="00522B72" w:rsidP="00C76E8B">
      <w:pPr>
        <w:pStyle w:val="Sinespaciado"/>
        <w:jc w:val="both"/>
        <w:rPr>
          <w:rFonts w:ascii="Verdana" w:hAnsi="Verdana" w:cs="Times New Roman"/>
          <w:b/>
          <w:i/>
        </w:rPr>
      </w:pPr>
      <w:r w:rsidRPr="00ED3D1B">
        <w:rPr>
          <w:rFonts w:ascii="Verdana" w:hAnsi="Verdana" w:cs="Times New Roman"/>
        </w:rPr>
        <w:t>Calero, Carla (2004</w:t>
      </w:r>
      <w:r w:rsidRPr="00ED3D1B">
        <w:rPr>
          <w:rFonts w:ascii="Verdana" w:hAnsi="Verdana" w:cs="Times New Roman"/>
          <w:b/>
          <w:i/>
        </w:rPr>
        <w:t xml:space="preserve">). El nivel de competitividad del sector automotor </w:t>
      </w:r>
      <w:r w:rsidR="00C76E8B">
        <w:rPr>
          <w:rFonts w:ascii="Verdana" w:hAnsi="Verdana" w:cs="Times New Roman"/>
          <w:b/>
          <w:i/>
        </w:rPr>
        <w:t xml:space="preserve">    </w:t>
      </w:r>
    </w:p>
    <w:p w:rsidR="00C76E8B" w:rsidRDefault="00C76E8B" w:rsidP="00C76E8B">
      <w:pPr>
        <w:pStyle w:val="Sinespaciado"/>
        <w:jc w:val="both"/>
        <w:rPr>
          <w:rFonts w:ascii="Verdana" w:hAnsi="Verdana" w:cs="Times New Roman"/>
          <w:b/>
          <w:i/>
        </w:rPr>
      </w:pPr>
      <w:r>
        <w:rPr>
          <w:rFonts w:ascii="Verdana" w:hAnsi="Verdana" w:cs="Times New Roman"/>
          <w:b/>
          <w:i/>
        </w:rPr>
        <w:t xml:space="preserve">          </w:t>
      </w:r>
      <w:r w:rsidR="00522B72" w:rsidRPr="00ED3D1B">
        <w:rPr>
          <w:rFonts w:ascii="Verdana" w:hAnsi="Verdana" w:cs="Times New Roman"/>
          <w:b/>
          <w:i/>
        </w:rPr>
        <w:t xml:space="preserve">ecuatoriano a partir de la dolarización con respecto a Colombia y </w:t>
      </w:r>
      <w:r>
        <w:rPr>
          <w:rFonts w:ascii="Verdana" w:hAnsi="Verdana" w:cs="Times New Roman"/>
          <w:b/>
          <w:i/>
        </w:rPr>
        <w:t xml:space="preserve"> </w:t>
      </w:r>
    </w:p>
    <w:p w:rsidR="00C76E8B" w:rsidRDefault="00C76E8B" w:rsidP="00C76E8B">
      <w:pPr>
        <w:pStyle w:val="Sinespaciado"/>
        <w:jc w:val="both"/>
        <w:rPr>
          <w:rFonts w:ascii="Verdana" w:hAnsi="Verdana" w:cs="Times New Roman"/>
        </w:rPr>
      </w:pPr>
      <w:r>
        <w:rPr>
          <w:rFonts w:ascii="Verdana" w:hAnsi="Verdana" w:cs="Times New Roman"/>
          <w:b/>
          <w:i/>
        </w:rPr>
        <w:t xml:space="preserve">          </w:t>
      </w:r>
      <w:r w:rsidR="00522B72" w:rsidRPr="00ED3D1B">
        <w:rPr>
          <w:rFonts w:ascii="Verdana" w:hAnsi="Verdana" w:cs="Times New Roman"/>
          <w:b/>
          <w:i/>
        </w:rPr>
        <w:t>Venezuela período 2000-2002.</w:t>
      </w:r>
      <w:r w:rsidR="00522B72" w:rsidRPr="00ED3D1B">
        <w:rPr>
          <w:rFonts w:ascii="Verdana" w:hAnsi="Verdana" w:cs="Times New Roman"/>
        </w:rPr>
        <w:t xml:space="preserve"> (Dis</w:t>
      </w:r>
      <w:r>
        <w:rPr>
          <w:rFonts w:ascii="Verdana" w:hAnsi="Verdana" w:cs="Times New Roman"/>
        </w:rPr>
        <w:t>ertación de grado), Facultad de</w:t>
      </w:r>
    </w:p>
    <w:p w:rsidR="00522B72" w:rsidRDefault="00C76E8B" w:rsidP="00C76E8B">
      <w:pPr>
        <w:pStyle w:val="Sinespaciado"/>
        <w:jc w:val="both"/>
        <w:rPr>
          <w:rFonts w:ascii="Verdana" w:hAnsi="Verdana" w:cs="Times New Roman"/>
        </w:rPr>
      </w:pPr>
      <w:r>
        <w:rPr>
          <w:rFonts w:ascii="Verdana" w:hAnsi="Verdana" w:cs="Times New Roman"/>
        </w:rPr>
        <w:t xml:space="preserve">          </w:t>
      </w:r>
      <w:r w:rsidR="00522B72" w:rsidRPr="00ED3D1B">
        <w:rPr>
          <w:rFonts w:ascii="Verdana" w:hAnsi="Verdana" w:cs="Times New Roman"/>
        </w:rPr>
        <w:t>Economía de la PUCE, Ecuador.</w:t>
      </w:r>
    </w:p>
    <w:p w:rsidR="00BE23F2" w:rsidRDefault="00BE23F2" w:rsidP="00C76E8B">
      <w:pPr>
        <w:pStyle w:val="Sinespaciado"/>
        <w:jc w:val="both"/>
        <w:rPr>
          <w:rFonts w:ascii="Verdana" w:hAnsi="Verdana" w:cs="Times New Roman"/>
        </w:rPr>
      </w:pPr>
    </w:p>
    <w:p w:rsidR="007D71D3" w:rsidRPr="00BE23F2" w:rsidRDefault="007D71D3" w:rsidP="00BE23F2">
      <w:pPr>
        <w:pStyle w:val="Sinespaciado"/>
        <w:ind w:left="709" w:hanging="709"/>
        <w:jc w:val="both"/>
        <w:rPr>
          <w:rFonts w:ascii="Verdana" w:hAnsi="Verdana" w:cs="Times New Roman"/>
        </w:rPr>
      </w:pPr>
      <w:r>
        <w:rPr>
          <w:rFonts w:ascii="Verdana" w:hAnsi="Verdana" w:cs="Times New Roman"/>
        </w:rPr>
        <w:t>Cámara de Comercio de Guayaquil (2010</w:t>
      </w:r>
      <w:r w:rsidRPr="00BE23F2">
        <w:rPr>
          <w:rFonts w:ascii="Verdana" w:hAnsi="Verdana" w:cs="Times New Roman"/>
        </w:rPr>
        <w:t>)</w:t>
      </w:r>
      <w:r w:rsidRPr="00BE23F2">
        <w:rPr>
          <w:rFonts w:ascii="Verdana" w:hAnsi="Verdana" w:cs="Times New Roman"/>
          <w:b/>
          <w:i/>
        </w:rPr>
        <w:t xml:space="preserve"> </w:t>
      </w:r>
      <w:r w:rsidR="00BE23F2" w:rsidRPr="00BE23F2">
        <w:rPr>
          <w:rFonts w:ascii="Verdana" w:hAnsi="Verdana" w:cs="Times New Roman"/>
          <w:b/>
          <w:i/>
        </w:rPr>
        <w:t>Boletín Comercio Exterior</w:t>
      </w:r>
      <w:r w:rsidR="00BE23F2" w:rsidRPr="00BE23F2">
        <w:rPr>
          <w:rFonts w:ascii="Verdana" w:hAnsi="Verdana" w:cs="Times New Roman"/>
        </w:rPr>
        <w:t xml:space="preserve">. </w:t>
      </w:r>
      <w:r w:rsidR="00BE23F2">
        <w:rPr>
          <w:rFonts w:ascii="Verdana" w:hAnsi="Verdana" w:cs="Times New Roman"/>
        </w:rPr>
        <w:t xml:space="preserve">Recuperado de </w:t>
      </w:r>
      <w:r w:rsidR="00BE23F2" w:rsidRPr="00BE23F2">
        <w:rPr>
          <w:rFonts w:ascii="Verdana" w:hAnsi="Verdana" w:cs="Times New Roman"/>
        </w:rPr>
        <w:t>http://www.lacamara.org/website-antes/images/boletines/boletin%20comercio%20exterior%20no%20%2051%20enero13%202.pdf</w:t>
      </w:r>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CB3D5A" w:rsidRPr="00ED3D1B" w:rsidRDefault="00522B72" w:rsidP="00EC63DA">
      <w:pPr>
        <w:pStyle w:val="Sinespaciado"/>
        <w:ind w:left="709" w:hanging="709"/>
        <w:jc w:val="both"/>
        <w:rPr>
          <w:rFonts w:ascii="Verdana" w:hAnsi="Verdana" w:cs="Times New Roman"/>
        </w:rPr>
      </w:pPr>
      <w:r w:rsidRPr="00ED3D1B">
        <w:rPr>
          <w:rFonts w:ascii="Verdana" w:hAnsi="Verdana" w:cs="Times New Roman"/>
        </w:rPr>
        <w:lastRenderedPageBreak/>
        <w:t xml:space="preserve">CINAE (2013) </w:t>
      </w:r>
      <w:r w:rsidRPr="00ED3D1B">
        <w:rPr>
          <w:rFonts w:ascii="Verdana" w:hAnsi="Verdana" w:cs="Times New Roman"/>
          <w:b/>
          <w:i/>
        </w:rPr>
        <w:t>Historia de la industria automotriz en Ecuador</w:t>
      </w:r>
      <w:r w:rsidR="00F33635">
        <w:rPr>
          <w:rFonts w:ascii="Verdana" w:hAnsi="Verdana" w:cs="Times New Roman"/>
        </w:rPr>
        <w:t>. Recuperado de</w:t>
      </w:r>
      <w:r w:rsidRPr="00ED3D1B">
        <w:rPr>
          <w:rFonts w:ascii="Verdana" w:hAnsi="Verdana" w:cs="Times New Roman"/>
        </w:rPr>
        <w:t xml:space="preserve"> http://cinae.org.ec/index.php/58-biblioteca-boletines/boletines-2015/boletin-2015-julio/66-historia-de-la-industria-ecuatoriana</w:t>
      </w:r>
    </w:p>
    <w:p w:rsidR="00CB3D5A" w:rsidRPr="00ED3D1B" w:rsidRDefault="00CB3D5A" w:rsidP="00EC63DA">
      <w:pPr>
        <w:pStyle w:val="Sinespaciado"/>
        <w:ind w:left="709" w:hanging="709"/>
        <w:jc w:val="both"/>
        <w:rPr>
          <w:rFonts w:ascii="Verdana" w:hAnsi="Verdana" w:cs="Times New Roman"/>
        </w:rPr>
      </w:pPr>
    </w:p>
    <w:p w:rsidR="00CB3D5A" w:rsidRPr="00ED3D1B" w:rsidRDefault="00CB3D5A" w:rsidP="00EC63DA">
      <w:pPr>
        <w:pStyle w:val="Sinespaciado"/>
        <w:ind w:left="709" w:hanging="709"/>
        <w:jc w:val="both"/>
        <w:rPr>
          <w:rFonts w:ascii="Verdana" w:hAnsi="Verdana" w:cs="Times New Roman"/>
        </w:rPr>
      </w:pPr>
      <w:r w:rsidRPr="00ED3D1B">
        <w:rPr>
          <w:rFonts w:ascii="Verdana" w:hAnsi="Verdana" w:cs="Times New Roman"/>
        </w:rPr>
        <w:t>CINAE (2017a</w:t>
      </w:r>
      <w:r w:rsidRPr="00F33635">
        <w:rPr>
          <w:rFonts w:ascii="Verdana" w:hAnsi="Verdana" w:cs="Times New Roman"/>
          <w:i/>
        </w:rPr>
        <w:t>)</w:t>
      </w:r>
      <w:r w:rsidRPr="00ED3D1B">
        <w:rPr>
          <w:rFonts w:ascii="Verdana" w:hAnsi="Verdana" w:cs="Times New Roman"/>
          <w:b/>
          <w:i/>
        </w:rPr>
        <w:t xml:space="preserve"> La política industrial automotriz está en la agenda pública</w:t>
      </w:r>
      <w:r w:rsidRPr="00ED3D1B">
        <w:rPr>
          <w:rFonts w:ascii="Verdana" w:hAnsi="Verdana" w:cs="Times New Roman"/>
        </w:rPr>
        <w:t>, CINAE a sus socios (11) (6-7)</w:t>
      </w:r>
    </w:p>
    <w:p w:rsidR="00CB3D5A" w:rsidRPr="00ED3D1B" w:rsidRDefault="00CB3D5A" w:rsidP="00EC63DA">
      <w:pPr>
        <w:pStyle w:val="Sinespaciado"/>
        <w:ind w:left="709" w:hanging="709"/>
        <w:jc w:val="both"/>
        <w:rPr>
          <w:rFonts w:ascii="Verdana" w:hAnsi="Verdana" w:cs="Times New Roman"/>
        </w:rPr>
      </w:pPr>
      <w:r w:rsidRPr="00ED3D1B">
        <w:rPr>
          <w:rFonts w:ascii="Verdana" w:hAnsi="Verdana" w:cs="Times New Roman"/>
        </w:rPr>
        <w:t xml:space="preserve"> </w:t>
      </w:r>
    </w:p>
    <w:p w:rsidR="00CB3D5A" w:rsidRDefault="00CB3D5A" w:rsidP="00EC63DA">
      <w:pPr>
        <w:pStyle w:val="Sinespaciado"/>
        <w:ind w:left="708" w:hangingChars="322" w:hanging="708"/>
        <w:jc w:val="both"/>
        <w:rPr>
          <w:rFonts w:ascii="Verdana" w:hAnsi="Verdana" w:cs="Times New Roman"/>
        </w:rPr>
      </w:pPr>
      <w:r w:rsidRPr="00ED3D1B">
        <w:rPr>
          <w:rFonts w:ascii="Verdana" w:hAnsi="Verdana" w:cs="Times New Roman"/>
        </w:rPr>
        <w:t xml:space="preserve">CINAE (2017b) </w:t>
      </w:r>
      <w:r w:rsidRPr="00ED3D1B">
        <w:rPr>
          <w:rFonts w:ascii="Verdana" w:hAnsi="Verdana" w:cs="Times New Roman"/>
          <w:b/>
          <w:i/>
        </w:rPr>
        <w:t>Política industrial para el sector automotriz</w:t>
      </w:r>
      <w:r w:rsidRPr="00ED3D1B">
        <w:rPr>
          <w:rFonts w:ascii="Verdana" w:hAnsi="Verdana" w:cs="Times New Roman"/>
        </w:rPr>
        <w:t>, CINAE a sus socios (12) (8-10).</w:t>
      </w:r>
    </w:p>
    <w:p w:rsidR="00344EC8" w:rsidRDefault="00344EC8" w:rsidP="00EC63DA">
      <w:pPr>
        <w:pStyle w:val="Sinespaciado"/>
        <w:ind w:left="708" w:hangingChars="322" w:hanging="708"/>
        <w:jc w:val="both"/>
        <w:rPr>
          <w:rFonts w:ascii="Verdana" w:hAnsi="Verdana" w:cs="Times New Roman"/>
        </w:rPr>
      </w:pPr>
    </w:p>
    <w:p w:rsidR="00344EC8" w:rsidRPr="00344EC8" w:rsidRDefault="00344EC8" w:rsidP="00344EC8">
      <w:pPr>
        <w:pStyle w:val="Sinespaciado"/>
        <w:ind w:left="708" w:hangingChars="322" w:hanging="708"/>
        <w:rPr>
          <w:rFonts w:ascii="Verdana" w:hAnsi="Verdana" w:cs="Times New Roman"/>
        </w:rPr>
      </w:pPr>
      <w:r>
        <w:rPr>
          <w:rFonts w:ascii="Verdana" w:hAnsi="Verdana" w:cs="Times New Roman"/>
        </w:rPr>
        <w:t xml:space="preserve">Comunidad Andina (2016) </w:t>
      </w:r>
      <w:r w:rsidRPr="00344EC8">
        <w:rPr>
          <w:rFonts w:ascii="Verdana" w:hAnsi="Verdana" w:cs="Times New Roman"/>
          <w:b/>
          <w:i/>
        </w:rPr>
        <w:t>Andinos suscribieron nuevo convenio automotor</w:t>
      </w:r>
      <w:r>
        <w:rPr>
          <w:rFonts w:ascii="Verdana" w:hAnsi="Verdana" w:cs="Times New Roman"/>
          <w:b/>
          <w:i/>
        </w:rPr>
        <w:t xml:space="preserve">. </w:t>
      </w:r>
      <w:r>
        <w:rPr>
          <w:rFonts w:ascii="Verdana" w:hAnsi="Verdana" w:cs="Times New Roman"/>
        </w:rPr>
        <w:t xml:space="preserve">Recuperado de </w:t>
      </w:r>
      <w:r w:rsidRPr="00344EC8">
        <w:rPr>
          <w:rFonts w:ascii="Verdana" w:hAnsi="Verdana" w:cs="Times New Roman"/>
        </w:rPr>
        <w:t>http://www.comunidadandina.org/Prensa.aspx?id=89&amp;accion=detalle&amp;cat=NP&amp;title=andinos-suscribieron-nuevo-convenio-automotor</w:t>
      </w:r>
    </w:p>
    <w:p w:rsidR="00CB3D5A" w:rsidRPr="00ED3D1B" w:rsidRDefault="00CB3D5A" w:rsidP="00344EC8">
      <w:pPr>
        <w:pStyle w:val="Default"/>
        <w:spacing w:after="60"/>
        <w:jc w:val="both"/>
        <w:rPr>
          <w:rFonts w:ascii="Verdana" w:hAnsi="Verdana" w:cs="Times New Roman"/>
          <w:sz w:val="22"/>
          <w:szCs w:val="22"/>
        </w:rPr>
      </w:pPr>
    </w:p>
    <w:p w:rsidR="00522B72" w:rsidRDefault="00522B72" w:rsidP="00EC63DA">
      <w:pPr>
        <w:pStyle w:val="Sinespaciado"/>
        <w:ind w:left="709" w:hanging="709"/>
        <w:jc w:val="both"/>
        <w:rPr>
          <w:rFonts w:ascii="Verdana" w:hAnsi="Verdana" w:cs="Times New Roman"/>
        </w:rPr>
      </w:pPr>
      <w:r w:rsidRPr="00ED3D1B">
        <w:rPr>
          <w:rFonts w:ascii="Verdana" w:hAnsi="Verdana" w:cs="Times New Roman"/>
        </w:rPr>
        <w:t xml:space="preserve">CONCOPE (2011) </w:t>
      </w:r>
      <w:r w:rsidRPr="00ED3D1B">
        <w:rPr>
          <w:rFonts w:ascii="Verdana" w:hAnsi="Verdana" w:cs="Times New Roman"/>
          <w:b/>
          <w:i/>
        </w:rPr>
        <w:t>Cadena productivas y desarrollo económico rural en Latinoamérica</w:t>
      </w:r>
      <w:r w:rsidRPr="00ED3D1B">
        <w:rPr>
          <w:rFonts w:ascii="Verdana" w:hAnsi="Verdana" w:cs="Times New Roman"/>
        </w:rPr>
        <w:t xml:space="preserve">. Recuperado de </w:t>
      </w:r>
      <w:hyperlink r:id="rId26" w:history="1">
        <w:r w:rsidRPr="00ED3D1B">
          <w:rPr>
            <w:rFonts w:ascii="Verdana" w:hAnsi="Verdana" w:cs="Times New Roman"/>
          </w:rPr>
          <w:t>http://www.congope.gob.ec/wp-content/uploads/2014/08/Cadenas-Productivas-y-Desarrollo-Economico-Rural-en-Latinoamerica.pdf</w:t>
        </w:r>
      </w:hyperlink>
    </w:p>
    <w:p w:rsidR="00CC453B" w:rsidRPr="00ED3D1B" w:rsidRDefault="00CC453B" w:rsidP="00CC453B">
      <w:pPr>
        <w:pStyle w:val="Default"/>
        <w:spacing w:after="60"/>
        <w:jc w:val="both"/>
        <w:rPr>
          <w:rFonts w:ascii="Verdana" w:hAnsi="Verdana" w:cs="Times New Roman"/>
          <w:sz w:val="22"/>
          <w:szCs w:val="22"/>
        </w:rPr>
      </w:pPr>
    </w:p>
    <w:p w:rsidR="00522B72" w:rsidRPr="00ED3D1B" w:rsidRDefault="00522B72" w:rsidP="00EC63DA">
      <w:pPr>
        <w:pStyle w:val="Sinespaciado"/>
        <w:ind w:left="709" w:hanging="709"/>
        <w:jc w:val="both"/>
        <w:rPr>
          <w:rFonts w:ascii="Verdana" w:hAnsi="Verdana" w:cs="Times New Roman"/>
        </w:rPr>
      </w:pPr>
      <w:r w:rsidRPr="00ED3D1B">
        <w:rPr>
          <w:rFonts w:ascii="Verdana" w:hAnsi="Verdana" w:cs="Times New Roman"/>
        </w:rPr>
        <w:t xml:space="preserve">Coyuntura-economia (2010) </w:t>
      </w:r>
      <w:r w:rsidRPr="00ED3D1B">
        <w:rPr>
          <w:rFonts w:ascii="Verdana" w:hAnsi="Verdana" w:cs="Times New Roman"/>
          <w:b/>
          <w:i/>
        </w:rPr>
        <w:t>Samuelson explica el concepto de Ventaja Comparativa</w:t>
      </w:r>
      <w:r w:rsidRPr="00ED3D1B">
        <w:rPr>
          <w:rFonts w:ascii="Verdana" w:hAnsi="Verdana" w:cs="Times New Roman"/>
        </w:rPr>
        <w:t xml:space="preserve">. Recuperado de </w:t>
      </w:r>
      <w:hyperlink r:id="rId27" w:history="1">
        <w:r w:rsidRPr="00ED3D1B">
          <w:rPr>
            <w:rFonts w:ascii="Verdana" w:hAnsi="Verdana" w:cs="Times New Roman"/>
          </w:rPr>
          <w:t>http://coyuntura-economia.blogspot.com/2010/04/samuelson-explica-el-concepto-de.html</w:t>
        </w:r>
      </w:hyperlink>
    </w:p>
    <w:p w:rsidR="00522B72" w:rsidRPr="00ED3D1B" w:rsidRDefault="00522B72" w:rsidP="00EC63DA">
      <w:pPr>
        <w:pStyle w:val="Sinespaciado"/>
        <w:ind w:left="709" w:hanging="709"/>
        <w:jc w:val="both"/>
        <w:rPr>
          <w:rFonts w:ascii="Verdana" w:hAnsi="Verdana" w:cs="Times New Roman"/>
        </w:rPr>
      </w:pPr>
    </w:p>
    <w:p w:rsidR="00522B72" w:rsidRPr="00ED3D1B" w:rsidRDefault="00522B72" w:rsidP="00EC63DA">
      <w:pPr>
        <w:pStyle w:val="Sinespaciado"/>
        <w:ind w:left="709" w:hanging="709"/>
        <w:jc w:val="both"/>
        <w:rPr>
          <w:rFonts w:ascii="Verdana" w:hAnsi="Verdana" w:cs="Times New Roman"/>
        </w:rPr>
      </w:pPr>
      <w:r w:rsidRPr="00ED3D1B">
        <w:rPr>
          <w:rFonts w:ascii="Verdana" w:hAnsi="Verdana" w:cs="Times New Roman"/>
        </w:rPr>
        <w:t>Di Filippo, Armando (2009)</w:t>
      </w:r>
      <w:r w:rsidRPr="00ED3D1B">
        <w:rPr>
          <w:rFonts w:ascii="Verdana" w:hAnsi="Verdana" w:cs="Times New Roman"/>
          <w:b/>
          <w:i/>
        </w:rPr>
        <w:t xml:space="preserve"> Estructuralismo latinoamericano y teoría económica</w:t>
      </w:r>
      <w:r w:rsidRPr="00ED3D1B">
        <w:rPr>
          <w:rFonts w:ascii="Verdana" w:hAnsi="Verdana" w:cs="Times New Roman"/>
        </w:rPr>
        <w:t xml:space="preserve">. [Versión PDF].    Recuperado de </w:t>
      </w:r>
      <w:hyperlink r:id="rId28" w:history="1">
        <w:r w:rsidRPr="00ED3D1B">
          <w:rPr>
            <w:rFonts w:ascii="Verdana" w:hAnsi="Verdana"/>
          </w:rPr>
          <w:t>http://www.eclac.org/publicaciones/xml/4/36814/RVE98DiFilippo.pdf</w:t>
        </w:r>
      </w:hyperlink>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Sinespaciado"/>
        <w:ind w:left="709" w:hanging="709"/>
        <w:jc w:val="both"/>
        <w:rPr>
          <w:rFonts w:ascii="Verdana" w:hAnsi="Verdana" w:cs="Times New Roman"/>
        </w:rPr>
      </w:pPr>
      <w:r w:rsidRPr="00ED3D1B">
        <w:rPr>
          <w:rFonts w:ascii="Verdana" w:hAnsi="Verdana" w:cs="Times New Roman"/>
        </w:rPr>
        <w:t xml:space="preserve">Dombois, Robert (1985). </w:t>
      </w:r>
      <w:r w:rsidRPr="00ED3D1B">
        <w:rPr>
          <w:rFonts w:ascii="Verdana" w:hAnsi="Verdana" w:cs="Times New Roman"/>
          <w:b/>
          <w:i/>
        </w:rPr>
        <w:t>La producción automotriz y el mercado del trabajo en un país en desarrollo: un estudio sobre la industria automotriz mexicana</w:t>
      </w:r>
      <w:r w:rsidRPr="00ED3D1B">
        <w:rPr>
          <w:rFonts w:ascii="Verdana" w:hAnsi="Verdana" w:cs="Times New Roman"/>
        </w:rPr>
        <w:t xml:space="preserve"> (Vol. 85, No. 206). International InstituteforComparative Social Research/Labor Policy.</w:t>
      </w:r>
    </w:p>
    <w:p w:rsidR="00522B72" w:rsidRPr="00ED3D1B" w:rsidRDefault="00522B72" w:rsidP="00EC63DA">
      <w:pPr>
        <w:pStyle w:val="Default"/>
        <w:ind w:left="709" w:hanging="709"/>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Economipedia (2015) </w:t>
      </w:r>
      <w:r w:rsidRPr="00ED3D1B">
        <w:rPr>
          <w:rFonts w:ascii="Verdana" w:eastAsiaTheme="minorEastAsia" w:hAnsi="Verdana" w:cs="Times New Roman"/>
          <w:b/>
          <w:i/>
          <w:color w:val="auto"/>
          <w:sz w:val="22"/>
          <w:szCs w:val="22"/>
          <w:lang w:eastAsia="es-EC"/>
        </w:rPr>
        <w:t>Ventaja Absoluta</w:t>
      </w:r>
      <w:r w:rsidRPr="00ED3D1B">
        <w:rPr>
          <w:rFonts w:ascii="Verdana" w:eastAsiaTheme="minorEastAsia" w:hAnsi="Verdana" w:cs="Times New Roman"/>
          <w:color w:val="auto"/>
          <w:sz w:val="22"/>
          <w:szCs w:val="22"/>
          <w:lang w:eastAsia="es-EC"/>
        </w:rPr>
        <w:t xml:space="preserve">. Recuperado de </w:t>
      </w:r>
      <w:hyperlink r:id="rId29" w:history="1">
        <w:r w:rsidRPr="00ED3D1B">
          <w:rPr>
            <w:rFonts w:ascii="Verdana" w:eastAsiaTheme="minorEastAsia" w:hAnsi="Verdana" w:cs="Times New Roman"/>
            <w:color w:val="auto"/>
            <w:sz w:val="22"/>
            <w:szCs w:val="22"/>
            <w:lang w:eastAsia="es-EC"/>
          </w:rPr>
          <w:t>http://economipedia.com/definiciones/ventaja-absoluta.html</w:t>
        </w:r>
      </w:hyperlink>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Ecuadorinmediato (2012) </w:t>
      </w:r>
      <w:r w:rsidRPr="00ED3D1B">
        <w:rPr>
          <w:rFonts w:ascii="Verdana" w:eastAsiaTheme="minorEastAsia" w:hAnsi="Verdana" w:cs="Times New Roman"/>
          <w:b/>
          <w:i/>
          <w:color w:val="auto"/>
          <w:sz w:val="22"/>
          <w:szCs w:val="22"/>
          <w:lang w:eastAsia="es-EC"/>
        </w:rPr>
        <w:t>Corte Constitucional aún no se pronuncia sobre demandas presentadas contra novena reforma tributaria.</w:t>
      </w:r>
      <w:r w:rsidR="00F33635">
        <w:rPr>
          <w:rFonts w:ascii="Verdana" w:eastAsiaTheme="minorEastAsia" w:hAnsi="Verdana" w:cs="Times New Roman"/>
          <w:color w:val="auto"/>
          <w:sz w:val="22"/>
          <w:szCs w:val="22"/>
          <w:lang w:eastAsia="es-EC"/>
        </w:rPr>
        <w:t xml:space="preserve"> Recuperado de</w:t>
      </w:r>
      <w:r w:rsidRPr="00ED3D1B">
        <w:rPr>
          <w:rFonts w:ascii="Verdana" w:eastAsiaTheme="minorEastAsia" w:hAnsi="Verdana" w:cs="Times New Roman"/>
          <w:color w:val="auto"/>
          <w:sz w:val="22"/>
          <w:szCs w:val="22"/>
          <w:lang w:eastAsia="es-EC"/>
        </w:rPr>
        <w:t xml:space="preserve"> http://www.ecuadorinmediato.com/index.php?module=Noticias&amp;func=wap_news_view&amp;id=164507</w:t>
      </w:r>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EFI- Economía (2016) </w:t>
      </w:r>
      <w:r w:rsidRPr="00ED3D1B">
        <w:rPr>
          <w:rFonts w:ascii="Verdana" w:eastAsiaTheme="minorEastAsia" w:hAnsi="Verdana" w:cs="Times New Roman"/>
          <w:b/>
          <w:i/>
          <w:color w:val="auto"/>
          <w:sz w:val="22"/>
          <w:szCs w:val="22"/>
          <w:lang w:eastAsia="es-EC"/>
        </w:rPr>
        <w:t>Teoría de la Ventaja Absoluta de Adam Smith</w:t>
      </w:r>
      <w:r w:rsidRPr="00ED3D1B">
        <w:rPr>
          <w:rFonts w:ascii="Verdana" w:eastAsiaTheme="minorEastAsia" w:hAnsi="Verdana" w:cs="Times New Roman"/>
          <w:color w:val="auto"/>
          <w:sz w:val="22"/>
          <w:szCs w:val="22"/>
          <w:lang w:eastAsia="es-EC"/>
        </w:rPr>
        <w:t xml:space="preserve">. Recuperado de </w:t>
      </w:r>
      <w:hyperlink r:id="rId30" w:history="1">
        <w:r w:rsidRPr="00ED3D1B">
          <w:rPr>
            <w:rFonts w:ascii="Verdana" w:eastAsiaTheme="minorEastAsia" w:hAnsi="Verdana" w:cs="Times New Roman"/>
            <w:color w:val="auto"/>
            <w:sz w:val="22"/>
            <w:szCs w:val="22"/>
            <w:lang w:eastAsia="es-EC"/>
          </w:rPr>
          <w:t>http://www.puce.edu.ec/economia/efi/index.php/economia-internacional/12-teoria-clasica/71-teoria-de-la-ventaja-absoluta-de-adam-smith</w:t>
        </w:r>
      </w:hyperlink>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Ekos (2011) </w:t>
      </w:r>
      <w:r w:rsidRPr="00ED3D1B">
        <w:rPr>
          <w:rFonts w:ascii="Verdana" w:eastAsiaTheme="minorEastAsia" w:hAnsi="Verdana" w:cs="Times New Roman"/>
          <w:b/>
          <w:i/>
          <w:color w:val="auto"/>
          <w:sz w:val="22"/>
          <w:szCs w:val="22"/>
          <w:lang w:eastAsia="es-EC"/>
        </w:rPr>
        <w:t>Ranking empresarial 2011</w:t>
      </w:r>
      <w:r w:rsidRPr="00ED3D1B">
        <w:rPr>
          <w:rFonts w:ascii="Verdana" w:eastAsiaTheme="minorEastAsia" w:hAnsi="Verdana" w:cs="Times New Roman"/>
          <w:color w:val="auto"/>
          <w:sz w:val="22"/>
          <w:szCs w:val="22"/>
          <w:lang w:eastAsia="es-EC"/>
        </w:rPr>
        <w:t>. Recuperado de https://issuu.com/ekosnegocios/docs/207</w:t>
      </w:r>
    </w:p>
    <w:p w:rsidR="00522B72" w:rsidRPr="00ED3D1B" w:rsidRDefault="00522B72" w:rsidP="00EC63DA">
      <w:pPr>
        <w:pStyle w:val="Sinespaciado"/>
        <w:spacing w:after="60"/>
        <w:jc w:val="both"/>
        <w:rPr>
          <w:rFonts w:ascii="Verdana" w:hAnsi="Verdana" w:cs="Times New Roman"/>
        </w:rPr>
      </w:pPr>
    </w:p>
    <w:p w:rsidR="00522B72" w:rsidRPr="00ED3D1B" w:rsidRDefault="000835B8" w:rsidP="00EC63DA">
      <w:pPr>
        <w:pStyle w:val="Default"/>
        <w:ind w:left="709" w:hanging="709"/>
        <w:jc w:val="both"/>
        <w:rPr>
          <w:rFonts w:ascii="Verdana" w:eastAsiaTheme="minorEastAsia" w:hAnsi="Verdana" w:cs="Times New Roman"/>
          <w:color w:val="auto"/>
          <w:sz w:val="22"/>
          <w:szCs w:val="22"/>
          <w:lang w:eastAsia="es-EC"/>
        </w:rPr>
      </w:pPr>
      <w:r>
        <w:rPr>
          <w:rFonts w:ascii="Verdana" w:eastAsiaTheme="minorEastAsia" w:hAnsi="Verdana" w:cs="Times New Roman"/>
          <w:color w:val="auto"/>
          <w:sz w:val="22"/>
          <w:szCs w:val="22"/>
          <w:lang w:eastAsia="es-EC"/>
        </w:rPr>
        <w:lastRenderedPageBreak/>
        <w:t>Ekos (2016</w:t>
      </w:r>
      <w:r w:rsidR="00522B72" w:rsidRPr="00ED3D1B">
        <w:rPr>
          <w:rFonts w:ascii="Verdana" w:eastAsiaTheme="minorEastAsia" w:hAnsi="Verdana" w:cs="Times New Roman"/>
          <w:color w:val="auto"/>
          <w:sz w:val="22"/>
          <w:szCs w:val="22"/>
          <w:lang w:eastAsia="es-EC"/>
        </w:rPr>
        <w:t xml:space="preserve">). </w:t>
      </w:r>
      <w:r w:rsidR="00522B72" w:rsidRPr="00F4036B">
        <w:rPr>
          <w:rFonts w:ascii="Verdana" w:eastAsiaTheme="minorEastAsia" w:hAnsi="Verdana" w:cs="Times New Roman"/>
          <w:b/>
          <w:i/>
          <w:color w:val="auto"/>
          <w:sz w:val="22"/>
          <w:szCs w:val="22"/>
          <w:lang w:eastAsia="es-EC"/>
        </w:rPr>
        <w:t>Produccion Nacional</w:t>
      </w:r>
      <w:r w:rsidR="00522B72" w:rsidRPr="00ED3D1B">
        <w:rPr>
          <w:rFonts w:ascii="Verdana" w:eastAsiaTheme="minorEastAsia" w:hAnsi="Verdana" w:cs="Times New Roman"/>
          <w:color w:val="auto"/>
          <w:sz w:val="22"/>
          <w:szCs w:val="22"/>
          <w:lang w:eastAsia="es-EC"/>
        </w:rPr>
        <w:t>. Recuperado de http://www.ekosnegocios.com/negocios/verAr</w:t>
      </w:r>
      <w:r w:rsidR="00CE1D9D" w:rsidRPr="00ED3D1B">
        <w:rPr>
          <w:rFonts w:ascii="Verdana" w:eastAsiaTheme="minorEastAsia" w:hAnsi="Verdana" w:cs="Times New Roman"/>
          <w:color w:val="auto"/>
          <w:sz w:val="22"/>
          <w:szCs w:val="22"/>
          <w:lang w:eastAsia="es-EC"/>
        </w:rPr>
        <w:t>ticuloContenido.aspx?idArt=7451</w:t>
      </w:r>
    </w:p>
    <w:p w:rsidR="00061EA7" w:rsidRPr="00ED3D1B" w:rsidRDefault="00061EA7" w:rsidP="00EC63DA">
      <w:pPr>
        <w:pStyle w:val="Textocomentario"/>
        <w:spacing w:after="60"/>
        <w:ind w:left="708" w:hangingChars="322" w:hanging="708"/>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sz w:val="22"/>
          <w:szCs w:val="22"/>
          <w:lang w:eastAsia="es-EC"/>
        </w:rPr>
      </w:pPr>
      <w:r w:rsidRPr="00ED3D1B">
        <w:rPr>
          <w:rFonts w:ascii="Verdana" w:eastAsiaTheme="minorEastAsia" w:hAnsi="Verdana" w:cs="Times New Roman"/>
          <w:color w:val="auto"/>
          <w:sz w:val="22"/>
          <w:szCs w:val="22"/>
          <w:lang w:eastAsia="es-EC"/>
        </w:rPr>
        <w:t xml:space="preserve">El Blog Salmon (2010) </w:t>
      </w:r>
      <w:r w:rsidRPr="00F4036B">
        <w:rPr>
          <w:rFonts w:ascii="Verdana" w:eastAsiaTheme="minorEastAsia" w:hAnsi="Verdana" w:cs="Times New Roman"/>
          <w:b/>
          <w:i/>
          <w:color w:val="auto"/>
          <w:sz w:val="22"/>
          <w:szCs w:val="22"/>
          <w:lang w:eastAsia="es-EC"/>
        </w:rPr>
        <w:t xml:space="preserve">¿Qué es la Ventaja Comparativa? </w:t>
      </w:r>
      <w:r w:rsidRPr="00ED3D1B">
        <w:rPr>
          <w:rFonts w:ascii="Verdana" w:eastAsiaTheme="minorEastAsia" w:hAnsi="Verdana" w:cs="Times New Roman"/>
          <w:color w:val="auto"/>
          <w:sz w:val="22"/>
          <w:szCs w:val="22"/>
          <w:lang w:eastAsia="es-EC"/>
        </w:rPr>
        <w:t xml:space="preserve">Recuperado de </w:t>
      </w:r>
      <w:hyperlink r:id="rId31" w:history="1">
        <w:r w:rsidRPr="00ED3D1B">
          <w:rPr>
            <w:rFonts w:ascii="Verdana" w:eastAsiaTheme="minorEastAsia" w:hAnsi="Verdana"/>
            <w:sz w:val="22"/>
            <w:szCs w:val="22"/>
            <w:lang w:eastAsia="es-EC"/>
          </w:rPr>
          <w:t>https://www.elblogsalmon.com/conceptos-de-economia/que-es-la-ventaja-comparativa</w:t>
        </w:r>
      </w:hyperlink>
    </w:p>
    <w:p w:rsidR="00061EA7" w:rsidRPr="00ED3D1B" w:rsidRDefault="00061EA7" w:rsidP="00EC63DA">
      <w:pPr>
        <w:pStyle w:val="Textoindependienteprimerasangra2"/>
        <w:spacing w:after="60" w:line="240" w:lineRule="auto"/>
        <w:ind w:left="708" w:hangingChars="322" w:hanging="708"/>
        <w:jc w:val="both"/>
        <w:rPr>
          <w:rFonts w:ascii="Verdana" w:hAnsi="Verdana" w:cs="Times New Roman"/>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El Comercio (2015) </w:t>
      </w:r>
      <w:r w:rsidRPr="00F4036B">
        <w:rPr>
          <w:rFonts w:ascii="Verdana" w:eastAsiaTheme="minorEastAsia" w:hAnsi="Verdana" w:cs="Times New Roman"/>
          <w:b/>
          <w:i/>
          <w:color w:val="auto"/>
          <w:sz w:val="22"/>
          <w:szCs w:val="22"/>
          <w:lang w:eastAsia="es-EC"/>
        </w:rPr>
        <w:t>La planta ensambladora de vehículos de Maresa suspende sus operaciones</w:t>
      </w:r>
      <w:r w:rsidR="00F33635">
        <w:rPr>
          <w:rFonts w:ascii="Verdana" w:eastAsiaTheme="minorEastAsia" w:hAnsi="Verdana" w:cs="Times New Roman"/>
          <w:color w:val="auto"/>
          <w:sz w:val="22"/>
          <w:szCs w:val="22"/>
          <w:lang w:eastAsia="es-EC"/>
        </w:rPr>
        <w:t>. Recuperado de</w:t>
      </w:r>
      <w:r w:rsidRPr="00ED3D1B">
        <w:rPr>
          <w:rFonts w:ascii="Verdana" w:eastAsiaTheme="minorEastAsia" w:hAnsi="Verdana" w:cs="Times New Roman"/>
          <w:color w:val="auto"/>
          <w:sz w:val="22"/>
          <w:szCs w:val="22"/>
          <w:lang w:eastAsia="es-EC"/>
        </w:rPr>
        <w:t xml:space="preserve"> http://www.elcomercio.com/actualidad/ecuador-ensambladora-m</w:t>
      </w:r>
      <w:r w:rsidR="00CE1D9D" w:rsidRPr="00ED3D1B">
        <w:rPr>
          <w:rFonts w:ascii="Verdana" w:eastAsiaTheme="minorEastAsia" w:hAnsi="Verdana" w:cs="Times New Roman"/>
          <w:color w:val="auto"/>
          <w:sz w:val="22"/>
          <w:szCs w:val="22"/>
          <w:lang w:eastAsia="es-EC"/>
        </w:rPr>
        <w:t>aresa-suspende-actividades.html</w:t>
      </w:r>
    </w:p>
    <w:p w:rsidR="00CE1D9D" w:rsidRPr="00ED3D1B" w:rsidRDefault="00CE1D9D" w:rsidP="00EC63DA">
      <w:pPr>
        <w:pStyle w:val="Sinespaciado"/>
        <w:spacing w:after="60"/>
        <w:ind w:left="708" w:hangingChars="322" w:hanging="708"/>
        <w:jc w:val="both"/>
        <w:rPr>
          <w:rFonts w:ascii="Verdana" w:hAnsi="Verdana" w:cs="Times New Roman"/>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El Comercio (2015) </w:t>
      </w:r>
      <w:r w:rsidRPr="00F4036B">
        <w:rPr>
          <w:rFonts w:ascii="Verdana" w:eastAsiaTheme="minorEastAsia" w:hAnsi="Verdana" w:cs="Times New Roman"/>
          <w:b/>
          <w:i/>
          <w:color w:val="auto"/>
          <w:sz w:val="22"/>
          <w:szCs w:val="22"/>
          <w:lang w:eastAsia="es-EC"/>
        </w:rPr>
        <w:t>Nuevas tasas para 10 tipos de crédito</w:t>
      </w:r>
      <w:r w:rsidR="00F33635">
        <w:rPr>
          <w:rFonts w:ascii="Verdana" w:eastAsiaTheme="minorEastAsia" w:hAnsi="Verdana" w:cs="Times New Roman"/>
          <w:color w:val="auto"/>
          <w:sz w:val="22"/>
          <w:szCs w:val="22"/>
          <w:lang w:eastAsia="es-EC"/>
        </w:rPr>
        <w:t>. Recuperado de</w:t>
      </w:r>
      <w:r w:rsidRPr="00ED3D1B">
        <w:rPr>
          <w:rFonts w:ascii="Verdana" w:eastAsiaTheme="minorEastAsia" w:hAnsi="Verdana" w:cs="Times New Roman"/>
          <w:color w:val="auto"/>
          <w:sz w:val="22"/>
          <w:szCs w:val="22"/>
          <w:lang w:eastAsia="es-EC"/>
        </w:rPr>
        <w:t xml:space="preserve"> http://www.elcomercio.com/actualidad/tasas-credito-prestamos-bancos-ecuador.html</w:t>
      </w:r>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El Comercio (2016) </w:t>
      </w:r>
      <w:r w:rsidRPr="00F4036B">
        <w:rPr>
          <w:rFonts w:ascii="Verdana" w:eastAsiaTheme="minorEastAsia" w:hAnsi="Verdana" w:cs="Times New Roman"/>
          <w:b/>
          <w:i/>
          <w:color w:val="auto"/>
          <w:sz w:val="22"/>
          <w:szCs w:val="22"/>
          <w:lang w:eastAsia="es-EC"/>
        </w:rPr>
        <w:t>La industria automotriz registra 908 plazas de trabajo menos.</w:t>
      </w:r>
      <w:r w:rsidR="00F33635">
        <w:rPr>
          <w:rFonts w:ascii="Verdana" w:eastAsiaTheme="minorEastAsia" w:hAnsi="Verdana" w:cs="Times New Roman"/>
          <w:color w:val="auto"/>
          <w:sz w:val="22"/>
          <w:szCs w:val="22"/>
          <w:lang w:eastAsia="es-EC"/>
        </w:rPr>
        <w:t xml:space="preserve"> Recuperado de</w:t>
      </w:r>
      <w:r w:rsidRPr="00ED3D1B">
        <w:rPr>
          <w:rFonts w:ascii="Verdana" w:eastAsiaTheme="minorEastAsia" w:hAnsi="Verdana" w:cs="Times New Roman"/>
          <w:color w:val="auto"/>
          <w:sz w:val="22"/>
          <w:szCs w:val="22"/>
          <w:lang w:eastAsia="es-EC"/>
        </w:rPr>
        <w:t xml:space="preserve"> http://www.elcomercio.com/actualidad/industriaautomotriz-</w:t>
      </w:r>
      <w:r w:rsidR="00061EA7" w:rsidRPr="00ED3D1B">
        <w:rPr>
          <w:rFonts w:ascii="Verdana" w:eastAsiaTheme="minorEastAsia" w:hAnsi="Verdana" w:cs="Times New Roman"/>
          <w:color w:val="auto"/>
          <w:sz w:val="22"/>
          <w:szCs w:val="22"/>
          <w:lang w:eastAsia="es-EC"/>
        </w:rPr>
        <w:t>empleos-produccion-ventas.html.</w:t>
      </w:r>
    </w:p>
    <w:p w:rsidR="00061EA7" w:rsidRPr="00ED3D1B" w:rsidRDefault="00061EA7" w:rsidP="00EC63DA">
      <w:pPr>
        <w:pStyle w:val="Sinespaciado"/>
        <w:spacing w:after="60"/>
        <w:ind w:left="708" w:hangingChars="322" w:hanging="708"/>
        <w:jc w:val="both"/>
        <w:rPr>
          <w:rFonts w:ascii="Verdana" w:hAnsi="Verdana" w:cs="Times New Roman"/>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El Tiempo (2016) </w:t>
      </w:r>
      <w:r w:rsidRPr="00F4036B">
        <w:rPr>
          <w:rFonts w:ascii="Verdana" w:eastAsiaTheme="minorEastAsia" w:hAnsi="Verdana" w:cs="Times New Roman"/>
          <w:b/>
          <w:i/>
          <w:color w:val="auto"/>
          <w:sz w:val="22"/>
          <w:szCs w:val="22"/>
          <w:lang w:eastAsia="es-EC"/>
        </w:rPr>
        <w:t>FEDESARROLLO: El Sector Automotor Genera 52.3 Billones de Pesos Cada Año en Colombia.</w:t>
      </w:r>
      <w:r w:rsidR="00F33635">
        <w:rPr>
          <w:rFonts w:ascii="Verdana" w:eastAsiaTheme="minorEastAsia" w:hAnsi="Verdana" w:cs="Times New Roman"/>
          <w:color w:val="auto"/>
          <w:sz w:val="22"/>
          <w:szCs w:val="22"/>
          <w:lang w:eastAsia="es-EC"/>
        </w:rPr>
        <w:t xml:space="preserve"> Recuperado de </w:t>
      </w:r>
      <w:r w:rsidRPr="00ED3D1B">
        <w:rPr>
          <w:rFonts w:ascii="Verdana" w:eastAsiaTheme="minorEastAsia" w:hAnsi="Verdana" w:cs="Times New Roman"/>
          <w:color w:val="auto"/>
          <w:sz w:val="22"/>
          <w:szCs w:val="22"/>
          <w:lang w:eastAsia="es-EC"/>
        </w:rPr>
        <w:t>http://www.eltiempo.com/revista-motor/actualidad/lanzamientos/fedesarrollo-sector-automotor-genera-52-billones-pesos-ano-colombia/19907</w:t>
      </w:r>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El Universal (2016) </w:t>
      </w:r>
      <w:r w:rsidRPr="00F4036B">
        <w:rPr>
          <w:rFonts w:ascii="Verdana" w:eastAsiaTheme="minorEastAsia" w:hAnsi="Verdana" w:cs="Times New Roman"/>
          <w:b/>
          <w:i/>
          <w:color w:val="auto"/>
          <w:sz w:val="22"/>
          <w:szCs w:val="22"/>
          <w:lang w:eastAsia="es-EC"/>
        </w:rPr>
        <w:t>La Industria Automotriz en México, Campeona en Empleo</w:t>
      </w:r>
      <w:r w:rsidR="00F33635">
        <w:rPr>
          <w:rFonts w:ascii="Verdana" w:eastAsiaTheme="minorEastAsia" w:hAnsi="Verdana" w:cs="Times New Roman"/>
          <w:color w:val="auto"/>
          <w:sz w:val="22"/>
          <w:szCs w:val="22"/>
          <w:lang w:eastAsia="es-EC"/>
        </w:rPr>
        <w:t xml:space="preserve">. Recuperado de </w:t>
      </w:r>
      <w:r w:rsidRPr="00ED3D1B">
        <w:rPr>
          <w:rFonts w:ascii="Verdana" w:eastAsiaTheme="minorEastAsia" w:hAnsi="Verdana" w:cs="Times New Roman"/>
          <w:color w:val="auto"/>
          <w:sz w:val="22"/>
          <w:szCs w:val="22"/>
          <w:lang w:eastAsia="es-EC"/>
        </w:rPr>
        <w:t>http://www.eluniversal.com.mx/articulo/cartera/economia/2015/11/13/la-industria-automotriz-en-mexico-campeona-en-empleo</w:t>
      </w: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El Universo (2003) </w:t>
      </w:r>
      <w:r w:rsidRPr="00F4036B">
        <w:rPr>
          <w:rFonts w:ascii="Verdana" w:eastAsiaTheme="minorEastAsia" w:hAnsi="Verdana" w:cs="Times New Roman"/>
          <w:b/>
          <w:i/>
          <w:color w:val="auto"/>
          <w:sz w:val="22"/>
          <w:szCs w:val="22"/>
          <w:lang w:eastAsia="es-EC"/>
        </w:rPr>
        <w:t>Grupo Fiat se reestructura</w:t>
      </w:r>
      <w:r w:rsidRPr="00ED3D1B">
        <w:rPr>
          <w:rFonts w:ascii="Verdana" w:eastAsiaTheme="minorEastAsia" w:hAnsi="Verdana" w:cs="Times New Roman"/>
          <w:color w:val="auto"/>
          <w:sz w:val="22"/>
          <w:szCs w:val="22"/>
          <w:lang w:eastAsia="es-EC"/>
        </w:rPr>
        <w:t>. Recuperado de http://www.eluniverso.com/2003/01/26/0001/9/65A95A</w:t>
      </w:r>
      <w:r w:rsidR="00CE1D9D" w:rsidRPr="00ED3D1B">
        <w:rPr>
          <w:rFonts w:ascii="Verdana" w:eastAsiaTheme="minorEastAsia" w:hAnsi="Verdana" w:cs="Times New Roman"/>
          <w:color w:val="auto"/>
          <w:sz w:val="22"/>
          <w:szCs w:val="22"/>
          <w:lang w:eastAsia="es-EC"/>
        </w:rPr>
        <w:t>0F5FDE4B40BB29B98DEFBEA117.html</w:t>
      </w:r>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Fajnzylber, Fernando (1988). </w:t>
      </w:r>
      <w:r w:rsidRPr="00F4036B">
        <w:rPr>
          <w:rFonts w:ascii="Verdana" w:eastAsiaTheme="minorEastAsia" w:hAnsi="Verdana" w:cs="Times New Roman"/>
          <w:b/>
          <w:i/>
          <w:color w:val="auto"/>
          <w:sz w:val="22"/>
          <w:szCs w:val="22"/>
          <w:lang w:eastAsia="es-EC"/>
        </w:rPr>
        <w:t>Revista de la CEPAL N°36. Competitividad internacional: Evolución y lecciones.</w:t>
      </w:r>
      <w:r w:rsidRPr="00ED3D1B">
        <w:rPr>
          <w:rFonts w:ascii="Verdana" w:eastAsiaTheme="minorEastAsia" w:hAnsi="Verdana" w:cs="Times New Roman"/>
          <w:color w:val="auto"/>
          <w:sz w:val="22"/>
          <w:szCs w:val="22"/>
          <w:lang w:eastAsia="es-EC"/>
        </w:rPr>
        <w:t xml:space="preserve"> Recuperado de http://repositorio.cepal.org/bitstream/handle/11362/11714/036007024_es.pdf;sequence=1</w:t>
      </w:r>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Fiat- Spazio (2008) </w:t>
      </w:r>
      <w:r w:rsidRPr="00F4036B">
        <w:rPr>
          <w:rFonts w:ascii="Verdana" w:eastAsiaTheme="minorEastAsia" w:hAnsi="Verdana" w:cs="Times New Roman"/>
          <w:b/>
          <w:i/>
          <w:color w:val="auto"/>
          <w:sz w:val="22"/>
          <w:szCs w:val="22"/>
          <w:lang w:eastAsia="es-EC"/>
        </w:rPr>
        <w:t>Ensambladoras.</w:t>
      </w:r>
      <w:r w:rsidR="00F33635">
        <w:rPr>
          <w:rFonts w:ascii="Verdana" w:eastAsiaTheme="minorEastAsia" w:hAnsi="Verdana" w:cs="Times New Roman"/>
          <w:color w:val="auto"/>
          <w:sz w:val="22"/>
          <w:szCs w:val="22"/>
          <w:lang w:eastAsia="es-EC"/>
        </w:rPr>
        <w:t xml:space="preserve"> Recuperado de</w:t>
      </w:r>
      <w:r w:rsidRPr="00ED3D1B">
        <w:rPr>
          <w:rFonts w:ascii="Verdana" w:eastAsiaTheme="minorEastAsia" w:hAnsi="Verdana" w:cs="Times New Roman"/>
          <w:color w:val="auto"/>
          <w:sz w:val="22"/>
          <w:szCs w:val="22"/>
          <w:lang w:eastAsia="es-EC"/>
        </w:rPr>
        <w:t xml:space="preserve"> http://spaziofiat.blogspot.com/2008_03_01_archive.html</w:t>
      </w: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Figueroa, Adolfo (1990) </w:t>
      </w:r>
      <w:r w:rsidRPr="00F4036B">
        <w:rPr>
          <w:rFonts w:ascii="Verdana" w:eastAsiaTheme="minorEastAsia" w:hAnsi="Verdana" w:cs="Times New Roman"/>
          <w:b/>
          <w:i/>
          <w:color w:val="auto"/>
          <w:sz w:val="22"/>
          <w:szCs w:val="22"/>
          <w:lang w:eastAsia="es-EC"/>
        </w:rPr>
        <w:t>Desarrollo agrícola en América Latina: Teoría de Políticas.</w:t>
      </w:r>
      <w:r w:rsidRPr="00ED3D1B">
        <w:rPr>
          <w:rFonts w:ascii="Verdana" w:eastAsiaTheme="minorEastAsia" w:hAnsi="Verdana" w:cs="Times New Roman"/>
          <w:color w:val="auto"/>
          <w:sz w:val="22"/>
          <w:szCs w:val="22"/>
          <w:lang w:eastAsia="es-EC"/>
        </w:rPr>
        <w:t xml:space="preserve"> [Versión PDF]. Recuperado de </w:t>
      </w:r>
      <w:hyperlink r:id="rId32" w:history="1">
        <w:r w:rsidRPr="00ED3D1B">
          <w:rPr>
            <w:rFonts w:ascii="Verdana" w:eastAsiaTheme="minorEastAsia" w:hAnsi="Verdana" w:cs="Times New Roman"/>
            <w:color w:val="auto"/>
            <w:sz w:val="22"/>
            <w:szCs w:val="22"/>
            <w:lang w:eastAsia="es-EC"/>
          </w:rPr>
          <w:t>http://departamento.pucp.edu.pe/economia/images/documentos/DDD88.pdf</w:t>
        </w:r>
      </w:hyperlink>
    </w:p>
    <w:p w:rsidR="001A12D7" w:rsidRPr="00ED3D1B" w:rsidRDefault="001A12D7" w:rsidP="00EC63DA">
      <w:pPr>
        <w:pStyle w:val="Default"/>
        <w:ind w:left="709" w:hanging="709"/>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lastRenderedPageBreak/>
        <w:t xml:space="preserve">FitzGerald, E.V.K (1998) </w:t>
      </w:r>
      <w:r w:rsidRPr="00F4036B">
        <w:rPr>
          <w:rFonts w:ascii="Verdana" w:eastAsiaTheme="minorEastAsia" w:hAnsi="Verdana" w:cs="Times New Roman"/>
          <w:b/>
          <w:i/>
          <w:color w:val="auto"/>
          <w:sz w:val="22"/>
          <w:szCs w:val="22"/>
          <w:lang w:eastAsia="es-EC"/>
        </w:rPr>
        <w:t>La CEPAL y la teoría de la industrialización</w:t>
      </w:r>
      <w:r w:rsidRPr="00ED3D1B">
        <w:rPr>
          <w:rFonts w:ascii="Verdana" w:eastAsiaTheme="minorEastAsia" w:hAnsi="Verdana" w:cs="Times New Roman"/>
          <w:color w:val="auto"/>
          <w:sz w:val="22"/>
          <w:szCs w:val="22"/>
          <w:lang w:eastAsia="es-EC"/>
        </w:rPr>
        <w:t xml:space="preserve">. Recuperado de </w:t>
      </w:r>
      <w:hyperlink r:id="rId33" w:anchor="36" w:history="1">
        <w:r w:rsidRPr="00ED3D1B">
          <w:rPr>
            <w:rFonts w:ascii="Verdana" w:eastAsiaTheme="minorEastAsia" w:hAnsi="Verdana"/>
            <w:sz w:val="22"/>
            <w:szCs w:val="22"/>
            <w:lang w:eastAsia="es-EC"/>
          </w:rPr>
          <w:t>http://www.cepal.org/publicaciones/xml/9/19229/valpy.htm#36</w:t>
        </w:r>
      </w:hyperlink>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sz w:val="22"/>
          <w:szCs w:val="22"/>
          <w:lang w:eastAsia="es-EC"/>
        </w:rPr>
      </w:pPr>
      <w:r w:rsidRPr="00ED3D1B">
        <w:rPr>
          <w:rFonts w:ascii="Verdana" w:eastAsiaTheme="minorEastAsia" w:hAnsi="Verdana" w:cs="Times New Roman"/>
          <w:color w:val="auto"/>
          <w:sz w:val="22"/>
          <w:szCs w:val="22"/>
          <w:lang w:eastAsia="es-EC"/>
        </w:rPr>
        <w:t xml:space="preserve">Foro Económico Mundial (2015) </w:t>
      </w:r>
      <w:r w:rsidRPr="00F4036B">
        <w:rPr>
          <w:rFonts w:ascii="Verdana" w:eastAsiaTheme="minorEastAsia" w:hAnsi="Verdana" w:cs="Times New Roman"/>
          <w:b/>
          <w:i/>
          <w:color w:val="auto"/>
          <w:sz w:val="22"/>
          <w:szCs w:val="22"/>
          <w:lang w:eastAsia="es-EC"/>
        </w:rPr>
        <w:t>The Global Competitiveness Report 2014-2015</w:t>
      </w:r>
      <w:r w:rsidRPr="00ED3D1B">
        <w:rPr>
          <w:rFonts w:ascii="Verdana" w:eastAsiaTheme="minorEastAsia" w:hAnsi="Verdana" w:cs="Times New Roman"/>
          <w:color w:val="auto"/>
          <w:sz w:val="22"/>
          <w:szCs w:val="22"/>
          <w:lang w:eastAsia="es-EC"/>
        </w:rPr>
        <w:t xml:space="preserve">. Recuperado de </w:t>
      </w:r>
      <w:hyperlink r:id="rId34" w:history="1">
        <w:r w:rsidRPr="00ED3D1B">
          <w:rPr>
            <w:rFonts w:ascii="Verdana" w:eastAsiaTheme="minorEastAsia" w:hAnsi="Verdana"/>
            <w:sz w:val="22"/>
            <w:szCs w:val="22"/>
            <w:lang w:eastAsia="es-EC"/>
          </w:rPr>
          <w:t>http://www3.weforum.org/docs/WEF_GlobalCompetitivenessReport_2014-15.pdf</w:t>
        </w:r>
      </w:hyperlink>
    </w:p>
    <w:p w:rsidR="00061EA7" w:rsidRPr="00ED3D1B" w:rsidRDefault="00061EA7" w:rsidP="00EC63DA">
      <w:pPr>
        <w:pStyle w:val="Textocomentario"/>
        <w:spacing w:after="60"/>
        <w:ind w:left="708" w:hangingChars="322" w:hanging="708"/>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Furtado, Celso (1971) </w:t>
      </w:r>
      <w:r w:rsidRPr="00F4036B">
        <w:rPr>
          <w:rFonts w:ascii="Verdana" w:eastAsiaTheme="minorEastAsia" w:hAnsi="Verdana" w:cs="Times New Roman"/>
          <w:b/>
          <w:i/>
          <w:color w:val="auto"/>
          <w:sz w:val="22"/>
          <w:szCs w:val="22"/>
          <w:lang w:eastAsia="es-EC"/>
        </w:rPr>
        <w:t>Dependencia Externa y Teoría Económica</w:t>
      </w:r>
      <w:r w:rsidRPr="00ED3D1B">
        <w:rPr>
          <w:rFonts w:ascii="Verdana" w:eastAsiaTheme="minorEastAsia" w:hAnsi="Verdana" w:cs="Times New Roman"/>
          <w:color w:val="auto"/>
          <w:sz w:val="22"/>
          <w:szCs w:val="22"/>
          <w:lang w:eastAsia="es-EC"/>
        </w:rPr>
        <w:t xml:space="preserve">. Recuperado de </w:t>
      </w:r>
      <w:hyperlink r:id="rId35" w:history="1">
        <w:r w:rsidRPr="00ED3D1B">
          <w:rPr>
            <w:rFonts w:ascii="Verdana" w:eastAsiaTheme="minorEastAsia" w:hAnsi="Verdana"/>
            <w:sz w:val="22"/>
            <w:szCs w:val="22"/>
            <w:lang w:eastAsia="es-EC"/>
          </w:rPr>
          <w:t>http://aleph.org.mx/jspui/bitstream/56789/6983/1/DOCT2064854_ARTICULO_7.PDF</w:t>
        </w:r>
      </w:hyperlink>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Default"/>
        <w:ind w:left="709" w:hanging="709"/>
        <w:jc w:val="both"/>
        <w:rPr>
          <w:rFonts w:ascii="Verdana" w:hAnsi="Verdana" w:cs="Times New Roman"/>
          <w:sz w:val="22"/>
          <w:szCs w:val="22"/>
        </w:rPr>
      </w:pPr>
      <w:r w:rsidRPr="00ED3D1B">
        <w:rPr>
          <w:rFonts w:ascii="Verdana" w:eastAsiaTheme="minorEastAsia" w:hAnsi="Verdana" w:cs="Times New Roman"/>
          <w:color w:val="auto"/>
          <w:sz w:val="22"/>
          <w:szCs w:val="22"/>
          <w:lang w:eastAsia="es-EC"/>
        </w:rPr>
        <w:t>GM OBB Ecuador (2015)</w:t>
      </w:r>
      <w:r w:rsidR="00F4036B">
        <w:rPr>
          <w:rFonts w:ascii="Verdana" w:eastAsiaTheme="minorEastAsia" w:hAnsi="Verdana" w:cs="Times New Roman"/>
          <w:color w:val="auto"/>
          <w:sz w:val="22"/>
          <w:szCs w:val="22"/>
          <w:lang w:eastAsia="es-EC"/>
        </w:rPr>
        <w:t xml:space="preserve"> </w:t>
      </w:r>
      <w:r w:rsidRPr="00F4036B">
        <w:rPr>
          <w:rFonts w:ascii="Verdana" w:eastAsiaTheme="minorEastAsia" w:hAnsi="Verdana" w:cs="Times New Roman"/>
          <w:b/>
          <w:i/>
          <w:color w:val="auto"/>
          <w:sz w:val="22"/>
          <w:szCs w:val="22"/>
          <w:lang w:eastAsia="es-EC"/>
        </w:rPr>
        <w:t>HISTORIA GM OBB.</w:t>
      </w:r>
      <w:r w:rsidR="00F33635">
        <w:rPr>
          <w:rFonts w:ascii="Verdana" w:eastAsiaTheme="minorEastAsia" w:hAnsi="Verdana" w:cs="Times New Roman"/>
          <w:color w:val="auto"/>
          <w:sz w:val="22"/>
          <w:szCs w:val="22"/>
          <w:lang w:eastAsia="es-EC"/>
        </w:rPr>
        <w:t xml:space="preserve"> Recuperado de </w:t>
      </w:r>
      <w:r w:rsidRPr="00ED3D1B">
        <w:rPr>
          <w:rFonts w:ascii="Verdana" w:eastAsiaTheme="minorEastAsia" w:hAnsi="Verdana" w:cs="Times New Roman"/>
          <w:color w:val="auto"/>
          <w:sz w:val="22"/>
          <w:szCs w:val="22"/>
          <w:lang w:eastAsia="es-EC"/>
        </w:rPr>
        <w:t>https://www.gmobb.ec/empresa</w:t>
      </w:r>
    </w:p>
    <w:p w:rsidR="00522B72" w:rsidRPr="00ED3D1B" w:rsidRDefault="00522B72" w:rsidP="00EC63DA">
      <w:pPr>
        <w:pStyle w:val="Sinespaciado"/>
        <w:spacing w:after="60"/>
        <w:ind w:left="708" w:hangingChars="322" w:hanging="708"/>
        <w:jc w:val="both"/>
        <w:rPr>
          <w:rFonts w:ascii="Verdana" w:hAnsi="Verdana" w:cs="Times New Roman"/>
        </w:rPr>
      </w:pPr>
    </w:p>
    <w:p w:rsidR="00522B72" w:rsidRPr="00ED3D1B" w:rsidRDefault="00E1276F"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Googlemaps (2017). Recuperado de https://www.google.es/maps</w:t>
      </w:r>
    </w:p>
    <w:p w:rsidR="00E1276F" w:rsidRPr="00ED3D1B" w:rsidRDefault="00E1276F" w:rsidP="00EC63DA">
      <w:pPr>
        <w:pStyle w:val="Default"/>
        <w:spacing w:after="60"/>
        <w:ind w:left="708" w:hangingChars="322" w:hanging="708"/>
        <w:jc w:val="both"/>
        <w:rPr>
          <w:rFonts w:ascii="Verdana" w:hAnsi="Verdana" w:cs="Times New Roman"/>
          <w:sz w:val="22"/>
          <w:szCs w:val="22"/>
          <w:lang w:val="es-US"/>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Hidrobo, Fernando (2004) </w:t>
      </w:r>
      <w:r w:rsidRPr="00F4036B">
        <w:rPr>
          <w:rFonts w:ascii="Verdana" w:eastAsiaTheme="minorEastAsia" w:hAnsi="Verdana" w:cs="Times New Roman"/>
          <w:b/>
          <w:i/>
          <w:color w:val="auto"/>
          <w:sz w:val="22"/>
          <w:szCs w:val="22"/>
          <w:lang w:eastAsia="es-EC"/>
        </w:rPr>
        <w:t>Análisis del Sector automotor ecuatoriano 1997-2002.</w:t>
      </w:r>
      <w:r w:rsidRPr="00ED3D1B">
        <w:rPr>
          <w:rFonts w:ascii="Verdana" w:eastAsiaTheme="minorEastAsia" w:hAnsi="Verdana" w:cs="Times New Roman"/>
          <w:color w:val="auto"/>
          <w:sz w:val="22"/>
          <w:szCs w:val="22"/>
          <w:lang w:eastAsia="es-EC"/>
        </w:rPr>
        <w:t xml:space="preserve"> (Disertación de grado), Facultad d</w:t>
      </w:r>
      <w:r w:rsidR="00CE1D9D" w:rsidRPr="00ED3D1B">
        <w:rPr>
          <w:rFonts w:ascii="Verdana" w:eastAsiaTheme="minorEastAsia" w:hAnsi="Verdana" w:cs="Times New Roman"/>
          <w:color w:val="auto"/>
          <w:sz w:val="22"/>
          <w:szCs w:val="22"/>
          <w:lang w:eastAsia="es-EC"/>
        </w:rPr>
        <w:t>e Economía de la PUCE, Ecuador.</w:t>
      </w:r>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INEC (2015) </w:t>
      </w:r>
      <w:r w:rsidRPr="00F4036B">
        <w:rPr>
          <w:rFonts w:ascii="Verdana" w:eastAsiaTheme="minorEastAsia" w:hAnsi="Verdana" w:cs="Times New Roman"/>
          <w:b/>
          <w:i/>
          <w:color w:val="auto"/>
          <w:sz w:val="22"/>
          <w:szCs w:val="22"/>
          <w:lang w:eastAsia="es-EC"/>
        </w:rPr>
        <w:t>El parque automotor de Ecuador creció 57% en cinco años.</w:t>
      </w:r>
      <w:r w:rsidR="00F33635">
        <w:rPr>
          <w:rFonts w:ascii="Verdana" w:eastAsiaTheme="minorEastAsia" w:hAnsi="Verdana" w:cs="Times New Roman"/>
          <w:color w:val="auto"/>
          <w:sz w:val="22"/>
          <w:szCs w:val="22"/>
          <w:lang w:eastAsia="es-EC"/>
        </w:rPr>
        <w:t xml:space="preserve"> Recuperado de</w:t>
      </w:r>
      <w:r w:rsidRPr="00ED3D1B">
        <w:rPr>
          <w:rFonts w:ascii="Verdana" w:eastAsiaTheme="minorEastAsia" w:hAnsi="Verdana" w:cs="Times New Roman"/>
          <w:color w:val="auto"/>
          <w:sz w:val="22"/>
          <w:szCs w:val="22"/>
          <w:lang w:eastAsia="es-EC"/>
        </w:rPr>
        <w:t xml:space="preserve"> http://www.ecuadorencifras.gob.ec/el-parque-automotor-de-ecuador-crecio-57-en-cinco-anos/</w:t>
      </w:r>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Infobae (2016) </w:t>
      </w:r>
      <w:r w:rsidRPr="00F4036B">
        <w:rPr>
          <w:rFonts w:ascii="Verdana" w:eastAsiaTheme="minorEastAsia" w:hAnsi="Verdana" w:cs="Times New Roman"/>
          <w:b/>
          <w:i/>
          <w:color w:val="auto"/>
          <w:sz w:val="22"/>
          <w:szCs w:val="22"/>
          <w:lang w:eastAsia="es-EC"/>
        </w:rPr>
        <w:t>La industria automotriz registró en 2015 el peor nivel en seis años.</w:t>
      </w:r>
      <w:r w:rsidRPr="00ED3D1B">
        <w:rPr>
          <w:rFonts w:ascii="Verdana" w:eastAsiaTheme="minorEastAsia" w:hAnsi="Verdana" w:cs="Times New Roman"/>
          <w:color w:val="auto"/>
          <w:sz w:val="22"/>
          <w:szCs w:val="22"/>
          <w:lang w:eastAsia="es-EC"/>
        </w:rPr>
        <w:t xml:space="preserve"> Recuperado de http://www.infobae.com/2016/01/06/1781358-la-industria-automotriz-registro-2015-el-peor-nivel-seis-anos/</w:t>
      </w:r>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Junta de Política y Regulación Monetaria y Financiera (2015) </w:t>
      </w:r>
      <w:r w:rsidRPr="00F4036B">
        <w:rPr>
          <w:rFonts w:ascii="Verdana" w:eastAsiaTheme="minorEastAsia" w:hAnsi="Verdana" w:cs="Times New Roman"/>
          <w:b/>
          <w:i/>
          <w:color w:val="auto"/>
          <w:sz w:val="22"/>
          <w:szCs w:val="22"/>
          <w:lang w:eastAsia="es-EC"/>
        </w:rPr>
        <w:t>Normas que regulan la segmentación de la cartera de crédito de las entidades del sistema financiero nacional.</w:t>
      </w:r>
      <w:r w:rsidRPr="00ED3D1B">
        <w:rPr>
          <w:rFonts w:ascii="Verdana" w:eastAsiaTheme="minorEastAsia" w:hAnsi="Verdana" w:cs="Times New Roman"/>
          <w:color w:val="auto"/>
          <w:sz w:val="22"/>
          <w:szCs w:val="22"/>
          <w:lang w:eastAsia="es-EC"/>
        </w:rPr>
        <w:t xml:space="preserve"> Recuperado de: https://contenido.bce.fin.ec/documentos/Estadisticas/SectorMonFin/TasasInteres/RegTasas043.pdf</w:t>
      </w:r>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Kleparnik, Mirek (1996) </w:t>
      </w:r>
      <w:r w:rsidRPr="00F4036B">
        <w:rPr>
          <w:rFonts w:ascii="Verdana" w:eastAsiaTheme="minorEastAsia" w:hAnsi="Verdana" w:cs="Times New Roman"/>
          <w:b/>
          <w:i/>
          <w:color w:val="auto"/>
          <w:sz w:val="22"/>
          <w:szCs w:val="22"/>
          <w:lang w:eastAsia="es-EC"/>
        </w:rPr>
        <w:t>La competitividad del sector automotriz frente a la apertura comercial. Período 1990-1994.</w:t>
      </w:r>
      <w:r w:rsidRPr="00ED3D1B">
        <w:rPr>
          <w:rFonts w:ascii="Verdana" w:eastAsiaTheme="minorEastAsia" w:hAnsi="Verdana" w:cs="Times New Roman"/>
          <w:color w:val="auto"/>
          <w:sz w:val="22"/>
          <w:szCs w:val="22"/>
          <w:lang w:eastAsia="es-EC"/>
        </w:rPr>
        <w:t xml:space="preserve"> Pontificia Universidad Católica del Ecuador, Disertación de Economía, Quito.</w:t>
      </w:r>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Krugman, Paul y Obstfeld, Maurice (2012) </w:t>
      </w:r>
      <w:r w:rsidRPr="00F4036B">
        <w:rPr>
          <w:rFonts w:ascii="Verdana" w:eastAsiaTheme="minorEastAsia" w:hAnsi="Verdana" w:cs="Times New Roman"/>
          <w:b/>
          <w:i/>
          <w:color w:val="auto"/>
          <w:sz w:val="22"/>
          <w:szCs w:val="22"/>
          <w:lang w:eastAsia="es-EC"/>
        </w:rPr>
        <w:t>Economía Internacional Teoría y Política</w:t>
      </w:r>
      <w:r w:rsidRPr="00ED3D1B">
        <w:rPr>
          <w:rFonts w:ascii="Verdana" w:eastAsiaTheme="minorEastAsia" w:hAnsi="Verdana" w:cs="Times New Roman"/>
          <w:color w:val="auto"/>
          <w:sz w:val="22"/>
          <w:szCs w:val="22"/>
          <w:lang w:eastAsia="es-EC"/>
        </w:rPr>
        <w:t>, Pearson Addison Wesley, Madrid. Novena Edición, Madrid.</w:t>
      </w:r>
    </w:p>
    <w:p w:rsidR="00777D80" w:rsidRPr="00ED3D1B" w:rsidRDefault="00777D80"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Líderes (2016) </w:t>
      </w:r>
      <w:r w:rsidRPr="00F4036B">
        <w:rPr>
          <w:rFonts w:ascii="Verdana" w:eastAsiaTheme="minorEastAsia" w:hAnsi="Verdana" w:cs="Times New Roman"/>
          <w:b/>
          <w:i/>
          <w:color w:val="auto"/>
          <w:sz w:val="22"/>
          <w:szCs w:val="22"/>
          <w:lang w:eastAsia="es-EC"/>
        </w:rPr>
        <w:t>La velocidad del sector automotor se frena nuevamente</w:t>
      </w:r>
      <w:r w:rsidR="00F33635">
        <w:rPr>
          <w:rFonts w:ascii="Verdana" w:eastAsiaTheme="minorEastAsia" w:hAnsi="Verdana" w:cs="Times New Roman"/>
          <w:color w:val="auto"/>
          <w:sz w:val="22"/>
          <w:szCs w:val="22"/>
          <w:lang w:eastAsia="es-EC"/>
        </w:rPr>
        <w:t>. Recuperado de</w:t>
      </w:r>
      <w:r w:rsidRPr="00ED3D1B">
        <w:rPr>
          <w:rFonts w:ascii="Verdana" w:eastAsiaTheme="minorEastAsia" w:hAnsi="Verdana" w:cs="Times New Roman"/>
          <w:color w:val="auto"/>
          <w:sz w:val="22"/>
          <w:szCs w:val="22"/>
          <w:lang w:eastAsia="es-EC"/>
        </w:rPr>
        <w:t xml:space="preserve"> http://www.revistalideres.ec/lideres/velocidad-sector-automotor-frena-nuevamente.html</w:t>
      </w: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lastRenderedPageBreak/>
        <w:t xml:space="preserve">Maresa (2015) </w:t>
      </w:r>
      <w:r w:rsidRPr="00F4036B">
        <w:rPr>
          <w:rFonts w:ascii="Verdana" w:eastAsiaTheme="minorEastAsia" w:hAnsi="Verdana" w:cs="Times New Roman"/>
          <w:b/>
          <w:i/>
          <w:color w:val="auto"/>
          <w:sz w:val="22"/>
          <w:szCs w:val="22"/>
          <w:lang w:eastAsia="es-EC"/>
        </w:rPr>
        <w:t>Historia de la corporación Maresa</w:t>
      </w:r>
      <w:r w:rsidR="00F33635">
        <w:rPr>
          <w:rFonts w:ascii="Verdana" w:eastAsiaTheme="minorEastAsia" w:hAnsi="Verdana" w:cs="Times New Roman"/>
          <w:color w:val="auto"/>
          <w:sz w:val="22"/>
          <w:szCs w:val="22"/>
          <w:lang w:eastAsia="es-EC"/>
        </w:rPr>
        <w:t>. Recuperado de</w:t>
      </w:r>
      <w:r w:rsidRPr="00ED3D1B">
        <w:rPr>
          <w:rFonts w:ascii="Verdana" w:eastAsiaTheme="minorEastAsia" w:hAnsi="Verdana" w:cs="Times New Roman"/>
          <w:color w:val="auto"/>
          <w:sz w:val="22"/>
          <w:szCs w:val="22"/>
          <w:lang w:eastAsia="es-EC"/>
        </w:rPr>
        <w:t xml:space="preserve"> http://www.corpmaresa.com.ec/index.php?option=com_content&amp;view=article&amp;id=2&amp;Itemid=157&amp;lang=es</w:t>
      </w:r>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Maresa (2016a) </w:t>
      </w:r>
      <w:r w:rsidR="00B50C61">
        <w:rPr>
          <w:rFonts w:ascii="Verdana" w:eastAsiaTheme="minorEastAsia" w:hAnsi="Verdana" w:cs="Times New Roman"/>
          <w:b/>
          <w:i/>
          <w:color w:val="auto"/>
          <w:sz w:val="22"/>
          <w:szCs w:val="22"/>
          <w:lang w:eastAsia="es-EC"/>
        </w:rPr>
        <w:t>Comu</w:t>
      </w:r>
      <w:r w:rsidRPr="00F4036B">
        <w:rPr>
          <w:rFonts w:ascii="Verdana" w:eastAsiaTheme="minorEastAsia" w:hAnsi="Verdana" w:cs="Times New Roman"/>
          <w:b/>
          <w:i/>
          <w:color w:val="auto"/>
          <w:sz w:val="22"/>
          <w:szCs w:val="22"/>
          <w:lang w:eastAsia="es-EC"/>
        </w:rPr>
        <w:t>nicado institucional: Corporación Maresa trabaja en la renovación de su línea de productos ensamblados</w:t>
      </w:r>
      <w:r w:rsidR="00F33635">
        <w:rPr>
          <w:rFonts w:ascii="Verdana" w:eastAsiaTheme="minorEastAsia" w:hAnsi="Verdana" w:cs="Times New Roman"/>
          <w:color w:val="auto"/>
          <w:sz w:val="22"/>
          <w:szCs w:val="22"/>
          <w:lang w:eastAsia="es-EC"/>
        </w:rPr>
        <w:t xml:space="preserve">. Recuperado de </w:t>
      </w:r>
      <w:r w:rsidRPr="00ED3D1B">
        <w:rPr>
          <w:rFonts w:ascii="Verdana" w:eastAsiaTheme="minorEastAsia" w:hAnsi="Verdana" w:cs="Times New Roman"/>
          <w:color w:val="auto"/>
          <w:sz w:val="22"/>
          <w:szCs w:val="22"/>
          <w:lang w:eastAsia="es-EC"/>
        </w:rPr>
        <w:t>http://www.corpmaresa.com.ec/index.php?option=com_content&amp;view=article&amp;id=169:maresa-renovacion-linea-productos-ensamblados&amp;catid=8:noticias&amp;Itemid=174&amp;lang=es</w:t>
      </w:r>
    </w:p>
    <w:p w:rsidR="00522B72" w:rsidRPr="00ED3D1B" w:rsidRDefault="00522B72" w:rsidP="00EC63DA">
      <w:pPr>
        <w:pStyle w:val="Sinespaciado"/>
        <w:spacing w:after="60"/>
        <w:ind w:left="708" w:hangingChars="322" w:hanging="708"/>
        <w:jc w:val="both"/>
        <w:rPr>
          <w:rFonts w:ascii="Verdana" w:hAnsi="Verdana" w:cs="Times New Roman"/>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Maresa (2016b) </w:t>
      </w:r>
      <w:r w:rsidR="00B50C61">
        <w:rPr>
          <w:rFonts w:ascii="Verdana" w:eastAsiaTheme="minorEastAsia" w:hAnsi="Verdana" w:cs="Times New Roman"/>
          <w:b/>
          <w:i/>
          <w:color w:val="auto"/>
          <w:sz w:val="22"/>
          <w:szCs w:val="22"/>
          <w:lang w:eastAsia="es-EC"/>
        </w:rPr>
        <w:t>Comu</w:t>
      </w:r>
      <w:r w:rsidRPr="00F4036B">
        <w:rPr>
          <w:rFonts w:ascii="Verdana" w:eastAsiaTheme="minorEastAsia" w:hAnsi="Verdana" w:cs="Times New Roman"/>
          <w:b/>
          <w:i/>
          <w:color w:val="auto"/>
          <w:sz w:val="22"/>
          <w:szCs w:val="22"/>
          <w:lang w:eastAsia="es-EC"/>
        </w:rPr>
        <w:t>nicado institucional: Corporación Maresa invirtió un millón de dólares en su nuevo taller de servicios multimarca.</w:t>
      </w:r>
      <w:r w:rsidR="00F33635">
        <w:rPr>
          <w:rFonts w:ascii="Verdana" w:eastAsiaTheme="minorEastAsia" w:hAnsi="Verdana" w:cs="Times New Roman"/>
          <w:color w:val="auto"/>
          <w:sz w:val="22"/>
          <w:szCs w:val="22"/>
          <w:lang w:eastAsia="es-EC"/>
        </w:rPr>
        <w:t xml:space="preserve"> Recuperado de</w:t>
      </w:r>
      <w:r w:rsidRPr="00ED3D1B">
        <w:rPr>
          <w:rFonts w:ascii="Verdana" w:eastAsiaTheme="minorEastAsia" w:hAnsi="Verdana" w:cs="Times New Roman"/>
          <w:color w:val="auto"/>
          <w:sz w:val="22"/>
          <w:szCs w:val="22"/>
          <w:lang w:eastAsia="es-EC"/>
        </w:rPr>
        <w:t xml:space="preserve"> http://www.corpmaresa.com.ec/index.php?option=com_content&amp;view=article&amp;id=170:nuevo-taller-multimarca&amp;catid=8:noticias&amp;Itemid=174&amp;lang=es</w:t>
      </w:r>
    </w:p>
    <w:p w:rsidR="00522B72" w:rsidRPr="00ED3D1B" w:rsidRDefault="00522B72" w:rsidP="00EC63DA">
      <w:pPr>
        <w:pStyle w:val="Sinespaciado"/>
        <w:spacing w:after="60"/>
        <w:ind w:left="708" w:hangingChars="322" w:hanging="708"/>
        <w:jc w:val="both"/>
        <w:rPr>
          <w:rFonts w:ascii="Verdana" w:hAnsi="Verdana" w:cs="Times New Roman"/>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Maresa (2016c</w:t>
      </w:r>
      <w:r w:rsidR="00B50C61">
        <w:rPr>
          <w:rFonts w:ascii="Verdana" w:eastAsiaTheme="minorEastAsia" w:hAnsi="Verdana" w:cs="Times New Roman"/>
          <w:b/>
          <w:i/>
          <w:color w:val="auto"/>
          <w:sz w:val="22"/>
          <w:szCs w:val="22"/>
          <w:lang w:eastAsia="es-EC"/>
        </w:rPr>
        <w:t>) Comu</w:t>
      </w:r>
      <w:r w:rsidRPr="00F4036B">
        <w:rPr>
          <w:rFonts w:ascii="Verdana" w:eastAsiaTheme="minorEastAsia" w:hAnsi="Verdana" w:cs="Times New Roman"/>
          <w:b/>
          <w:i/>
          <w:color w:val="auto"/>
          <w:sz w:val="22"/>
          <w:szCs w:val="22"/>
          <w:lang w:eastAsia="es-EC"/>
        </w:rPr>
        <w:t>nicado institucional:Maresaseminuevos, la nueva línea de negocio de  Corporación Maresa Holding</w:t>
      </w:r>
      <w:r w:rsidR="00F33635">
        <w:rPr>
          <w:rFonts w:ascii="Verdana" w:eastAsiaTheme="minorEastAsia" w:hAnsi="Verdana" w:cs="Times New Roman"/>
          <w:color w:val="auto"/>
          <w:sz w:val="22"/>
          <w:szCs w:val="22"/>
          <w:lang w:eastAsia="es-EC"/>
        </w:rPr>
        <w:t>. Recuperado de</w:t>
      </w:r>
      <w:r w:rsidRPr="00ED3D1B">
        <w:rPr>
          <w:rFonts w:ascii="Verdana" w:eastAsiaTheme="minorEastAsia" w:hAnsi="Verdana" w:cs="Times New Roman"/>
          <w:color w:val="auto"/>
          <w:sz w:val="22"/>
          <w:szCs w:val="22"/>
          <w:lang w:eastAsia="es-EC"/>
        </w:rPr>
        <w:t xml:space="preserve"> http://www.corpmaresa.com.ec/index.php?option=com_content&amp;view=article&amp;id=173:seminuevos-2&amp;catid=8:noticias&amp;Itemid=174&amp;lang=es</w:t>
      </w:r>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Metalmecánica </w:t>
      </w:r>
      <w:r w:rsidR="00337B4C" w:rsidRPr="00ED3D1B">
        <w:rPr>
          <w:rFonts w:ascii="Verdana" w:eastAsiaTheme="minorEastAsia" w:hAnsi="Verdana" w:cs="Times New Roman"/>
          <w:color w:val="auto"/>
          <w:sz w:val="22"/>
          <w:szCs w:val="22"/>
          <w:lang w:eastAsia="es-EC"/>
        </w:rPr>
        <w:t>internacional (</w:t>
      </w:r>
      <w:r w:rsidRPr="00ED3D1B">
        <w:rPr>
          <w:rFonts w:ascii="Verdana" w:eastAsiaTheme="minorEastAsia" w:hAnsi="Verdana" w:cs="Times New Roman"/>
          <w:color w:val="auto"/>
          <w:sz w:val="22"/>
          <w:szCs w:val="22"/>
          <w:lang w:eastAsia="es-EC"/>
        </w:rPr>
        <w:t>2016) http://www.metalmecanica.com</w:t>
      </w:r>
    </w:p>
    <w:p w:rsidR="00522B72" w:rsidRPr="00ED3D1B" w:rsidRDefault="00522B72" w:rsidP="00EC63DA">
      <w:pPr>
        <w:pStyle w:val="Sinespaciado"/>
        <w:spacing w:after="60"/>
        <w:ind w:left="708" w:hangingChars="322" w:hanging="708"/>
        <w:jc w:val="both"/>
        <w:rPr>
          <w:rFonts w:ascii="Verdana" w:hAnsi="Verdana" w:cs="Times New Roman"/>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Meyer, Jorg (2011) </w:t>
      </w:r>
      <w:r w:rsidRPr="00F4036B">
        <w:rPr>
          <w:rFonts w:ascii="Verdana" w:eastAsiaTheme="minorEastAsia" w:hAnsi="Verdana" w:cs="Times New Roman"/>
          <w:b/>
          <w:i/>
          <w:color w:val="auto"/>
          <w:sz w:val="22"/>
          <w:szCs w:val="22"/>
          <w:lang w:eastAsia="es-EC"/>
        </w:rPr>
        <w:t>Politica Industrial</w:t>
      </w:r>
      <w:r w:rsidRPr="00ED3D1B">
        <w:rPr>
          <w:rFonts w:ascii="Verdana" w:eastAsiaTheme="minorEastAsia" w:hAnsi="Verdana" w:cs="Times New Roman"/>
          <w:color w:val="auto"/>
          <w:sz w:val="22"/>
          <w:szCs w:val="22"/>
          <w:lang w:eastAsia="es-EC"/>
        </w:rPr>
        <w:t>. Recuperado de http://es.slideshare.net/gianurep/politica-industrial-10142016</w:t>
      </w:r>
    </w:p>
    <w:p w:rsidR="00061EA7" w:rsidRPr="00ED3D1B" w:rsidRDefault="00061EA7" w:rsidP="00EC63DA">
      <w:pPr>
        <w:pStyle w:val="Textocomentario"/>
        <w:spacing w:after="60"/>
        <w:ind w:left="708" w:hangingChars="322" w:hanging="708"/>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09427A">
        <w:rPr>
          <w:rFonts w:ascii="Verdana" w:eastAsiaTheme="minorEastAsia" w:hAnsi="Verdana" w:cs="Times New Roman"/>
          <w:color w:val="auto"/>
          <w:sz w:val="22"/>
          <w:szCs w:val="22"/>
          <w:lang w:val="en-US" w:eastAsia="es-EC"/>
        </w:rPr>
        <w:t xml:space="preserve">Miller, Russell R. (2000). </w:t>
      </w:r>
      <w:r w:rsidRPr="0009427A">
        <w:rPr>
          <w:rFonts w:ascii="Verdana" w:eastAsiaTheme="minorEastAsia" w:hAnsi="Verdana" w:cs="Times New Roman"/>
          <w:b/>
          <w:i/>
          <w:color w:val="auto"/>
          <w:sz w:val="22"/>
          <w:szCs w:val="22"/>
          <w:lang w:val="en-US" w:eastAsia="es-EC"/>
        </w:rPr>
        <w:t>Doing business in newly privatized markets: global opportunities and challenges</w:t>
      </w:r>
      <w:r w:rsidRPr="0009427A">
        <w:rPr>
          <w:rFonts w:ascii="Verdana" w:eastAsiaTheme="minorEastAsia" w:hAnsi="Verdana" w:cs="Times New Roman"/>
          <w:color w:val="auto"/>
          <w:sz w:val="22"/>
          <w:szCs w:val="22"/>
          <w:lang w:val="en-US" w:eastAsia="es-EC"/>
        </w:rPr>
        <w:t xml:space="preserve">. </w:t>
      </w:r>
      <w:r w:rsidRPr="00ED3D1B">
        <w:rPr>
          <w:rFonts w:ascii="Verdana" w:eastAsiaTheme="minorEastAsia" w:hAnsi="Verdana" w:cs="Times New Roman"/>
          <w:color w:val="auto"/>
          <w:sz w:val="22"/>
          <w:szCs w:val="22"/>
          <w:lang w:eastAsia="es-EC"/>
        </w:rPr>
        <w:t xml:space="preserve">Greenwood Publishing Group. </w:t>
      </w:r>
      <w:r w:rsidR="00337B4C" w:rsidRPr="00ED3D1B">
        <w:rPr>
          <w:rFonts w:ascii="Verdana" w:eastAsiaTheme="minorEastAsia" w:hAnsi="Verdana" w:cs="Times New Roman"/>
          <w:color w:val="auto"/>
          <w:sz w:val="22"/>
          <w:szCs w:val="22"/>
          <w:lang w:eastAsia="es-EC"/>
        </w:rPr>
        <w:t>California,</w:t>
      </w:r>
      <w:r w:rsidRPr="00ED3D1B">
        <w:rPr>
          <w:rFonts w:ascii="Verdana" w:eastAsiaTheme="minorEastAsia" w:hAnsi="Verdana" w:cs="Times New Roman"/>
          <w:color w:val="auto"/>
          <w:sz w:val="22"/>
          <w:szCs w:val="22"/>
          <w:lang w:eastAsia="es-EC"/>
        </w:rPr>
        <w:t xml:space="preserve"> Estados Unidos ISBN 978-1-56720-260-1 </w:t>
      </w:r>
    </w:p>
    <w:p w:rsidR="00522B72" w:rsidRPr="00ED3D1B" w:rsidRDefault="00522B72" w:rsidP="00EC63DA">
      <w:pPr>
        <w:pStyle w:val="Default"/>
        <w:spacing w:after="60"/>
        <w:ind w:left="708" w:hangingChars="322" w:hanging="708"/>
        <w:jc w:val="both"/>
        <w:rPr>
          <w:rFonts w:ascii="Verdana" w:hAnsi="Verdana" w:cs="Times New Roman"/>
          <w:sz w:val="22"/>
          <w:szCs w:val="22"/>
          <w:lang w:val="es-US"/>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Ministerio de Comercio Exterior (2016) </w:t>
      </w:r>
      <w:r w:rsidRPr="00F4036B">
        <w:rPr>
          <w:rFonts w:ascii="Verdana" w:eastAsiaTheme="minorEastAsia" w:hAnsi="Verdana" w:cs="Times New Roman"/>
          <w:b/>
          <w:i/>
          <w:color w:val="auto"/>
          <w:sz w:val="22"/>
          <w:szCs w:val="22"/>
          <w:lang w:eastAsia="es-EC"/>
        </w:rPr>
        <w:t>Resoluciones del COMEX 2011-2016</w:t>
      </w:r>
      <w:r w:rsidR="00F33635">
        <w:rPr>
          <w:rFonts w:ascii="Verdana" w:eastAsiaTheme="minorEastAsia" w:hAnsi="Verdana" w:cs="Times New Roman"/>
          <w:color w:val="auto"/>
          <w:sz w:val="22"/>
          <w:szCs w:val="22"/>
          <w:lang w:eastAsia="es-EC"/>
        </w:rPr>
        <w:t>. Recuperado de</w:t>
      </w:r>
      <w:r w:rsidRPr="00ED3D1B">
        <w:rPr>
          <w:rFonts w:ascii="Verdana" w:eastAsiaTheme="minorEastAsia" w:hAnsi="Verdana" w:cs="Times New Roman"/>
          <w:color w:val="auto"/>
          <w:sz w:val="22"/>
          <w:szCs w:val="22"/>
          <w:lang w:eastAsia="es-EC"/>
        </w:rPr>
        <w:t xml:space="preserve"> http://www.comercioexterior.gob.ec/comex/</w:t>
      </w: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Ministerio de Industria y Productividad (2014) </w:t>
      </w:r>
      <w:r w:rsidRPr="00F4036B">
        <w:rPr>
          <w:rFonts w:ascii="Verdana" w:eastAsiaTheme="minorEastAsia" w:hAnsi="Verdana" w:cs="Times New Roman"/>
          <w:b/>
          <w:i/>
          <w:color w:val="auto"/>
          <w:sz w:val="22"/>
          <w:szCs w:val="22"/>
          <w:lang w:eastAsia="es-EC"/>
        </w:rPr>
        <w:t>Planificación Estratégica Institucional 2014-2017.</w:t>
      </w:r>
      <w:r w:rsidRPr="00ED3D1B">
        <w:rPr>
          <w:rFonts w:ascii="Verdana" w:eastAsiaTheme="minorEastAsia" w:hAnsi="Verdana" w:cs="Times New Roman"/>
          <w:color w:val="auto"/>
          <w:sz w:val="22"/>
          <w:szCs w:val="22"/>
          <w:lang w:eastAsia="es-EC"/>
        </w:rPr>
        <w:t xml:space="preserve"> Recuperado de http://www.industrias.gob.ec/wp-content/uploads/2015/06/Literal-k-Plan-Estrat%C3%A9gico-Institucional.pdf</w:t>
      </w:r>
    </w:p>
    <w:p w:rsidR="001A12D7" w:rsidRPr="00ED3D1B" w:rsidRDefault="001A12D7" w:rsidP="00EC63DA">
      <w:pPr>
        <w:pStyle w:val="Default"/>
        <w:ind w:left="709" w:hanging="709"/>
        <w:jc w:val="both"/>
        <w:rPr>
          <w:rFonts w:ascii="Verdana" w:eastAsiaTheme="minorEastAsia" w:hAnsi="Verdana" w:cs="Times New Roman"/>
          <w:color w:val="auto"/>
          <w:sz w:val="22"/>
          <w:szCs w:val="22"/>
          <w:lang w:eastAsia="es-EC"/>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Motorbit (2016) </w:t>
      </w:r>
      <w:r w:rsidRPr="00F4036B">
        <w:rPr>
          <w:rFonts w:ascii="Verdana" w:eastAsiaTheme="minorEastAsia" w:hAnsi="Verdana" w:cs="Times New Roman"/>
          <w:b/>
          <w:i/>
          <w:color w:val="auto"/>
          <w:sz w:val="22"/>
          <w:szCs w:val="22"/>
          <w:lang w:eastAsia="es-EC"/>
        </w:rPr>
        <w:t>MAYORES FABRICANTES DE AUTOS DE AMÉRICA LATINA.</w:t>
      </w:r>
      <w:r w:rsidRPr="00ED3D1B">
        <w:rPr>
          <w:rFonts w:ascii="Verdana" w:eastAsiaTheme="minorEastAsia" w:hAnsi="Verdana" w:cs="Times New Roman"/>
          <w:color w:val="auto"/>
          <w:sz w:val="22"/>
          <w:szCs w:val="22"/>
          <w:lang w:eastAsia="es-EC"/>
        </w:rPr>
        <w:t xml:space="preserve"> Recuperado de http://motorbit.com/mayores-fabricantes-de-autos-de-america-latina/?pais=</w:t>
      </w:r>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Orozco, Romelia (2009) </w:t>
      </w:r>
      <w:r w:rsidRPr="00F4036B">
        <w:rPr>
          <w:rFonts w:ascii="Verdana" w:eastAsiaTheme="minorEastAsia" w:hAnsi="Verdana" w:cs="Times New Roman"/>
          <w:b/>
          <w:i/>
          <w:color w:val="auto"/>
          <w:sz w:val="22"/>
          <w:szCs w:val="22"/>
          <w:lang w:eastAsia="es-EC"/>
        </w:rPr>
        <w:t>Plan de negocios para el funcionamiento deLubriCleancar, centro de servicio de lubricación y lavado de vehículos, sector La Pampa, Quito-2009 Universidad Técnica Particular de Loja - Escuela de administraciónde empresas, Loja.</w:t>
      </w:r>
      <w:r w:rsidRPr="00ED3D1B">
        <w:rPr>
          <w:rFonts w:ascii="Verdana" w:eastAsiaTheme="minorEastAsia" w:hAnsi="Verdana" w:cs="Times New Roman"/>
          <w:color w:val="auto"/>
          <w:sz w:val="22"/>
          <w:szCs w:val="22"/>
          <w:lang w:eastAsia="es-EC"/>
        </w:rPr>
        <w:t xml:space="preserve"> Recuperado de: http://docplayer.es/6613952-Universidad-tecnica-particular-de-loja-la-universidad-catolica-de-loja.html</w:t>
      </w:r>
    </w:p>
    <w:p w:rsidR="00061EA7" w:rsidRPr="00ED3D1B" w:rsidRDefault="00061EA7" w:rsidP="00EC63DA">
      <w:pPr>
        <w:pStyle w:val="Textocomentario"/>
        <w:spacing w:after="60"/>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lastRenderedPageBreak/>
        <w:t xml:space="preserve">Portafolio (2015) </w:t>
      </w:r>
      <w:r w:rsidRPr="00F4036B">
        <w:rPr>
          <w:rFonts w:ascii="Verdana" w:eastAsiaTheme="minorEastAsia" w:hAnsi="Verdana" w:cs="Times New Roman"/>
          <w:b/>
          <w:i/>
          <w:color w:val="auto"/>
          <w:sz w:val="22"/>
          <w:szCs w:val="22"/>
          <w:lang w:eastAsia="es-EC"/>
        </w:rPr>
        <w:t>Importaciones de Autopartes Aumento 18%.</w:t>
      </w:r>
      <w:r w:rsidR="00F33635">
        <w:rPr>
          <w:rFonts w:ascii="Verdana" w:eastAsiaTheme="minorEastAsia" w:hAnsi="Verdana" w:cs="Times New Roman"/>
          <w:color w:val="auto"/>
          <w:sz w:val="22"/>
          <w:szCs w:val="22"/>
          <w:lang w:eastAsia="es-EC"/>
        </w:rPr>
        <w:t xml:space="preserve"> Recuperado de</w:t>
      </w:r>
      <w:r w:rsidRPr="00ED3D1B">
        <w:rPr>
          <w:rFonts w:ascii="Verdana" w:eastAsiaTheme="minorEastAsia" w:hAnsi="Verdana" w:cs="Times New Roman"/>
          <w:color w:val="auto"/>
          <w:sz w:val="22"/>
          <w:szCs w:val="22"/>
          <w:lang w:eastAsia="es-EC"/>
        </w:rPr>
        <w:t xml:space="preserve"> http://www.portafolio.co/negocios/empresas/importaciones-autopartes-aumento-18-66814</w:t>
      </w:r>
    </w:p>
    <w:p w:rsidR="00522B72" w:rsidRPr="00ED3D1B" w:rsidRDefault="00522B72" w:rsidP="00EC63DA">
      <w:pPr>
        <w:pStyle w:val="Default"/>
        <w:spacing w:after="60"/>
        <w:ind w:left="708" w:hangingChars="322" w:hanging="708"/>
        <w:jc w:val="both"/>
        <w:rPr>
          <w:rFonts w:ascii="Verdana" w:hAnsi="Verdana" w:cs="Times New Roman"/>
          <w:sz w:val="22"/>
          <w:szCs w:val="22"/>
        </w:rPr>
      </w:pPr>
    </w:p>
    <w:p w:rsidR="00522B72" w:rsidRPr="0009427A" w:rsidRDefault="00522B72" w:rsidP="00EC63DA">
      <w:pPr>
        <w:pStyle w:val="Default"/>
        <w:ind w:left="709" w:hanging="709"/>
        <w:jc w:val="both"/>
        <w:rPr>
          <w:rFonts w:ascii="Verdana" w:eastAsiaTheme="minorEastAsia" w:hAnsi="Verdana" w:cs="Times New Roman"/>
          <w:color w:val="auto"/>
          <w:sz w:val="22"/>
          <w:szCs w:val="22"/>
          <w:lang w:val="en-US" w:eastAsia="es-EC"/>
        </w:rPr>
      </w:pPr>
      <w:r w:rsidRPr="00ED3D1B">
        <w:rPr>
          <w:rFonts w:ascii="Verdana" w:eastAsiaTheme="minorEastAsia" w:hAnsi="Verdana" w:cs="Times New Roman"/>
          <w:color w:val="auto"/>
          <w:sz w:val="22"/>
          <w:szCs w:val="22"/>
          <w:lang w:eastAsia="es-EC"/>
        </w:rPr>
        <w:t xml:space="preserve">Porter, M. E. (1985) </w:t>
      </w:r>
      <w:r w:rsidRPr="00F4036B">
        <w:rPr>
          <w:rFonts w:ascii="Verdana" w:eastAsiaTheme="minorEastAsia" w:hAnsi="Verdana" w:cs="Times New Roman"/>
          <w:b/>
          <w:i/>
          <w:color w:val="auto"/>
          <w:sz w:val="22"/>
          <w:szCs w:val="22"/>
          <w:lang w:eastAsia="es-EC"/>
        </w:rPr>
        <w:t>Ventaja competitiva: Creacion y sostenibilidad de un rendimiento superior</w:t>
      </w:r>
      <w:r w:rsidRPr="00ED3D1B">
        <w:rPr>
          <w:rFonts w:ascii="Verdana" w:eastAsiaTheme="minorEastAsia" w:hAnsi="Verdana" w:cs="Times New Roman"/>
          <w:color w:val="auto"/>
          <w:sz w:val="22"/>
          <w:szCs w:val="22"/>
          <w:lang w:eastAsia="es-EC"/>
        </w:rPr>
        <w:t xml:space="preserve">. </w:t>
      </w:r>
      <w:r w:rsidRPr="0009427A">
        <w:rPr>
          <w:rFonts w:ascii="Verdana" w:eastAsiaTheme="minorEastAsia" w:hAnsi="Verdana" w:cs="Times New Roman"/>
          <w:color w:val="auto"/>
          <w:sz w:val="22"/>
          <w:szCs w:val="22"/>
          <w:lang w:val="en-US" w:eastAsia="es-EC"/>
        </w:rPr>
        <w:t>Free Press, New York.</w:t>
      </w:r>
    </w:p>
    <w:p w:rsidR="00522B72" w:rsidRPr="00ED3D1B" w:rsidRDefault="00522B72" w:rsidP="00EC63DA">
      <w:pPr>
        <w:pStyle w:val="Default"/>
        <w:spacing w:after="60"/>
        <w:ind w:left="708" w:hangingChars="322" w:hanging="708"/>
        <w:jc w:val="both"/>
        <w:rPr>
          <w:rFonts w:ascii="Verdana" w:hAnsi="Verdana" w:cs="Times New Roman"/>
          <w:sz w:val="22"/>
          <w:szCs w:val="22"/>
          <w:lang w:val="en-US"/>
        </w:rPr>
      </w:pPr>
    </w:p>
    <w:p w:rsidR="00522B72" w:rsidRPr="005B103B" w:rsidRDefault="00522B72" w:rsidP="00EC63DA">
      <w:pPr>
        <w:pStyle w:val="Default"/>
        <w:ind w:left="709" w:hanging="709"/>
        <w:jc w:val="both"/>
        <w:rPr>
          <w:rFonts w:ascii="Verdana" w:eastAsiaTheme="minorEastAsia" w:hAnsi="Verdana" w:cs="Times New Roman"/>
          <w:color w:val="auto"/>
          <w:sz w:val="22"/>
          <w:szCs w:val="22"/>
          <w:lang w:val="en-US" w:eastAsia="es-EC"/>
        </w:rPr>
      </w:pPr>
      <w:r w:rsidRPr="005B103B">
        <w:rPr>
          <w:rFonts w:ascii="Verdana" w:eastAsiaTheme="minorEastAsia" w:hAnsi="Verdana" w:cs="Times New Roman"/>
          <w:color w:val="auto"/>
          <w:sz w:val="22"/>
          <w:szCs w:val="22"/>
          <w:lang w:val="en-US" w:eastAsia="es-EC"/>
        </w:rPr>
        <w:t xml:space="preserve">Porter, Michael (1996). </w:t>
      </w:r>
      <w:r w:rsidRPr="005B103B">
        <w:rPr>
          <w:rFonts w:ascii="Verdana" w:eastAsiaTheme="minorEastAsia" w:hAnsi="Verdana" w:cs="Times New Roman"/>
          <w:b/>
          <w:i/>
          <w:color w:val="auto"/>
          <w:sz w:val="22"/>
          <w:szCs w:val="22"/>
          <w:lang w:val="en-US" w:eastAsia="es-EC"/>
        </w:rPr>
        <w:t>¿Qué es Estrategia</w:t>
      </w:r>
      <w:r w:rsidR="00337B4C" w:rsidRPr="005B103B">
        <w:rPr>
          <w:rFonts w:ascii="Verdana" w:eastAsiaTheme="minorEastAsia" w:hAnsi="Verdana" w:cs="Times New Roman"/>
          <w:b/>
          <w:i/>
          <w:color w:val="auto"/>
          <w:sz w:val="22"/>
          <w:szCs w:val="22"/>
          <w:lang w:val="en-US" w:eastAsia="es-EC"/>
        </w:rPr>
        <w:t>?</w:t>
      </w:r>
      <w:r w:rsidRPr="005B103B">
        <w:rPr>
          <w:rFonts w:ascii="Verdana" w:eastAsiaTheme="minorEastAsia" w:hAnsi="Verdana" w:cs="Times New Roman"/>
          <w:color w:val="auto"/>
          <w:sz w:val="22"/>
          <w:szCs w:val="22"/>
          <w:lang w:val="en-US" w:eastAsia="es-EC"/>
        </w:rPr>
        <w:t xml:space="preserve"> Harvard Business Review</w:t>
      </w:r>
    </w:p>
    <w:p w:rsidR="00522B72" w:rsidRPr="005B103B" w:rsidRDefault="00522B72" w:rsidP="00EC63DA">
      <w:pPr>
        <w:pStyle w:val="Default"/>
        <w:ind w:left="709" w:hanging="709"/>
        <w:jc w:val="both"/>
        <w:rPr>
          <w:rFonts w:ascii="Verdana" w:eastAsiaTheme="minorEastAsia" w:hAnsi="Verdana" w:cs="Times New Roman"/>
          <w:color w:val="auto"/>
          <w:sz w:val="22"/>
          <w:szCs w:val="22"/>
          <w:lang w:val="en-US" w:eastAsia="es-EC"/>
        </w:rPr>
      </w:pPr>
    </w:p>
    <w:p w:rsidR="00522B72" w:rsidRPr="00ED3D1B" w:rsidRDefault="00522B72" w:rsidP="00EC63DA">
      <w:pPr>
        <w:pStyle w:val="Default"/>
        <w:ind w:left="709" w:hanging="709"/>
        <w:jc w:val="both"/>
        <w:rPr>
          <w:rFonts w:ascii="Verdana" w:hAnsi="Verdana" w:cs="Times New Roman"/>
          <w:sz w:val="22"/>
          <w:szCs w:val="22"/>
        </w:rPr>
      </w:pPr>
      <w:r w:rsidRPr="00ED3D1B">
        <w:rPr>
          <w:rFonts w:ascii="Verdana" w:eastAsiaTheme="minorEastAsia" w:hAnsi="Verdana" w:cs="Times New Roman"/>
          <w:color w:val="auto"/>
          <w:sz w:val="22"/>
          <w:szCs w:val="22"/>
          <w:lang w:eastAsia="es-EC"/>
        </w:rPr>
        <w:t xml:space="preserve">Prebisch, Raúl (2008) </w:t>
      </w:r>
      <w:r w:rsidRPr="00F4036B">
        <w:rPr>
          <w:rFonts w:ascii="Verdana" w:eastAsiaTheme="minorEastAsia" w:hAnsi="Verdana" w:cs="Times New Roman"/>
          <w:b/>
          <w:i/>
          <w:color w:val="auto"/>
          <w:sz w:val="22"/>
          <w:szCs w:val="22"/>
          <w:lang w:eastAsia="es-EC"/>
        </w:rPr>
        <w:t xml:space="preserve">Hacia una teoría de la </w:t>
      </w:r>
      <w:r w:rsidR="00337B4C" w:rsidRPr="00F4036B">
        <w:rPr>
          <w:rFonts w:ascii="Verdana" w:eastAsiaTheme="minorEastAsia" w:hAnsi="Verdana" w:cs="Times New Roman"/>
          <w:b/>
          <w:i/>
          <w:color w:val="auto"/>
          <w:sz w:val="22"/>
          <w:szCs w:val="22"/>
          <w:lang w:eastAsia="es-EC"/>
        </w:rPr>
        <w:t>transformación</w:t>
      </w:r>
      <w:r w:rsidRPr="00ED3D1B">
        <w:rPr>
          <w:rFonts w:ascii="Verdana" w:eastAsiaTheme="minorEastAsia" w:hAnsi="Verdana" w:cs="Times New Roman"/>
          <w:color w:val="auto"/>
          <w:sz w:val="22"/>
          <w:szCs w:val="22"/>
          <w:lang w:eastAsia="es-EC"/>
        </w:rPr>
        <w:t xml:space="preserve"> [Versión PDF]. Recuperado de </w:t>
      </w:r>
      <w:hyperlink r:id="rId36" w:history="1">
        <w:r w:rsidRPr="00ED3D1B">
          <w:rPr>
            <w:rFonts w:ascii="Verdana" w:eastAsiaTheme="minorEastAsia" w:hAnsi="Verdana" w:cs="Times New Roman"/>
            <w:color w:val="auto"/>
            <w:sz w:val="22"/>
            <w:szCs w:val="22"/>
            <w:lang w:eastAsia="es-EC"/>
          </w:rPr>
          <w:t>http://www.eclac.org/publicaciones/xml/4/34904/RVE96Prebisch.pdf</w:t>
        </w:r>
      </w:hyperlink>
    </w:p>
    <w:p w:rsidR="00061EA7" w:rsidRPr="00ED3D1B" w:rsidRDefault="00061EA7" w:rsidP="00EC63DA">
      <w:pPr>
        <w:pStyle w:val="Textocomentario"/>
        <w:spacing w:after="60"/>
        <w:ind w:left="708" w:hangingChars="322" w:hanging="708"/>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Proecuador (2013) </w:t>
      </w:r>
      <w:r w:rsidRPr="00F4036B">
        <w:rPr>
          <w:rFonts w:ascii="Verdana" w:eastAsiaTheme="minorEastAsia" w:hAnsi="Verdana" w:cs="Times New Roman"/>
          <w:b/>
          <w:i/>
          <w:color w:val="auto"/>
          <w:sz w:val="22"/>
          <w:szCs w:val="22"/>
          <w:lang w:eastAsia="es-EC"/>
        </w:rPr>
        <w:t>Análisis del Sector Automotriz</w:t>
      </w:r>
      <w:r w:rsidRPr="00ED3D1B">
        <w:rPr>
          <w:rFonts w:ascii="Verdana" w:eastAsiaTheme="minorEastAsia" w:hAnsi="Verdana" w:cs="Times New Roman"/>
          <w:color w:val="auto"/>
          <w:sz w:val="22"/>
          <w:szCs w:val="22"/>
          <w:lang w:eastAsia="es-EC"/>
        </w:rPr>
        <w:t>. Recuperado de http://www.proecuador.gob.ec/wp-content/uploads/2013/07/PROEC_AS2013_AUTOMOTRIZ1.pdf</w:t>
      </w:r>
    </w:p>
    <w:p w:rsidR="00522B72" w:rsidRPr="00ED3D1B" w:rsidRDefault="00522B72" w:rsidP="00EC63DA">
      <w:pPr>
        <w:pStyle w:val="Sinespaciado"/>
        <w:spacing w:after="60"/>
        <w:ind w:left="708" w:hangingChars="322" w:hanging="708"/>
        <w:jc w:val="both"/>
        <w:rPr>
          <w:rFonts w:ascii="Verdana" w:hAnsi="Verdana" w:cs="Times New Roman"/>
        </w:rPr>
      </w:pPr>
    </w:p>
    <w:p w:rsidR="00522B72"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Saturnino, Ángel (2011) </w:t>
      </w:r>
      <w:r w:rsidRPr="00F4036B">
        <w:rPr>
          <w:rFonts w:ascii="Verdana" w:eastAsiaTheme="minorEastAsia" w:hAnsi="Verdana" w:cs="Times New Roman"/>
          <w:b/>
          <w:i/>
          <w:color w:val="auto"/>
          <w:sz w:val="22"/>
          <w:szCs w:val="22"/>
          <w:lang w:eastAsia="es-EC"/>
        </w:rPr>
        <w:t>La situación de la industria automotriz y de autopartes en la Argentina</w:t>
      </w:r>
      <w:r w:rsidRPr="00ED3D1B">
        <w:rPr>
          <w:rFonts w:ascii="Verdana" w:eastAsiaTheme="minorEastAsia" w:hAnsi="Verdana" w:cs="Times New Roman"/>
          <w:color w:val="auto"/>
          <w:sz w:val="22"/>
          <w:szCs w:val="22"/>
          <w:lang w:eastAsia="es-EC"/>
        </w:rPr>
        <w:t>. Recuperado de http://www.vocesenelfenix.com</w:t>
      </w:r>
    </w:p>
    <w:p w:rsidR="00683851" w:rsidRDefault="00683851" w:rsidP="00EC63DA">
      <w:pPr>
        <w:pStyle w:val="Default"/>
        <w:ind w:left="709" w:hanging="709"/>
        <w:jc w:val="both"/>
        <w:rPr>
          <w:rFonts w:ascii="Verdana" w:eastAsiaTheme="minorEastAsia" w:hAnsi="Verdana" w:cs="Times New Roman"/>
          <w:color w:val="auto"/>
          <w:sz w:val="22"/>
          <w:szCs w:val="22"/>
          <w:lang w:eastAsia="es-EC"/>
        </w:rPr>
      </w:pPr>
    </w:p>
    <w:p w:rsidR="00683851" w:rsidRPr="00ED3D1B" w:rsidRDefault="00683851" w:rsidP="00EC63DA">
      <w:pPr>
        <w:pStyle w:val="Default"/>
        <w:ind w:left="709" w:hanging="709"/>
        <w:rPr>
          <w:rFonts w:ascii="Verdana" w:eastAsiaTheme="minorEastAsia" w:hAnsi="Verdana"/>
          <w:sz w:val="22"/>
          <w:szCs w:val="22"/>
          <w:lang w:eastAsia="es-EC"/>
        </w:rPr>
      </w:pPr>
      <w:r>
        <w:rPr>
          <w:rFonts w:ascii="Verdana" w:eastAsiaTheme="minorEastAsia" w:hAnsi="Verdana" w:cs="Times New Roman"/>
          <w:color w:val="auto"/>
          <w:sz w:val="22"/>
          <w:szCs w:val="22"/>
          <w:lang w:eastAsia="es-EC"/>
        </w:rPr>
        <w:t>Semestre económico</w:t>
      </w:r>
      <w:r w:rsidRPr="00ED3D1B">
        <w:rPr>
          <w:rFonts w:ascii="Verdana" w:eastAsiaTheme="minorEastAsia" w:hAnsi="Verdana" w:cs="Times New Roman"/>
          <w:color w:val="auto"/>
          <w:sz w:val="22"/>
          <w:szCs w:val="22"/>
          <w:lang w:eastAsia="es-EC"/>
        </w:rPr>
        <w:t xml:space="preserve"> (2011) </w:t>
      </w:r>
      <w:r w:rsidRPr="00F4036B">
        <w:rPr>
          <w:rFonts w:ascii="Verdana" w:eastAsiaTheme="minorEastAsia" w:hAnsi="Verdana" w:cs="Times New Roman"/>
          <w:b/>
          <w:i/>
          <w:color w:val="auto"/>
          <w:sz w:val="22"/>
          <w:szCs w:val="22"/>
          <w:lang w:eastAsia="es-EC"/>
        </w:rPr>
        <w:t>Algunos conceptos de política industrial</w:t>
      </w:r>
      <w:r>
        <w:rPr>
          <w:rFonts w:ascii="Verdana" w:eastAsiaTheme="minorEastAsia" w:hAnsi="Verdana" w:cs="Times New Roman"/>
          <w:color w:val="auto"/>
          <w:sz w:val="22"/>
          <w:szCs w:val="22"/>
          <w:lang w:eastAsia="es-EC"/>
        </w:rPr>
        <w:t xml:space="preserve">. Recuperado </w:t>
      </w:r>
      <w:r w:rsidR="00F33635">
        <w:rPr>
          <w:rFonts w:ascii="Verdana" w:eastAsiaTheme="minorEastAsia" w:hAnsi="Verdana" w:cs="Times New Roman"/>
          <w:color w:val="auto"/>
          <w:sz w:val="22"/>
          <w:szCs w:val="22"/>
          <w:lang w:eastAsia="es-EC"/>
        </w:rPr>
        <w:t xml:space="preserve">de </w:t>
      </w:r>
      <w:hyperlink r:id="rId37" w:anchor="nota" w:history="1">
        <w:r w:rsidRPr="00ED3D1B">
          <w:rPr>
            <w:rFonts w:ascii="Verdana" w:eastAsiaTheme="minorEastAsia" w:hAnsi="Verdana"/>
            <w:sz w:val="22"/>
            <w:szCs w:val="22"/>
            <w:lang w:eastAsia="es-EC"/>
          </w:rPr>
          <w:t>http://revistas.udem.edu.co/index.php/economico/article/view/1434/1505#nota</w:t>
        </w:r>
      </w:hyperlink>
    </w:p>
    <w:p w:rsidR="00683851" w:rsidRPr="00ED3D1B" w:rsidRDefault="00683851" w:rsidP="00EC63DA">
      <w:pPr>
        <w:pStyle w:val="Default"/>
        <w:ind w:left="709" w:hanging="709"/>
        <w:jc w:val="both"/>
        <w:rPr>
          <w:rFonts w:ascii="Verdana" w:eastAsiaTheme="minorEastAsia" w:hAnsi="Verdana" w:cs="Times New Roman"/>
          <w:color w:val="auto"/>
          <w:sz w:val="22"/>
          <w:szCs w:val="22"/>
          <w:lang w:eastAsia="es-EC"/>
        </w:rPr>
      </w:pPr>
    </w:p>
    <w:p w:rsidR="00522B72" w:rsidRPr="00ED3D1B" w:rsidRDefault="00522B72" w:rsidP="00EC63DA">
      <w:pPr>
        <w:pStyle w:val="Sinespaciado"/>
        <w:spacing w:after="60"/>
        <w:ind w:left="708" w:hangingChars="322" w:hanging="708"/>
        <w:jc w:val="both"/>
        <w:rPr>
          <w:rFonts w:ascii="Verdana" w:hAnsi="Verdana" w:cs="Times New Roman"/>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 xml:space="preserve">Stiglitz, Joseph (2000) </w:t>
      </w:r>
      <w:r w:rsidRPr="00F4036B">
        <w:rPr>
          <w:rFonts w:ascii="Verdana" w:eastAsiaTheme="minorEastAsia" w:hAnsi="Verdana" w:cs="Times New Roman"/>
          <w:b/>
          <w:i/>
          <w:color w:val="auto"/>
          <w:sz w:val="22"/>
          <w:szCs w:val="22"/>
          <w:lang w:eastAsia="es-EC"/>
        </w:rPr>
        <w:t>La economía del sector público</w:t>
      </w:r>
      <w:r w:rsidRPr="00ED3D1B">
        <w:rPr>
          <w:rFonts w:ascii="Verdana" w:eastAsiaTheme="minorEastAsia" w:hAnsi="Verdana" w:cs="Times New Roman"/>
          <w:color w:val="auto"/>
          <w:sz w:val="22"/>
          <w:szCs w:val="22"/>
          <w:lang w:eastAsia="es-EC"/>
        </w:rPr>
        <w:t>, 3ra edición, Barcelona: Antoni Bosch</w:t>
      </w:r>
    </w:p>
    <w:p w:rsidR="00061EA7" w:rsidRPr="00ED3D1B" w:rsidRDefault="00061EA7" w:rsidP="00EC63DA">
      <w:pPr>
        <w:pStyle w:val="Textocomentario"/>
        <w:spacing w:after="60"/>
        <w:ind w:left="708" w:hangingChars="322" w:hanging="708"/>
        <w:jc w:val="both"/>
        <w:rPr>
          <w:rFonts w:ascii="Verdana" w:hAnsi="Verdana" w:cs="Times New Roman"/>
          <w:sz w:val="22"/>
          <w:szCs w:val="22"/>
        </w:rPr>
      </w:pPr>
    </w:p>
    <w:p w:rsidR="00522B72" w:rsidRPr="00ED3D1B" w:rsidRDefault="00522B72" w:rsidP="00EC63DA">
      <w:pPr>
        <w:pStyle w:val="Default"/>
        <w:ind w:left="709" w:hanging="709"/>
        <w:jc w:val="both"/>
        <w:rPr>
          <w:rFonts w:ascii="Verdana" w:eastAsiaTheme="minorEastAsia" w:hAnsi="Verdana" w:cs="Times New Roman"/>
          <w:color w:val="auto"/>
          <w:sz w:val="22"/>
          <w:szCs w:val="22"/>
          <w:lang w:eastAsia="es-EC"/>
        </w:rPr>
      </w:pPr>
      <w:r w:rsidRPr="00ED3D1B">
        <w:rPr>
          <w:rFonts w:ascii="Verdana" w:eastAsiaTheme="minorEastAsia" w:hAnsi="Verdana" w:cs="Times New Roman"/>
          <w:color w:val="auto"/>
          <w:sz w:val="22"/>
          <w:szCs w:val="22"/>
          <w:lang w:eastAsia="es-EC"/>
        </w:rPr>
        <w:t>Vásquez, Paulo (2015</w:t>
      </w:r>
      <w:r w:rsidRPr="00F4036B">
        <w:rPr>
          <w:rFonts w:ascii="Verdana" w:eastAsiaTheme="minorEastAsia" w:hAnsi="Verdana" w:cs="Times New Roman"/>
          <w:b/>
          <w:i/>
          <w:color w:val="auto"/>
          <w:sz w:val="22"/>
          <w:szCs w:val="22"/>
          <w:lang w:eastAsia="es-EC"/>
        </w:rPr>
        <w:t>) Modelo estratégico de fidelización para talleres de servicio posventa Chevrolet</w:t>
      </w:r>
      <w:r w:rsidRPr="00F33635">
        <w:rPr>
          <w:rFonts w:ascii="Verdana" w:eastAsiaTheme="minorEastAsia" w:hAnsi="Verdana" w:cs="Times New Roman"/>
          <w:b/>
          <w:i/>
          <w:color w:val="auto"/>
          <w:sz w:val="22"/>
          <w:szCs w:val="22"/>
          <w:lang w:eastAsia="es-EC"/>
        </w:rPr>
        <w:t>, de la ciudad de Quito, soportado en herramientas tecnológicas</w:t>
      </w:r>
      <w:r w:rsidRPr="00F33635">
        <w:rPr>
          <w:rFonts w:ascii="Verdana" w:eastAsiaTheme="minorEastAsia" w:hAnsi="Verdana" w:cs="Times New Roman"/>
          <w:color w:val="auto"/>
          <w:sz w:val="22"/>
          <w:szCs w:val="22"/>
          <w:lang w:eastAsia="es-EC"/>
        </w:rPr>
        <w:t>.</w:t>
      </w:r>
      <w:r w:rsidRPr="00F33635">
        <w:rPr>
          <w:rFonts w:ascii="Verdana" w:eastAsiaTheme="minorEastAsia" w:hAnsi="Verdana" w:cs="Times New Roman"/>
          <w:b/>
          <w:color w:val="auto"/>
          <w:sz w:val="22"/>
          <w:szCs w:val="22"/>
          <w:lang w:eastAsia="es-EC"/>
        </w:rPr>
        <w:t xml:space="preserve"> </w:t>
      </w:r>
      <w:r w:rsidRPr="00F33635">
        <w:rPr>
          <w:rFonts w:ascii="Verdana" w:eastAsiaTheme="minorEastAsia" w:hAnsi="Verdana" w:cs="Times New Roman"/>
          <w:color w:val="auto"/>
          <w:sz w:val="22"/>
          <w:szCs w:val="22"/>
          <w:lang w:eastAsia="es-EC"/>
        </w:rPr>
        <w:t>U</w:t>
      </w:r>
      <w:r w:rsidR="00F33635" w:rsidRPr="00F33635">
        <w:rPr>
          <w:rFonts w:ascii="Verdana" w:eastAsiaTheme="minorEastAsia" w:hAnsi="Verdana" w:cs="Times New Roman"/>
          <w:color w:val="auto"/>
          <w:sz w:val="22"/>
          <w:szCs w:val="22"/>
          <w:lang w:eastAsia="es-EC"/>
        </w:rPr>
        <w:t>niversidad</w:t>
      </w:r>
      <w:r w:rsidRPr="00F33635">
        <w:rPr>
          <w:rFonts w:ascii="Verdana" w:eastAsiaTheme="minorEastAsia" w:hAnsi="Verdana" w:cs="Times New Roman"/>
          <w:color w:val="auto"/>
          <w:sz w:val="22"/>
          <w:szCs w:val="22"/>
          <w:lang w:eastAsia="es-EC"/>
        </w:rPr>
        <w:t xml:space="preserve"> I</w:t>
      </w:r>
      <w:r w:rsidR="00F33635" w:rsidRPr="00F33635">
        <w:rPr>
          <w:rFonts w:ascii="Verdana" w:eastAsiaTheme="minorEastAsia" w:hAnsi="Verdana" w:cs="Times New Roman"/>
          <w:color w:val="auto"/>
          <w:sz w:val="22"/>
          <w:szCs w:val="22"/>
          <w:lang w:eastAsia="es-EC"/>
        </w:rPr>
        <w:t>nternacional</w:t>
      </w:r>
      <w:r w:rsidRPr="00F33635">
        <w:rPr>
          <w:rFonts w:ascii="Verdana" w:eastAsiaTheme="minorEastAsia" w:hAnsi="Verdana" w:cs="Times New Roman"/>
          <w:color w:val="auto"/>
          <w:sz w:val="22"/>
          <w:szCs w:val="22"/>
          <w:lang w:eastAsia="es-EC"/>
        </w:rPr>
        <w:t xml:space="preserve"> </w:t>
      </w:r>
      <w:r w:rsidR="00F33635" w:rsidRPr="00F33635">
        <w:rPr>
          <w:rFonts w:ascii="Verdana" w:eastAsiaTheme="minorEastAsia" w:hAnsi="Verdana" w:cs="Times New Roman"/>
          <w:color w:val="auto"/>
          <w:sz w:val="22"/>
          <w:szCs w:val="22"/>
          <w:lang w:eastAsia="es-EC"/>
        </w:rPr>
        <w:t>del</w:t>
      </w:r>
      <w:r w:rsidRPr="00F33635">
        <w:rPr>
          <w:rFonts w:ascii="Verdana" w:eastAsiaTheme="minorEastAsia" w:hAnsi="Verdana" w:cs="Times New Roman"/>
          <w:color w:val="auto"/>
          <w:sz w:val="22"/>
          <w:szCs w:val="22"/>
          <w:lang w:eastAsia="es-EC"/>
        </w:rPr>
        <w:t xml:space="preserve"> E</w:t>
      </w:r>
      <w:r w:rsidR="00F33635" w:rsidRPr="00F33635">
        <w:rPr>
          <w:rFonts w:ascii="Verdana" w:eastAsiaTheme="minorEastAsia" w:hAnsi="Verdana" w:cs="Times New Roman"/>
          <w:color w:val="auto"/>
          <w:sz w:val="22"/>
          <w:szCs w:val="22"/>
          <w:lang w:eastAsia="es-EC"/>
        </w:rPr>
        <w:t>cuador,</w:t>
      </w:r>
      <w:r w:rsidRPr="00F33635">
        <w:rPr>
          <w:rFonts w:ascii="Verdana" w:eastAsiaTheme="minorEastAsia" w:hAnsi="Verdana" w:cs="Times New Roman"/>
          <w:color w:val="auto"/>
          <w:sz w:val="22"/>
          <w:szCs w:val="22"/>
          <w:lang w:eastAsia="es-EC"/>
        </w:rPr>
        <w:t xml:space="preserve"> Facultad de Ciencias Administrativas y Económicas, </w:t>
      </w:r>
      <w:r w:rsidR="00F33635" w:rsidRPr="00F33635">
        <w:rPr>
          <w:rFonts w:ascii="Verdana" w:eastAsiaTheme="minorEastAsia" w:hAnsi="Verdana" w:cs="Times New Roman"/>
          <w:color w:val="auto"/>
          <w:sz w:val="22"/>
          <w:szCs w:val="22"/>
          <w:lang w:eastAsia="es-EC"/>
        </w:rPr>
        <w:t>proyecto de grado para la obtención del título de magister en administración de negocios</w:t>
      </w:r>
      <w:r w:rsidRPr="00F33635">
        <w:rPr>
          <w:rFonts w:ascii="Verdana" w:eastAsiaTheme="minorEastAsia" w:hAnsi="Verdana" w:cs="Times New Roman"/>
          <w:color w:val="auto"/>
          <w:sz w:val="22"/>
          <w:szCs w:val="22"/>
          <w:lang w:eastAsia="es-EC"/>
        </w:rPr>
        <w:t>, Quito</w:t>
      </w:r>
      <w:r w:rsidR="00F33635">
        <w:rPr>
          <w:rFonts w:ascii="Verdana" w:eastAsiaTheme="minorEastAsia" w:hAnsi="Verdana" w:cs="Times New Roman"/>
          <w:color w:val="auto"/>
          <w:sz w:val="22"/>
          <w:szCs w:val="22"/>
          <w:lang w:eastAsia="es-EC"/>
        </w:rPr>
        <w:t>. Recuperado de</w:t>
      </w:r>
      <w:r w:rsidRPr="00ED3D1B">
        <w:rPr>
          <w:rFonts w:ascii="Verdana" w:eastAsiaTheme="minorEastAsia" w:hAnsi="Verdana" w:cs="Times New Roman"/>
          <w:color w:val="auto"/>
          <w:sz w:val="22"/>
          <w:szCs w:val="22"/>
          <w:lang w:eastAsia="es-EC"/>
        </w:rPr>
        <w:t xml:space="preserve"> http://repositorio.uide.edu.ec/bitstream/37000/626/1/T-UIDE-0576.pdf</w:t>
      </w:r>
    </w:p>
    <w:p w:rsidR="00522B72" w:rsidRPr="00ED3D1B" w:rsidRDefault="00522B72" w:rsidP="00EC63DA">
      <w:pPr>
        <w:pStyle w:val="Sinespaciado"/>
        <w:spacing w:after="60"/>
        <w:ind w:left="708" w:hangingChars="322" w:hanging="708"/>
        <w:jc w:val="both"/>
        <w:rPr>
          <w:rFonts w:ascii="Verdana" w:hAnsi="Verdana" w:cs="Times New Roman"/>
        </w:rPr>
      </w:pPr>
    </w:p>
    <w:p w:rsidR="000817CA" w:rsidRPr="00ED3D1B" w:rsidRDefault="00522B72" w:rsidP="00EC63DA">
      <w:pPr>
        <w:pStyle w:val="Default"/>
        <w:ind w:left="709" w:hanging="709"/>
        <w:jc w:val="both"/>
        <w:rPr>
          <w:rFonts w:ascii="Verdana" w:eastAsiaTheme="minorEastAsia" w:hAnsi="Verdana"/>
          <w:sz w:val="22"/>
          <w:szCs w:val="22"/>
          <w:lang w:eastAsia="es-EC"/>
        </w:rPr>
      </w:pPr>
      <w:r w:rsidRPr="00ED3D1B">
        <w:rPr>
          <w:rFonts w:ascii="Verdana" w:eastAsiaTheme="minorEastAsia" w:hAnsi="Verdana" w:cs="Times New Roman"/>
          <w:color w:val="auto"/>
          <w:sz w:val="22"/>
          <w:szCs w:val="22"/>
          <w:lang w:eastAsia="es-EC"/>
        </w:rPr>
        <w:t xml:space="preserve">Xavier Sala-i-Martin (2011) </w:t>
      </w:r>
      <w:r w:rsidRPr="00F4036B">
        <w:rPr>
          <w:rFonts w:ascii="Verdana" w:eastAsiaTheme="minorEastAsia" w:hAnsi="Verdana" w:cs="Times New Roman"/>
          <w:b/>
          <w:i/>
          <w:color w:val="auto"/>
          <w:sz w:val="22"/>
          <w:szCs w:val="22"/>
          <w:lang w:eastAsia="es-EC"/>
        </w:rPr>
        <w:t>Dos mitos sobre la competitividad</w:t>
      </w:r>
      <w:r w:rsidRPr="00ED3D1B">
        <w:rPr>
          <w:rFonts w:ascii="Verdana" w:eastAsiaTheme="minorEastAsia" w:hAnsi="Verdana" w:cs="Times New Roman"/>
          <w:color w:val="auto"/>
          <w:sz w:val="22"/>
          <w:szCs w:val="22"/>
          <w:lang w:eastAsia="es-EC"/>
        </w:rPr>
        <w:t xml:space="preserve">. Recuperado de </w:t>
      </w:r>
      <w:hyperlink r:id="rId38" w:history="1">
        <w:r w:rsidRPr="00ED3D1B">
          <w:rPr>
            <w:rFonts w:ascii="Verdana" w:eastAsiaTheme="minorEastAsia" w:hAnsi="Verdana"/>
            <w:sz w:val="22"/>
            <w:szCs w:val="22"/>
            <w:lang w:eastAsia="es-EC"/>
          </w:rPr>
          <w:t>http://salaimartin.com/randomthoughts/item/16-dos-mitos-sobre-la-competitividad.html</w:t>
        </w:r>
      </w:hyperlink>
    </w:p>
    <w:p w:rsidR="00F12876" w:rsidRPr="00EE4D50" w:rsidRDefault="00F12876" w:rsidP="00EC63DA">
      <w:pPr>
        <w:pStyle w:val="Textocomentario"/>
        <w:spacing w:after="60"/>
        <w:ind w:left="706" w:hanging="706"/>
        <w:jc w:val="both"/>
        <w:rPr>
          <w:rStyle w:val="Hipervnculo"/>
          <w:rFonts w:ascii="Verdana" w:hAnsi="Verdana" w:cs="Times New Roman"/>
          <w:color w:val="auto"/>
          <w:sz w:val="22"/>
          <w:szCs w:val="22"/>
          <w:u w:val="none"/>
        </w:rPr>
      </w:pPr>
    </w:p>
    <w:p w:rsidR="00F12876" w:rsidRDefault="00F12876" w:rsidP="00EC63DA">
      <w:pPr>
        <w:pStyle w:val="Textocomentario"/>
        <w:spacing w:after="60"/>
        <w:ind w:left="706" w:hanging="706"/>
        <w:jc w:val="both"/>
        <w:rPr>
          <w:rStyle w:val="Hipervnculo"/>
          <w:rFonts w:ascii="Verdana" w:hAnsi="Verdana" w:cs="Times New Roman"/>
          <w:color w:val="auto"/>
          <w:sz w:val="22"/>
          <w:szCs w:val="22"/>
          <w:u w:val="none"/>
        </w:rPr>
      </w:pPr>
    </w:p>
    <w:p w:rsidR="001A1E18" w:rsidRDefault="001A1E18" w:rsidP="00EC63DA">
      <w:pPr>
        <w:pStyle w:val="Textocomentario"/>
        <w:spacing w:after="60"/>
        <w:ind w:left="706" w:hanging="706"/>
        <w:jc w:val="both"/>
        <w:rPr>
          <w:rStyle w:val="Hipervnculo"/>
          <w:rFonts w:ascii="Verdana" w:hAnsi="Verdana" w:cs="Times New Roman"/>
          <w:color w:val="auto"/>
          <w:sz w:val="22"/>
          <w:szCs w:val="22"/>
          <w:u w:val="none"/>
        </w:rPr>
      </w:pPr>
    </w:p>
    <w:p w:rsidR="001A1E18" w:rsidRDefault="001A1E18" w:rsidP="00EC63DA">
      <w:pPr>
        <w:pStyle w:val="Textocomentario"/>
        <w:spacing w:after="60"/>
        <w:ind w:left="706" w:hanging="706"/>
        <w:jc w:val="both"/>
        <w:rPr>
          <w:rStyle w:val="Hipervnculo"/>
          <w:rFonts w:ascii="Verdana" w:hAnsi="Verdana" w:cs="Times New Roman"/>
          <w:color w:val="auto"/>
          <w:sz w:val="22"/>
          <w:szCs w:val="22"/>
          <w:u w:val="none"/>
        </w:rPr>
      </w:pPr>
    </w:p>
    <w:p w:rsidR="001A1E18" w:rsidRDefault="001A1E18" w:rsidP="00EC63DA">
      <w:pPr>
        <w:pStyle w:val="Textocomentario"/>
        <w:spacing w:after="60"/>
        <w:ind w:left="706" w:hanging="706"/>
        <w:jc w:val="both"/>
        <w:rPr>
          <w:rStyle w:val="Hipervnculo"/>
          <w:rFonts w:ascii="Verdana" w:hAnsi="Verdana" w:cs="Times New Roman"/>
          <w:color w:val="auto"/>
          <w:sz w:val="22"/>
          <w:szCs w:val="22"/>
          <w:u w:val="none"/>
        </w:rPr>
      </w:pPr>
    </w:p>
    <w:p w:rsidR="001A1E18" w:rsidRDefault="001A1E18" w:rsidP="00EC63DA">
      <w:pPr>
        <w:pStyle w:val="Textocomentario"/>
        <w:spacing w:after="60"/>
        <w:ind w:left="706" w:hanging="706"/>
        <w:jc w:val="both"/>
        <w:rPr>
          <w:rStyle w:val="Hipervnculo"/>
          <w:rFonts w:ascii="Verdana" w:hAnsi="Verdana" w:cs="Times New Roman"/>
          <w:color w:val="auto"/>
          <w:sz w:val="22"/>
          <w:szCs w:val="22"/>
          <w:u w:val="none"/>
        </w:rPr>
      </w:pPr>
    </w:p>
    <w:p w:rsidR="001A1E18" w:rsidRDefault="001A1E18" w:rsidP="00EC63DA">
      <w:pPr>
        <w:pStyle w:val="Textocomentario"/>
        <w:spacing w:after="60"/>
        <w:ind w:left="706" w:hanging="706"/>
        <w:jc w:val="both"/>
        <w:rPr>
          <w:rStyle w:val="Hipervnculo"/>
          <w:rFonts w:ascii="Verdana" w:hAnsi="Verdana" w:cs="Times New Roman"/>
          <w:color w:val="auto"/>
          <w:sz w:val="22"/>
          <w:szCs w:val="22"/>
          <w:u w:val="none"/>
        </w:rPr>
      </w:pPr>
    </w:p>
    <w:p w:rsidR="001A1E18" w:rsidRPr="00EE4D50" w:rsidRDefault="001A1E18" w:rsidP="00EC63DA">
      <w:pPr>
        <w:pStyle w:val="Textocomentario"/>
        <w:spacing w:after="60"/>
        <w:ind w:left="706" w:hanging="706"/>
        <w:jc w:val="both"/>
        <w:rPr>
          <w:rStyle w:val="Hipervnculo"/>
          <w:rFonts w:ascii="Verdana" w:hAnsi="Verdana" w:cs="Times New Roman"/>
          <w:color w:val="auto"/>
          <w:sz w:val="22"/>
          <w:szCs w:val="22"/>
          <w:u w:val="none"/>
        </w:rPr>
      </w:pPr>
    </w:p>
    <w:p w:rsidR="00062D53" w:rsidRPr="00062D53" w:rsidRDefault="00062D53" w:rsidP="00EC63DA">
      <w:pPr>
        <w:pStyle w:val="Ttulo1"/>
        <w:jc w:val="center"/>
        <w:rPr>
          <w:rFonts w:ascii="Verdana" w:hAnsi="Verdana"/>
          <w:i/>
          <w:color w:val="auto"/>
        </w:rPr>
      </w:pPr>
      <w:bookmarkStart w:id="121" w:name="_Toc485137250"/>
      <w:bookmarkStart w:id="122" w:name="_Toc474402327"/>
      <w:bookmarkStart w:id="123" w:name="_Toc474402385"/>
      <w:bookmarkStart w:id="124" w:name="_Toc474402476"/>
      <w:r w:rsidRPr="00062D53">
        <w:rPr>
          <w:rFonts w:ascii="Verdana" w:hAnsi="Verdana"/>
          <w:i/>
          <w:color w:val="auto"/>
          <w:sz w:val="32"/>
        </w:rPr>
        <w:lastRenderedPageBreak/>
        <w:t>Anexos</w:t>
      </w:r>
      <w:bookmarkEnd w:id="121"/>
    </w:p>
    <w:p w:rsidR="00062D53" w:rsidRDefault="00062D53" w:rsidP="00EC63DA">
      <w:pPr>
        <w:pStyle w:val="Epgrafe"/>
        <w:spacing w:after="0"/>
        <w:jc w:val="center"/>
        <w:rPr>
          <w:rFonts w:ascii="Verdana" w:hAnsi="Verdana" w:cs="Times New Roman"/>
          <w:i/>
          <w:color w:val="auto"/>
          <w:sz w:val="24"/>
          <w:szCs w:val="24"/>
        </w:rPr>
      </w:pPr>
    </w:p>
    <w:p w:rsidR="000817CA" w:rsidRPr="00EE4D50" w:rsidRDefault="002B50C1" w:rsidP="00EC63DA">
      <w:pPr>
        <w:pStyle w:val="Epgrafe"/>
        <w:spacing w:after="0"/>
        <w:jc w:val="center"/>
        <w:rPr>
          <w:rFonts w:ascii="Verdana" w:hAnsi="Verdana" w:cs="Times New Roman"/>
          <w:color w:val="auto"/>
          <w:sz w:val="24"/>
          <w:szCs w:val="24"/>
        </w:rPr>
      </w:pPr>
      <w:r w:rsidRPr="00EE4D50">
        <w:rPr>
          <w:rFonts w:ascii="Verdana" w:hAnsi="Verdana" w:cs="Times New Roman"/>
          <w:i/>
          <w:color w:val="auto"/>
          <w:sz w:val="24"/>
          <w:szCs w:val="24"/>
        </w:rPr>
        <w:t xml:space="preserve">Anexo </w:t>
      </w:r>
      <w:r w:rsidRPr="00EE4D50">
        <w:rPr>
          <w:rFonts w:ascii="Verdana" w:hAnsi="Verdana" w:cs="Times New Roman"/>
          <w:i/>
          <w:color w:val="auto"/>
          <w:sz w:val="24"/>
          <w:szCs w:val="24"/>
        </w:rPr>
        <w:fldChar w:fldCharType="begin"/>
      </w:r>
      <w:r w:rsidRPr="00EE4D50">
        <w:rPr>
          <w:rFonts w:ascii="Verdana" w:hAnsi="Verdana" w:cs="Times New Roman"/>
          <w:i/>
          <w:color w:val="auto"/>
          <w:sz w:val="24"/>
          <w:szCs w:val="24"/>
        </w:rPr>
        <w:instrText xml:space="preserve"> SEQ Anexo \* ALPHABETIC </w:instrText>
      </w:r>
      <w:r w:rsidRPr="00EE4D50">
        <w:rPr>
          <w:rFonts w:ascii="Verdana" w:hAnsi="Verdana" w:cs="Times New Roman"/>
          <w:i/>
          <w:color w:val="auto"/>
          <w:sz w:val="24"/>
          <w:szCs w:val="24"/>
        </w:rPr>
        <w:fldChar w:fldCharType="separate"/>
      </w:r>
      <w:r w:rsidR="001630A5">
        <w:rPr>
          <w:rFonts w:ascii="Verdana" w:hAnsi="Verdana" w:cs="Times New Roman"/>
          <w:i/>
          <w:noProof/>
          <w:color w:val="auto"/>
          <w:sz w:val="24"/>
          <w:szCs w:val="24"/>
        </w:rPr>
        <w:t>A</w:t>
      </w:r>
      <w:r w:rsidRPr="00EE4D50">
        <w:rPr>
          <w:rFonts w:ascii="Verdana" w:hAnsi="Verdana" w:cs="Times New Roman"/>
          <w:i/>
          <w:color w:val="auto"/>
          <w:sz w:val="24"/>
          <w:szCs w:val="24"/>
        </w:rPr>
        <w:fldChar w:fldCharType="end"/>
      </w:r>
      <w:r w:rsidR="007014B4" w:rsidRPr="00EE4D50">
        <w:rPr>
          <w:rFonts w:ascii="Verdana" w:hAnsi="Verdana" w:cs="Times New Roman"/>
          <w:i/>
          <w:color w:val="auto"/>
          <w:sz w:val="24"/>
          <w:szCs w:val="24"/>
        </w:rPr>
        <w:t>:</w:t>
      </w:r>
      <w:bookmarkEnd w:id="122"/>
      <w:r w:rsidR="0020346C" w:rsidRPr="00EE4D50">
        <w:rPr>
          <w:rFonts w:ascii="Verdana" w:hAnsi="Verdana" w:cs="Times New Roman"/>
          <w:color w:val="auto"/>
          <w:sz w:val="24"/>
          <w:szCs w:val="24"/>
        </w:rPr>
        <w:t xml:space="preserve"> </w:t>
      </w:r>
      <w:r w:rsidR="004C7CA6" w:rsidRPr="00EE4D50">
        <w:rPr>
          <w:rFonts w:ascii="Verdana" w:hAnsi="Verdana" w:cs="Times New Roman"/>
          <w:b w:val="0"/>
          <w:i/>
          <w:noProof/>
          <w:color w:val="auto"/>
          <w:sz w:val="24"/>
          <w:szCs w:val="24"/>
          <w:lang w:eastAsia="es-EC"/>
        </w:rPr>
        <w:t>Oficio Comision de Politica Indus</w:t>
      </w:r>
      <w:r w:rsidR="00044D0B">
        <w:rPr>
          <w:rFonts w:ascii="Verdana" w:hAnsi="Verdana" w:cs="Times New Roman"/>
          <w:b w:val="0"/>
          <w:i/>
          <w:noProof/>
          <w:color w:val="auto"/>
          <w:sz w:val="24"/>
          <w:szCs w:val="24"/>
          <w:lang w:eastAsia="es-EC"/>
        </w:rPr>
        <w:t>trial</w:t>
      </w:r>
      <w:r w:rsidR="004C7CA6" w:rsidRPr="00EE4D50">
        <w:rPr>
          <w:rFonts w:ascii="Verdana" w:hAnsi="Verdana" w:cs="Times New Roman"/>
          <w:b w:val="0"/>
          <w:i/>
          <w:noProof/>
          <w:color w:val="auto"/>
          <w:sz w:val="24"/>
          <w:szCs w:val="24"/>
          <w:lang w:eastAsia="es-EC"/>
        </w:rPr>
        <w:t xml:space="preserve"> de la CINAE</w:t>
      </w:r>
      <w:bookmarkEnd w:id="123"/>
      <w:bookmarkEnd w:id="124"/>
    </w:p>
    <w:p w:rsidR="007014B4" w:rsidRPr="00EE4D50" w:rsidRDefault="007014B4" w:rsidP="00EC63DA">
      <w:pPr>
        <w:rPr>
          <w:rFonts w:ascii="Verdana" w:hAnsi="Verdana" w:cs="Times New Roman"/>
          <w:lang w:eastAsia="es-EC"/>
        </w:rPr>
      </w:pPr>
    </w:p>
    <w:p w:rsidR="000817CA" w:rsidRPr="00EE4D50" w:rsidRDefault="004C7CA6" w:rsidP="00EC63DA">
      <w:pPr>
        <w:spacing w:after="0" w:line="240" w:lineRule="auto"/>
        <w:jc w:val="center"/>
        <w:rPr>
          <w:rFonts w:ascii="Verdana" w:hAnsi="Verdana" w:cs="Times New Roman"/>
          <w:noProof/>
          <w:lang w:eastAsia="es-EC"/>
        </w:rPr>
      </w:pPr>
      <w:r w:rsidRPr="00EE4D50">
        <w:rPr>
          <w:rFonts w:ascii="Verdana" w:hAnsi="Verdana" w:cs="Times New Roman"/>
          <w:noProof/>
          <w:lang w:eastAsia="es-EC"/>
        </w:rPr>
        <w:drawing>
          <wp:inline distT="0" distB="0" distL="0" distR="0" wp14:anchorId="130A68B7" wp14:editId="115FE842">
            <wp:extent cx="7283432" cy="5816009"/>
            <wp:effectExtent l="0" t="9525" r="3810" b="381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9"/>
                    <a:srcRect l="9099" t="13507" r="13664" b="9398"/>
                    <a:stretch/>
                  </pic:blipFill>
                  <pic:spPr bwMode="auto">
                    <a:xfrm rot="5400000">
                      <a:off x="0" y="0"/>
                      <a:ext cx="7295530" cy="5825670"/>
                    </a:xfrm>
                    <a:prstGeom prst="rect">
                      <a:avLst/>
                    </a:prstGeom>
                    <a:ln>
                      <a:noFill/>
                    </a:ln>
                    <a:extLst>
                      <a:ext uri="{53640926-AAD7-44D8-BBD7-CCE9431645EC}">
                        <a14:shadowObscured xmlns:a14="http://schemas.microsoft.com/office/drawing/2010/main"/>
                      </a:ext>
                    </a:extLst>
                  </pic:spPr>
                </pic:pic>
              </a:graphicData>
            </a:graphic>
          </wp:inline>
        </w:drawing>
      </w:r>
    </w:p>
    <w:p w:rsidR="004C7CA6" w:rsidRPr="00EE4D50" w:rsidRDefault="004C7CA6" w:rsidP="00EC63DA">
      <w:pPr>
        <w:spacing w:after="0" w:line="240" w:lineRule="auto"/>
        <w:jc w:val="center"/>
        <w:rPr>
          <w:rFonts w:ascii="Verdana" w:hAnsi="Verdana" w:cs="Times New Roman"/>
          <w:i/>
          <w:noProof/>
          <w:sz w:val="28"/>
          <w:szCs w:val="28"/>
          <w:lang w:eastAsia="es-EC"/>
        </w:rPr>
      </w:pPr>
      <w:r w:rsidRPr="00EE4D50">
        <w:rPr>
          <w:rFonts w:ascii="Verdana" w:hAnsi="Verdana" w:cs="Times New Roman"/>
          <w:noProof/>
          <w:lang w:eastAsia="es-EC"/>
        </w:rPr>
        <w:lastRenderedPageBreak/>
        <w:t xml:space="preserve"> </w:t>
      </w:r>
      <w:r w:rsidRPr="00EE4D50">
        <w:rPr>
          <w:rFonts w:ascii="Verdana" w:hAnsi="Verdana" w:cs="Times New Roman"/>
          <w:noProof/>
          <w:lang w:eastAsia="es-EC"/>
        </w:rPr>
        <w:drawing>
          <wp:inline distT="0" distB="0" distL="0" distR="0" wp14:anchorId="275DF329" wp14:editId="5A4634CC">
            <wp:extent cx="7370556" cy="5635255"/>
            <wp:effectExtent l="0" t="8572"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0"/>
                    <a:srcRect l="8720" t="18011" r="13175" b="7345"/>
                    <a:stretch/>
                  </pic:blipFill>
                  <pic:spPr bwMode="auto">
                    <a:xfrm rot="5400000">
                      <a:off x="0" y="0"/>
                      <a:ext cx="7375096" cy="5638726"/>
                    </a:xfrm>
                    <a:prstGeom prst="rect">
                      <a:avLst/>
                    </a:prstGeom>
                    <a:ln>
                      <a:noFill/>
                    </a:ln>
                    <a:extLst>
                      <a:ext uri="{53640926-AAD7-44D8-BBD7-CCE9431645EC}">
                        <a14:shadowObscured xmlns:a14="http://schemas.microsoft.com/office/drawing/2010/main"/>
                      </a:ext>
                    </a:extLst>
                  </pic:spPr>
                </pic:pic>
              </a:graphicData>
            </a:graphic>
          </wp:inline>
        </w:drawing>
      </w:r>
      <w:r w:rsidRPr="00EE4D50">
        <w:rPr>
          <w:rFonts w:ascii="Verdana" w:hAnsi="Verdana" w:cs="Times New Roman"/>
          <w:noProof/>
          <w:lang w:eastAsia="es-EC"/>
        </w:rPr>
        <w:t xml:space="preserve"> </w:t>
      </w:r>
    </w:p>
    <w:p w:rsidR="004C7CA6" w:rsidRPr="00EE4D50" w:rsidRDefault="004C7CA6" w:rsidP="00EC63DA">
      <w:pPr>
        <w:spacing w:after="0" w:line="240" w:lineRule="auto"/>
        <w:jc w:val="both"/>
        <w:rPr>
          <w:rFonts w:ascii="Verdana" w:hAnsi="Verdana" w:cs="Times New Roman"/>
          <w:noProof/>
          <w:lang w:eastAsia="es-EC"/>
        </w:rPr>
      </w:pPr>
      <w:r w:rsidRPr="00EE4D50">
        <w:rPr>
          <w:rFonts w:ascii="Verdana" w:hAnsi="Verdana" w:cs="Times New Roman"/>
          <w:noProof/>
          <w:lang w:eastAsia="es-EC"/>
        </w:rPr>
        <w:lastRenderedPageBreak/>
        <w:drawing>
          <wp:inline distT="0" distB="0" distL="0" distR="0" wp14:anchorId="52646C32" wp14:editId="71979E31">
            <wp:extent cx="7630556" cy="5642446"/>
            <wp:effectExtent l="3492"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1"/>
                    <a:srcRect l="9858" t="14928" r="13664" b="14381"/>
                    <a:stretch/>
                  </pic:blipFill>
                  <pic:spPr bwMode="auto">
                    <a:xfrm rot="5400000">
                      <a:off x="0" y="0"/>
                      <a:ext cx="7669029" cy="5670895"/>
                    </a:xfrm>
                    <a:prstGeom prst="rect">
                      <a:avLst/>
                    </a:prstGeom>
                    <a:ln>
                      <a:noFill/>
                    </a:ln>
                    <a:extLst>
                      <a:ext uri="{53640926-AAD7-44D8-BBD7-CCE9431645EC}">
                        <a14:shadowObscured xmlns:a14="http://schemas.microsoft.com/office/drawing/2010/main"/>
                      </a:ext>
                    </a:extLst>
                  </pic:spPr>
                </pic:pic>
              </a:graphicData>
            </a:graphic>
          </wp:inline>
        </w:drawing>
      </w:r>
      <w:r w:rsidRPr="00EE4D50">
        <w:rPr>
          <w:rFonts w:ascii="Verdana" w:hAnsi="Verdana" w:cs="Times New Roman"/>
          <w:noProof/>
          <w:lang w:eastAsia="es-EC"/>
        </w:rPr>
        <w:t xml:space="preserve"> </w:t>
      </w:r>
      <w:r w:rsidRPr="00EE4D50">
        <w:rPr>
          <w:rFonts w:ascii="Verdana" w:hAnsi="Verdana" w:cs="Times New Roman"/>
          <w:noProof/>
          <w:lang w:eastAsia="es-EC"/>
        </w:rPr>
        <w:lastRenderedPageBreak/>
        <w:drawing>
          <wp:inline distT="0" distB="0" distL="0" distR="0" wp14:anchorId="609CAA72" wp14:editId="7543BFC9">
            <wp:extent cx="7648724" cy="5699052"/>
            <wp:effectExtent l="3493"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2"/>
                    <a:srcRect l="9099" t="21801" r="13474" b="6086"/>
                    <a:stretch/>
                  </pic:blipFill>
                  <pic:spPr bwMode="auto">
                    <a:xfrm rot="5400000">
                      <a:off x="0" y="0"/>
                      <a:ext cx="7661429" cy="5708518"/>
                    </a:xfrm>
                    <a:prstGeom prst="rect">
                      <a:avLst/>
                    </a:prstGeom>
                    <a:ln>
                      <a:noFill/>
                    </a:ln>
                    <a:extLst>
                      <a:ext uri="{53640926-AAD7-44D8-BBD7-CCE9431645EC}">
                        <a14:shadowObscured xmlns:a14="http://schemas.microsoft.com/office/drawing/2010/main"/>
                      </a:ext>
                    </a:extLst>
                  </pic:spPr>
                </pic:pic>
              </a:graphicData>
            </a:graphic>
          </wp:inline>
        </w:drawing>
      </w:r>
    </w:p>
    <w:p w:rsidR="004C7CA6" w:rsidRPr="0009427A" w:rsidRDefault="0009427A" w:rsidP="00EC63DA">
      <w:pPr>
        <w:spacing w:after="0" w:line="240" w:lineRule="auto"/>
        <w:jc w:val="both"/>
        <w:rPr>
          <w:rFonts w:ascii="Verdana" w:hAnsi="Verdana" w:cs="Times New Roman"/>
          <w:noProof/>
          <w:sz w:val="20"/>
          <w:lang w:eastAsia="es-EC"/>
        </w:rPr>
      </w:pPr>
      <w:r>
        <w:rPr>
          <w:rFonts w:ascii="Verdana" w:hAnsi="Verdana" w:cs="Times New Roman"/>
          <w:noProof/>
          <w:sz w:val="20"/>
          <w:lang w:eastAsia="es-EC"/>
        </w:rPr>
        <w:t xml:space="preserve">         </w:t>
      </w:r>
      <w:r w:rsidRPr="0009427A">
        <w:rPr>
          <w:rFonts w:ascii="Verdana" w:hAnsi="Verdana" w:cs="Times New Roman"/>
          <w:noProof/>
          <w:sz w:val="20"/>
          <w:lang w:eastAsia="es-EC"/>
        </w:rPr>
        <w:t>Fuente: CINAE</w:t>
      </w:r>
    </w:p>
    <w:p w:rsidR="000817CA" w:rsidRDefault="000817CA" w:rsidP="00EC63DA">
      <w:pPr>
        <w:spacing w:after="0" w:line="240" w:lineRule="auto"/>
        <w:jc w:val="center"/>
        <w:rPr>
          <w:rFonts w:ascii="Verdana" w:hAnsi="Verdana" w:cs="Times New Roman"/>
          <w:b/>
          <w:i/>
          <w:noProof/>
          <w:sz w:val="28"/>
          <w:szCs w:val="28"/>
          <w:lang w:eastAsia="es-EC"/>
        </w:rPr>
      </w:pPr>
    </w:p>
    <w:p w:rsidR="0009427A" w:rsidRDefault="0009427A" w:rsidP="00EC63DA">
      <w:pPr>
        <w:spacing w:after="0" w:line="240" w:lineRule="auto"/>
        <w:jc w:val="center"/>
        <w:rPr>
          <w:rFonts w:ascii="Verdana" w:hAnsi="Verdana" w:cs="Times New Roman"/>
          <w:b/>
          <w:i/>
          <w:noProof/>
          <w:sz w:val="28"/>
          <w:szCs w:val="28"/>
          <w:lang w:eastAsia="es-EC"/>
        </w:rPr>
      </w:pPr>
    </w:p>
    <w:p w:rsidR="0009427A" w:rsidRPr="00EE4D50" w:rsidRDefault="0009427A" w:rsidP="00EC63DA">
      <w:pPr>
        <w:spacing w:after="0" w:line="240" w:lineRule="auto"/>
        <w:jc w:val="center"/>
        <w:rPr>
          <w:rFonts w:ascii="Verdana" w:hAnsi="Verdana" w:cs="Times New Roman"/>
          <w:b/>
          <w:i/>
          <w:noProof/>
          <w:sz w:val="28"/>
          <w:szCs w:val="28"/>
          <w:lang w:eastAsia="es-EC"/>
        </w:rPr>
      </w:pPr>
    </w:p>
    <w:p w:rsidR="000817CA" w:rsidRPr="00EE4D50" w:rsidRDefault="000817CA" w:rsidP="00EC63DA">
      <w:pPr>
        <w:spacing w:after="0" w:line="240" w:lineRule="auto"/>
        <w:jc w:val="center"/>
        <w:rPr>
          <w:rFonts w:ascii="Verdana" w:hAnsi="Verdana" w:cs="Times New Roman"/>
          <w:b/>
          <w:i/>
          <w:noProof/>
          <w:sz w:val="28"/>
          <w:szCs w:val="28"/>
          <w:lang w:eastAsia="es-EC"/>
        </w:rPr>
      </w:pPr>
    </w:p>
    <w:p w:rsidR="000817CA" w:rsidRPr="00EE4D50" w:rsidRDefault="000817CA" w:rsidP="00EC63DA">
      <w:pPr>
        <w:spacing w:after="0" w:line="240" w:lineRule="auto"/>
        <w:jc w:val="center"/>
        <w:rPr>
          <w:rFonts w:ascii="Verdana" w:hAnsi="Verdana" w:cs="Times New Roman"/>
          <w:b/>
          <w:i/>
          <w:noProof/>
          <w:sz w:val="28"/>
          <w:szCs w:val="28"/>
          <w:lang w:eastAsia="es-EC"/>
        </w:rPr>
      </w:pPr>
    </w:p>
    <w:p w:rsidR="004C7CA6" w:rsidRPr="00EE4D50" w:rsidRDefault="007014B4" w:rsidP="00EC63DA">
      <w:pPr>
        <w:pStyle w:val="Epgrafe"/>
        <w:spacing w:after="0"/>
        <w:jc w:val="center"/>
        <w:rPr>
          <w:rFonts w:ascii="Verdana" w:hAnsi="Verdana" w:cs="Times New Roman"/>
          <w:i/>
          <w:color w:val="auto"/>
          <w:sz w:val="24"/>
          <w:szCs w:val="24"/>
        </w:rPr>
      </w:pPr>
      <w:bookmarkStart w:id="125" w:name="_Toc474402328"/>
      <w:bookmarkStart w:id="126" w:name="_Toc474402386"/>
      <w:bookmarkStart w:id="127" w:name="_Toc474402477"/>
      <w:r w:rsidRPr="00EE4D50">
        <w:rPr>
          <w:rFonts w:ascii="Verdana" w:hAnsi="Verdana" w:cs="Times New Roman"/>
          <w:i/>
          <w:color w:val="auto"/>
          <w:sz w:val="24"/>
          <w:szCs w:val="24"/>
        </w:rPr>
        <w:lastRenderedPageBreak/>
        <w:t xml:space="preserve">Anexo </w:t>
      </w:r>
      <w:r w:rsidRPr="00EE4D50">
        <w:rPr>
          <w:rFonts w:ascii="Verdana" w:hAnsi="Verdana" w:cs="Times New Roman"/>
          <w:i/>
          <w:color w:val="auto"/>
          <w:sz w:val="24"/>
          <w:szCs w:val="24"/>
        </w:rPr>
        <w:fldChar w:fldCharType="begin"/>
      </w:r>
      <w:r w:rsidRPr="00EE4D50">
        <w:rPr>
          <w:rFonts w:ascii="Verdana" w:hAnsi="Verdana" w:cs="Times New Roman"/>
          <w:i/>
          <w:color w:val="auto"/>
          <w:sz w:val="24"/>
          <w:szCs w:val="24"/>
        </w:rPr>
        <w:instrText xml:space="preserve"> SEQ Anexo \* ALPHABETIC </w:instrText>
      </w:r>
      <w:r w:rsidRPr="00EE4D50">
        <w:rPr>
          <w:rFonts w:ascii="Verdana" w:hAnsi="Verdana" w:cs="Times New Roman"/>
          <w:i/>
          <w:color w:val="auto"/>
          <w:sz w:val="24"/>
          <w:szCs w:val="24"/>
        </w:rPr>
        <w:fldChar w:fldCharType="separate"/>
      </w:r>
      <w:r w:rsidR="001630A5">
        <w:rPr>
          <w:rFonts w:ascii="Verdana" w:hAnsi="Verdana" w:cs="Times New Roman"/>
          <w:i/>
          <w:noProof/>
          <w:color w:val="auto"/>
          <w:sz w:val="24"/>
          <w:szCs w:val="24"/>
        </w:rPr>
        <w:t>B</w:t>
      </w:r>
      <w:bookmarkEnd w:id="125"/>
      <w:r w:rsidRPr="00EE4D50">
        <w:rPr>
          <w:rFonts w:ascii="Verdana" w:hAnsi="Verdana" w:cs="Times New Roman"/>
          <w:i/>
          <w:color w:val="auto"/>
          <w:sz w:val="24"/>
          <w:szCs w:val="24"/>
        </w:rPr>
        <w:fldChar w:fldCharType="end"/>
      </w:r>
      <w:r w:rsidR="0020346C" w:rsidRPr="00EE4D50">
        <w:rPr>
          <w:rFonts w:ascii="Verdana" w:hAnsi="Verdana" w:cs="Times New Roman"/>
          <w:i/>
          <w:color w:val="auto"/>
          <w:sz w:val="24"/>
          <w:szCs w:val="24"/>
        </w:rPr>
        <w:t xml:space="preserve">: </w:t>
      </w:r>
      <w:r w:rsidR="004C7CA6" w:rsidRPr="00EE4D50">
        <w:rPr>
          <w:rFonts w:ascii="Verdana" w:hAnsi="Verdana" w:cs="Times New Roman"/>
          <w:b w:val="0"/>
          <w:i/>
          <w:noProof/>
          <w:color w:val="auto"/>
          <w:sz w:val="24"/>
          <w:szCs w:val="24"/>
          <w:lang w:eastAsia="es-EC"/>
        </w:rPr>
        <w:t>Lista de las partes y piezas</w:t>
      </w:r>
      <w:bookmarkEnd w:id="126"/>
      <w:bookmarkEnd w:id="127"/>
    </w:p>
    <w:p w:rsidR="004C7CA6" w:rsidRPr="00EE4D50" w:rsidRDefault="004C7CA6" w:rsidP="00EC63DA">
      <w:pPr>
        <w:pStyle w:val="Textocomentario"/>
        <w:spacing w:after="60" w:line="276" w:lineRule="auto"/>
        <w:ind w:left="706" w:hanging="706"/>
        <w:jc w:val="center"/>
        <w:rPr>
          <w:rFonts w:ascii="Verdana" w:hAnsi="Verdana" w:cs="Times New Roman"/>
          <w:b/>
          <w:i/>
          <w:noProof/>
          <w:sz w:val="28"/>
          <w:szCs w:val="28"/>
          <w:lang w:eastAsia="es-EC"/>
        </w:rPr>
      </w:pPr>
    </w:p>
    <w:p w:rsidR="004C7CA6" w:rsidRPr="00EE4D50" w:rsidRDefault="004C7CA6" w:rsidP="00EC63DA">
      <w:pPr>
        <w:jc w:val="both"/>
        <w:rPr>
          <w:rFonts w:ascii="Verdana" w:hAnsi="Verdana" w:cs="Times New Roman"/>
          <w:b/>
        </w:rPr>
      </w:pPr>
      <w:r w:rsidRPr="00EE4D50">
        <w:rPr>
          <w:rFonts w:ascii="Verdana" w:hAnsi="Verdana" w:cs="Times New Roman"/>
          <w:noProof/>
          <w:lang w:eastAsia="es-EC"/>
        </w:rPr>
        <w:drawing>
          <wp:inline distT="0" distB="0" distL="0" distR="0" wp14:anchorId="43218332" wp14:editId="77B2F4B2">
            <wp:extent cx="5612130" cy="6967499"/>
            <wp:effectExtent l="0" t="0" r="7620" b="508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3"/>
                    <a:srcRect l="45118" t="13033" r="4558" b="8870"/>
                    <a:stretch/>
                  </pic:blipFill>
                  <pic:spPr bwMode="auto">
                    <a:xfrm>
                      <a:off x="0" y="0"/>
                      <a:ext cx="5612130" cy="6967499"/>
                    </a:xfrm>
                    <a:prstGeom prst="rect">
                      <a:avLst/>
                    </a:prstGeom>
                    <a:ln>
                      <a:noFill/>
                    </a:ln>
                    <a:extLst>
                      <a:ext uri="{53640926-AAD7-44D8-BBD7-CCE9431645EC}">
                        <a14:shadowObscured xmlns:a14="http://schemas.microsoft.com/office/drawing/2010/main"/>
                      </a:ext>
                    </a:extLst>
                  </pic:spPr>
                </pic:pic>
              </a:graphicData>
            </a:graphic>
          </wp:inline>
        </w:drawing>
      </w:r>
    </w:p>
    <w:p w:rsidR="004C7CA6" w:rsidRPr="00EE4D50" w:rsidRDefault="004C7CA6" w:rsidP="00EC63DA">
      <w:pPr>
        <w:spacing w:after="0" w:line="240" w:lineRule="auto"/>
        <w:jc w:val="both"/>
        <w:rPr>
          <w:rFonts w:ascii="Verdana" w:hAnsi="Verdana" w:cs="Times New Roman"/>
          <w:b/>
        </w:rPr>
      </w:pPr>
      <w:r w:rsidRPr="00EE4D50">
        <w:rPr>
          <w:rFonts w:ascii="Verdana" w:hAnsi="Verdana" w:cs="Times New Roman"/>
          <w:noProof/>
          <w:lang w:eastAsia="es-EC"/>
        </w:rPr>
        <w:lastRenderedPageBreak/>
        <w:drawing>
          <wp:inline distT="0" distB="0" distL="0" distR="0" wp14:anchorId="27624135" wp14:editId="7F6C6159">
            <wp:extent cx="5667375" cy="6934200"/>
            <wp:effectExtent l="0" t="0" r="952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4"/>
                    <a:srcRect l="2843" t="9241" r="46871" b="13848"/>
                    <a:stretch/>
                  </pic:blipFill>
                  <pic:spPr bwMode="auto">
                    <a:xfrm>
                      <a:off x="0" y="0"/>
                      <a:ext cx="5673789" cy="6942048"/>
                    </a:xfrm>
                    <a:prstGeom prst="rect">
                      <a:avLst/>
                    </a:prstGeom>
                    <a:ln>
                      <a:noFill/>
                    </a:ln>
                    <a:extLst>
                      <a:ext uri="{53640926-AAD7-44D8-BBD7-CCE9431645EC}">
                        <a14:shadowObscured xmlns:a14="http://schemas.microsoft.com/office/drawing/2010/main"/>
                      </a:ext>
                    </a:extLst>
                  </pic:spPr>
                </pic:pic>
              </a:graphicData>
            </a:graphic>
          </wp:inline>
        </w:drawing>
      </w:r>
    </w:p>
    <w:p w:rsidR="00522B72" w:rsidRPr="0009427A" w:rsidRDefault="0009427A" w:rsidP="00EC63DA">
      <w:pPr>
        <w:pStyle w:val="Default"/>
        <w:ind w:left="706" w:hanging="706"/>
        <w:jc w:val="both"/>
        <w:rPr>
          <w:rFonts w:ascii="Verdana" w:hAnsi="Verdana" w:cs="Times New Roman"/>
          <w:sz w:val="20"/>
          <w:szCs w:val="20"/>
        </w:rPr>
      </w:pPr>
      <w:r>
        <w:rPr>
          <w:rFonts w:ascii="Verdana" w:hAnsi="Verdana" w:cs="Times New Roman"/>
          <w:sz w:val="22"/>
          <w:szCs w:val="22"/>
        </w:rPr>
        <w:t xml:space="preserve">  </w:t>
      </w:r>
      <w:r w:rsidRPr="0009427A">
        <w:rPr>
          <w:rFonts w:ascii="Verdana" w:hAnsi="Verdana" w:cs="Times New Roman"/>
          <w:sz w:val="20"/>
          <w:szCs w:val="20"/>
        </w:rPr>
        <w:t>Fuente: CINAE (2017b)</w:t>
      </w:r>
    </w:p>
    <w:p w:rsidR="00522B72" w:rsidRPr="00EE4D50" w:rsidRDefault="00522B72" w:rsidP="00EC63DA">
      <w:pPr>
        <w:pStyle w:val="Default"/>
        <w:ind w:left="706" w:hanging="706"/>
        <w:jc w:val="both"/>
        <w:rPr>
          <w:rFonts w:ascii="Verdana" w:hAnsi="Verdana" w:cs="Times New Roman"/>
          <w:sz w:val="22"/>
          <w:szCs w:val="22"/>
        </w:rPr>
      </w:pPr>
    </w:p>
    <w:p w:rsidR="00522B72" w:rsidRPr="00EE4D50" w:rsidRDefault="00522B72" w:rsidP="00EC63DA">
      <w:pPr>
        <w:pStyle w:val="Default"/>
        <w:spacing w:after="60" w:line="276" w:lineRule="auto"/>
        <w:ind w:left="706" w:hanging="706"/>
        <w:jc w:val="both"/>
        <w:rPr>
          <w:rFonts w:ascii="Verdana" w:hAnsi="Verdana" w:cs="Times New Roman"/>
          <w:sz w:val="22"/>
          <w:szCs w:val="22"/>
        </w:rPr>
      </w:pPr>
    </w:p>
    <w:p w:rsidR="005B142F" w:rsidRPr="00EE4D50" w:rsidRDefault="005B142F" w:rsidP="00EC63DA">
      <w:pPr>
        <w:spacing w:line="360" w:lineRule="auto"/>
        <w:jc w:val="both"/>
        <w:rPr>
          <w:rFonts w:ascii="Verdana" w:hAnsi="Verdana" w:cs="Times New Roman"/>
        </w:rPr>
      </w:pPr>
    </w:p>
    <w:sectPr w:rsidR="005B142F" w:rsidRPr="00EE4D50" w:rsidSect="00EC63DA">
      <w:footerReference w:type="default" r:id="rId45"/>
      <w:pgSz w:w="11907" w:h="16840" w:code="9"/>
      <w:pgMar w:top="1418" w:right="1418" w:bottom="1418"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47B7" w:rsidRDefault="00A047B7" w:rsidP="00BB07EF">
      <w:pPr>
        <w:spacing w:after="0" w:line="240" w:lineRule="auto"/>
      </w:pPr>
      <w:r>
        <w:separator/>
      </w:r>
    </w:p>
  </w:endnote>
  <w:endnote w:type="continuationSeparator" w:id="0">
    <w:p w:rsidR="00A047B7" w:rsidRDefault="00A047B7" w:rsidP="00BB07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Rotis Semi Serif Std">
    <w:altName w:val="Rotis Semi Serif Std"/>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3281473"/>
      <w:docPartObj>
        <w:docPartGallery w:val="Page Numbers (Bottom of Page)"/>
        <w:docPartUnique/>
      </w:docPartObj>
    </w:sdtPr>
    <w:sdtEndPr/>
    <w:sdtContent>
      <w:p w:rsidR="00A047B7" w:rsidRDefault="00A047B7">
        <w:pPr>
          <w:pStyle w:val="Piedepgina"/>
          <w:jc w:val="right"/>
        </w:pPr>
        <w:r w:rsidRPr="00C52826">
          <w:rPr>
            <w:rFonts w:ascii="Times New Roman" w:hAnsi="Times New Roman" w:cs="Times New Roman"/>
            <w:b/>
            <w:sz w:val="16"/>
          </w:rPr>
          <w:fldChar w:fldCharType="begin"/>
        </w:r>
        <w:r w:rsidRPr="00C52826">
          <w:rPr>
            <w:rFonts w:ascii="Times New Roman" w:hAnsi="Times New Roman" w:cs="Times New Roman"/>
            <w:b/>
            <w:sz w:val="16"/>
          </w:rPr>
          <w:instrText>PAGE   \* MERGEFORMAT</w:instrText>
        </w:r>
        <w:r w:rsidRPr="00C52826">
          <w:rPr>
            <w:rFonts w:ascii="Times New Roman" w:hAnsi="Times New Roman" w:cs="Times New Roman"/>
            <w:b/>
            <w:sz w:val="16"/>
          </w:rPr>
          <w:fldChar w:fldCharType="separate"/>
        </w:r>
        <w:r w:rsidR="001630A5" w:rsidRPr="001630A5">
          <w:rPr>
            <w:rFonts w:ascii="Times New Roman" w:hAnsi="Times New Roman" w:cs="Times New Roman"/>
            <w:b/>
            <w:noProof/>
            <w:sz w:val="16"/>
            <w:lang w:val="es-ES"/>
          </w:rPr>
          <w:t>5</w:t>
        </w:r>
        <w:r w:rsidRPr="00C52826">
          <w:rPr>
            <w:rFonts w:ascii="Times New Roman" w:hAnsi="Times New Roman" w:cs="Times New Roman"/>
            <w:b/>
            <w:sz w:val="16"/>
          </w:rPr>
          <w:fldChar w:fldCharType="end"/>
        </w:r>
      </w:p>
    </w:sdtContent>
  </w:sdt>
  <w:p w:rsidR="00A047B7" w:rsidRDefault="00A047B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47B7" w:rsidRDefault="00A047B7" w:rsidP="00BB07EF">
      <w:pPr>
        <w:spacing w:after="0" w:line="240" w:lineRule="auto"/>
      </w:pPr>
      <w:r>
        <w:separator/>
      </w:r>
    </w:p>
  </w:footnote>
  <w:footnote w:type="continuationSeparator" w:id="0">
    <w:p w:rsidR="00A047B7" w:rsidRDefault="00A047B7" w:rsidP="00BB07EF">
      <w:pPr>
        <w:spacing w:after="0" w:line="240" w:lineRule="auto"/>
      </w:pPr>
      <w:r>
        <w:continuationSeparator/>
      </w:r>
    </w:p>
  </w:footnote>
  <w:footnote w:id="1">
    <w:p w:rsidR="00A047B7" w:rsidRPr="00FC75BF" w:rsidRDefault="00A047B7" w:rsidP="0019331A">
      <w:pPr>
        <w:pStyle w:val="Textonotapie"/>
        <w:ind w:left="142" w:hanging="142"/>
        <w:jc w:val="both"/>
        <w:rPr>
          <w:rFonts w:ascii="Verdana" w:hAnsi="Verdana"/>
          <w:sz w:val="18"/>
          <w:szCs w:val="18"/>
        </w:rPr>
      </w:pPr>
      <w:r w:rsidRPr="00FC75BF">
        <w:rPr>
          <w:rStyle w:val="Refdenotaalpie"/>
          <w:rFonts w:ascii="Verdana" w:hAnsi="Verdana"/>
          <w:sz w:val="18"/>
          <w:szCs w:val="18"/>
        </w:rPr>
        <w:footnoteRef/>
      </w:r>
      <w:r w:rsidRPr="00FC75BF">
        <w:rPr>
          <w:rFonts w:ascii="Verdana" w:hAnsi="Verdana"/>
          <w:sz w:val="18"/>
          <w:szCs w:val="18"/>
        </w:rPr>
        <w:t xml:space="preserve"> Adam Smith (1723 - 1790): economista y filósofo escocés, uno de los principales exponentes de la Escuela Clásica, y considerado el padre de la ciencia económica. Su obra más importante fue “Ensayo sobre la naturaleza y las causas de la riqueza de las naciones” (1776).</w:t>
      </w:r>
    </w:p>
  </w:footnote>
  <w:footnote w:id="2">
    <w:p w:rsidR="00A047B7" w:rsidRPr="00FC75BF" w:rsidRDefault="00A047B7" w:rsidP="0019331A">
      <w:pPr>
        <w:pStyle w:val="Textonotapie"/>
        <w:ind w:left="142" w:hanging="142"/>
        <w:jc w:val="both"/>
        <w:rPr>
          <w:rFonts w:ascii="Verdana" w:hAnsi="Verdana"/>
          <w:sz w:val="18"/>
          <w:szCs w:val="18"/>
        </w:rPr>
      </w:pPr>
      <w:r w:rsidRPr="00FC75BF">
        <w:rPr>
          <w:rStyle w:val="Refdenotaalpie"/>
          <w:rFonts w:ascii="Verdana" w:hAnsi="Verdana"/>
          <w:sz w:val="18"/>
          <w:szCs w:val="18"/>
        </w:rPr>
        <w:footnoteRef/>
      </w:r>
      <w:r w:rsidRPr="00FC75BF">
        <w:rPr>
          <w:rFonts w:ascii="Verdana" w:hAnsi="Verdana"/>
          <w:sz w:val="18"/>
          <w:szCs w:val="18"/>
        </w:rPr>
        <w:t xml:space="preserve"> David Ricardo (1772-1823): economista inglés, quien fue exponente de la escuela clásica con sus argumentaciones sobre la ley de los rendimientos decrecientes. Su principal obra fue “Principios de Economía Política y Tributación” (1817).</w:t>
      </w:r>
    </w:p>
  </w:footnote>
  <w:footnote w:id="3">
    <w:p w:rsidR="00A047B7" w:rsidRPr="00FC75BF" w:rsidRDefault="00A047B7" w:rsidP="0019331A">
      <w:pPr>
        <w:pStyle w:val="Textonotapie"/>
        <w:ind w:left="142" w:hanging="142"/>
        <w:jc w:val="both"/>
        <w:rPr>
          <w:rFonts w:ascii="Verdana" w:hAnsi="Verdana"/>
          <w:sz w:val="18"/>
          <w:szCs w:val="18"/>
        </w:rPr>
      </w:pPr>
      <w:r w:rsidRPr="00FC75BF">
        <w:rPr>
          <w:rStyle w:val="Refdenotaalpie"/>
          <w:rFonts w:ascii="Verdana" w:hAnsi="Verdana"/>
          <w:sz w:val="18"/>
          <w:szCs w:val="18"/>
        </w:rPr>
        <w:footnoteRef/>
      </w:r>
      <w:r w:rsidRPr="00FC75BF">
        <w:rPr>
          <w:rFonts w:ascii="Verdana" w:hAnsi="Verdana"/>
          <w:sz w:val="18"/>
          <w:szCs w:val="18"/>
        </w:rPr>
        <w:t xml:space="preserve"> La CEPAL, como institución adopto un punto de vista regional que se oponía a la industrialización de un solo país. Es decir, se quería una coordinación regional; y las limitaciones de un país por su producción se superaría con una integración regional. Debido a esto, el supuesto de un país pequeño en los modelos tradicionales no era aplicable porque las ganancias de mercado de un país a costos de otro no se consideraba aumento de bienestar desde el punto de vista de región en su conjunto (Fitzgerald, 1998).</w:t>
      </w:r>
    </w:p>
  </w:footnote>
  <w:footnote w:id="4">
    <w:p w:rsidR="00A047B7" w:rsidRPr="00FC75BF" w:rsidRDefault="00A047B7" w:rsidP="0019331A">
      <w:pPr>
        <w:pStyle w:val="Textonotapie"/>
        <w:ind w:left="142" w:hanging="142"/>
        <w:jc w:val="both"/>
        <w:rPr>
          <w:rFonts w:ascii="Verdana" w:hAnsi="Verdana"/>
          <w:sz w:val="18"/>
          <w:szCs w:val="18"/>
        </w:rPr>
      </w:pPr>
      <w:r w:rsidRPr="00FC75BF">
        <w:rPr>
          <w:rStyle w:val="Refdenotaalpie"/>
          <w:rFonts w:ascii="Verdana" w:hAnsi="Verdana"/>
          <w:sz w:val="18"/>
          <w:szCs w:val="18"/>
        </w:rPr>
        <w:footnoteRef/>
      </w:r>
      <w:r w:rsidRPr="00FC75BF">
        <w:rPr>
          <w:rFonts w:ascii="Verdana" w:hAnsi="Verdana"/>
          <w:sz w:val="18"/>
          <w:szCs w:val="18"/>
        </w:rPr>
        <w:t xml:space="preserve"> Hipótesis de la tendencia secular al deterioro de los términos de intercambio entre materias primas y alimentos, por un lado, y bienes industrializados por el otro. Dada la especialización de los países en desarrollo en la producción de materias primas y alimentos, la tendencia al deterioro de los precios de estos productos llevaría a la tendencia al deterioro de los términos de intercambio de estos países. Esto quiere decir que de mantenerse estables los volúmenes exportados de los países en desarrollo, su capacidad de compra de bienes y servicios desde el exterior, es decir, su capacidad de importar, se vería disminuida con el correr del tiempo (CEPAL, 2012) (link para la bibliografía: Términos de Intercambio, Raúl Prebisch y los desafíos del Siglo XXI. http://prebisch.cepal.org/es/sigloXXI/terminos-intercambio)</w:t>
      </w:r>
    </w:p>
  </w:footnote>
  <w:footnote w:id="5">
    <w:p w:rsidR="00A047B7" w:rsidRPr="00FC75BF" w:rsidRDefault="00A047B7" w:rsidP="0019331A">
      <w:pPr>
        <w:pStyle w:val="Textonotapie"/>
        <w:ind w:left="142" w:hanging="142"/>
        <w:jc w:val="both"/>
        <w:rPr>
          <w:rFonts w:ascii="Verdana" w:hAnsi="Verdana"/>
          <w:sz w:val="18"/>
          <w:szCs w:val="18"/>
        </w:rPr>
      </w:pPr>
      <w:r w:rsidRPr="00FC75BF">
        <w:rPr>
          <w:rStyle w:val="Refdenotaalpie"/>
          <w:rFonts w:ascii="Verdana" w:hAnsi="Verdana"/>
          <w:sz w:val="18"/>
          <w:szCs w:val="18"/>
        </w:rPr>
        <w:footnoteRef/>
      </w:r>
      <w:r w:rsidRPr="00FC75BF">
        <w:rPr>
          <w:rFonts w:ascii="Verdana" w:hAnsi="Verdana"/>
          <w:sz w:val="18"/>
          <w:szCs w:val="18"/>
        </w:rPr>
        <w:t xml:space="preserve"> Furtado identifica dos etapas de industrialización: La etapa inicial, con la sustitución de bienes de consumo masivo no duraderos e insumos básicos con protección aduanera, insumos completos y bienes de capital, con un mercado interno, amplio crédito e inversión y tecnología. La etapa avanzada, con la sustitución de bienes de consumo duraderos, bienes de capital e insumos complejos. Estas etapas se enfrentarían a un mercado difícil conformado por exportadores primarios, consumidores de elite, que requerían una inversión en tecnología, con un respaldo del gobierno y calidad con los proveedores externos.</w:t>
      </w:r>
    </w:p>
  </w:footnote>
  <w:footnote w:id="6">
    <w:p w:rsidR="00A047B7" w:rsidRPr="00FC75BF" w:rsidRDefault="00A047B7" w:rsidP="0019331A">
      <w:pPr>
        <w:pStyle w:val="Textonotapie"/>
        <w:ind w:left="142" w:hanging="142"/>
        <w:jc w:val="both"/>
        <w:rPr>
          <w:rFonts w:ascii="Verdana" w:hAnsi="Verdana"/>
          <w:sz w:val="18"/>
          <w:szCs w:val="18"/>
        </w:rPr>
      </w:pPr>
      <w:r w:rsidRPr="00FC75BF">
        <w:rPr>
          <w:rStyle w:val="Refdenotaalpie"/>
          <w:rFonts w:ascii="Verdana" w:hAnsi="Verdana"/>
          <w:sz w:val="18"/>
          <w:szCs w:val="18"/>
        </w:rPr>
        <w:footnoteRef/>
      </w:r>
      <w:r w:rsidRPr="00FC75BF">
        <w:rPr>
          <w:rFonts w:ascii="Verdana" w:hAnsi="Verdana"/>
          <w:sz w:val="18"/>
          <w:szCs w:val="18"/>
        </w:rPr>
        <w:t>El esquema fundamentado en la planificación del desarrollo de los años 60 dio origen a las Leyes de Fomento Industrial para el sector automotriz emitido en 1971 con el objetivo de estimular a los sectores considerados como prioritarios a través de mecanismos creados por el propio Estado.</w:t>
      </w:r>
    </w:p>
  </w:footnote>
  <w:footnote w:id="7">
    <w:p w:rsidR="00A047B7" w:rsidRDefault="00A047B7" w:rsidP="00354EBB">
      <w:pPr>
        <w:pStyle w:val="Textonotapie"/>
      </w:pPr>
      <w:r>
        <w:rPr>
          <w:rStyle w:val="Refdenotaalpie"/>
        </w:rPr>
        <w:footnoteRef/>
      </w:r>
      <w:r>
        <w:t xml:space="preserve"> </w:t>
      </w:r>
      <w:r w:rsidRPr="00E13A19">
        <w:t>Esta categoría de vehículos corresponden a los livianos, los cuales son estudiados en la presente investigación.</w:t>
      </w:r>
    </w:p>
  </w:footnote>
  <w:footnote w:id="8">
    <w:p w:rsidR="00A047B7" w:rsidRDefault="00A047B7" w:rsidP="0019331A">
      <w:pPr>
        <w:pStyle w:val="Textonotapie"/>
        <w:jc w:val="both"/>
      </w:pPr>
      <w:r>
        <w:rPr>
          <w:rStyle w:val="Refdenotaalpie"/>
        </w:rPr>
        <w:footnoteRef/>
      </w:r>
      <w:r>
        <w:t xml:space="preserve"> Según Hidrobo (2004), u</w:t>
      </w:r>
      <w:r w:rsidRPr="009714C7">
        <w:t>no de los mecanismos importantes que tuvo el sector automotriz para atraer demanda efectiva fue el financiamiento, debido a que el 65% de las ventas se realizan a crédito, el repunte experimentado por el sector automotor incidió para que el sistema bancario nacional haga hincapié en los programas de financiamiento para la adquisición de vehículos, a través de una mínima cuota inicial, intereses fijos y plazos extendidos que duran 60 meses, esta es una de las muchas ventajas que usan las entidades bancarias para atraer la captación de sus clientes. Algunas entidades ofrecían intereses de menos de 18%, de las cuales, al ser amortizadas podían bajar aún más.</w:t>
      </w:r>
    </w:p>
  </w:footnote>
  <w:footnote w:id="9">
    <w:p w:rsidR="00A047B7" w:rsidRDefault="00A047B7" w:rsidP="0019331A">
      <w:pPr>
        <w:pStyle w:val="Textonotapie"/>
        <w:jc w:val="both"/>
      </w:pPr>
      <w:r>
        <w:rPr>
          <w:rStyle w:val="Refdenotaalpie"/>
        </w:rPr>
        <w:footnoteRef/>
      </w:r>
      <w:r>
        <w:t xml:space="preserve"> En el año 2002 del total de las 69.242 vehículos vendidos, los más destacados fueron </w:t>
      </w:r>
      <w:r w:rsidRPr="00AC1DAC">
        <w:t xml:space="preserve">los automóviles, en especial los sedan y hatchback; luego, en las camionetas fueron la doble cabina y en los todoterreno los más destacados fueron los de 5 puertas. Las importaciones de estos vehículos se concentraron desde Colombia </w:t>
      </w:r>
      <w:r>
        <w:t>con un 21,1%,  Korea con un 16</w:t>
      </w:r>
      <w:r w:rsidRPr="00AC1DAC">
        <w:t>%, Japón con</w:t>
      </w:r>
      <w:r>
        <w:t xml:space="preserve"> un 11,8 % y Brasil con un 8%.</w:t>
      </w:r>
    </w:p>
    <w:p w:rsidR="00A047B7" w:rsidRDefault="00A047B7" w:rsidP="00BB07EF">
      <w:pPr>
        <w:pStyle w:val="Textonotapie"/>
      </w:pPr>
    </w:p>
  </w:footnote>
  <w:footnote w:id="10">
    <w:p w:rsidR="00A047B7" w:rsidRPr="00FC75BF" w:rsidRDefault="00A047B7" w:rsidP="0019331A">
      <w:pPr>
        <w:pStyle w:val="Textonotapie"/>
        <w:ind w:left="142" w:hanging="142"/>
        <w:jc w:val="both"/>
        <w:rPr>
          <w:rFonts w:ascii="Verdana" w:hAnsi="Verdana"/>
          <w:sz w:val="18"/>
          <w:szCs w:val="18"/>
          <w:lang w:val="es-ES"/>
        </w:rPr>
      </w:pPr>
      <w:r w:rsidRPr="00FC75BF">
        <w:rPr>
          <w:rStyle w:val="Refdenotaalpie"/>
          <w:rFonts w:ascii="Verdana" w:hAnsi="Verdana"/>
          <w:sz w:val="18"/>
          <w:szCs w:val="18"/>
        </w:rPr>
        <w:footnoteRef/>
      </w:r>
      <w:r w:rsidRPr="00FC75BF">
        <w:rPr>
          <w:rFonts w:ascii="Verdana" w:hAnsi="Verdana"/>
          <w:sz w:val="18"/>
          <w:szCs w:val="18"/>
        </w:rPr>
        <w:t xml:space="preserve"> Los vehículos pesados comprenden a los camiones y buses</w:t>
      </w:r>
    </w:p>
  </w:footnote>
  <w:footnote w:id="11">
    <w:p w:rsidR="00A047B7" w:rsidRPr="00FC75BF" w:rsidRDefault="00A047B7" w:rsidP="0019331A">
      <w:pPr>
        <w:pStyle w:val="Textonotapie"/>
        <w:ind w:left="142" w:hanging="142"/>
        <w:jc w:val="both"/>
        <w:rPr>
          <w:rFonts w:ascii="Verdana" w:hAnsi="Verdana"/>
          <w:sz w:val="18"/>
          <w:szCs w:val="18"/>
          <w:lang w:val="es-ES"/>
        </w:rPr>
      </w:pPr>
      <w:r w:rsidRPr="00FC75BF">
        <w:rPr>
          <w:rStyle w:val="Refdenotaalpie"/>
          <w:rFonts w:ascii="Verdana" w:hAnsi="Verdana"/>
          <w:sz w:val="18"/>
          <w:szCs w:val="18"/>
        </w:rPr>
        <w:footnoteRef/>
      </w:r>
      <w:r w:rsidRPr="00FC75BF">
        <w:rPr>
          <w:rFonts w:ascii="Verdana" w:hAnsi="Verdana"/>
          <w:sz w:val="18"/>
          <w:szCs w:val="18"/>
        </w:rPr>
        <w:t xml:space="preserve"> Dentro de la industria automovilística, el CKD es el conjunto de partes despachado, según los programas de fabricación, a fábricas en otros lugares del mundo, para satisfacer a un mercado específico. Las piezas son presentadas en primera instancia como "importación de partes de automóvil", no computando así en los límites impuestos de importación de vehículos por algunos gobiernos, y con otra ventaja, que es la generación de empleo en el país de destino (Miller, 2000).</w:t>
      </w:r>
    </w:p>
  </w:footnote>
  <w:footnote w:id="12">
    <w:p w:rsidR="00A047B7" w:rsidRPr="00FC75BF" w:rsidRDefault="00A047B7" w:rsidP="0019331A">
      <w:pPr>
        <w:pStyle w:val="Textonotapie"/>
        <w:ind w:left="142" w:hanging="142"/>
        <w:jc w:val="both"/>
        <w:rPr>
          <w:rFonts w:ascii="Verdana" w:hAnsi="Verdana"/>
          <w:sz w:val="18"/>
          <w:szCs w:val="18"/>
        </w:rPr>
      </w:pPr>
      <w:r w:rsidRPr="00FC75BF">
        <w:rPr>
          <w:rStyle w:val="Refdenotaalpie"/>
          <w:rFonts w:ascii="Verdana" w:hAnsi="Verdana"/>
          <w:sz w:val="18"/>
          <w:szCs w:val="18"/>
        </w:rPr>
        <w:footnoteRef/>
      </w:r>
      <w:r w:rsidRPr="00FC75BF">
        <w:rPr>
          <w:rFonts w:ascii="Verdana" w:hAnsi="Verdana"/>
          <w:sz w:val="18"/>
          <w:szCs w:val="18"/>
        </w:rPr>
        <w:t xml:space="preserve"> Los anuarios de la AEADE se encuentran disponibles en: http://www.aeade.net/anuario/</w:t>
      </w:r>
    </w:p>
  </w:footnote>
  <w:footnote w:id="13">
    <w:p w:rsidR="00A047B7" w:rsidRPr="00FC75BF" w:rsidRDefault="00A047B7" w:rsidP="00FC75BF">
      <w:pPr>
        <w:pStyle w:val="Textonotapie"/>
        <w:ind w:left="142" w:hanging="142"/>
        <w:jc w:val="both"/>
        <w:rPr>
          <w:rFonts w:ascii="Verdana" w:hAnsi="Verdana"/>
          <w:sz w:val="18"/>
          <w:szCs w:val="18"/>
        </w:rPr>
      </w:pPr>
      <w:r w:rsidRPr="00FC75BF">
        <w:rPr>
          <w:rStyle w:val="Refdenotaalpie"/>
          <w:rFonts w:ascii="Verdana" w:hAnsi="Verdana"/>
          <w:sz w:val="18"/>
          <w:szCs w:val="18"/>
        </w:rPr>
        <w:footnoteRef/>
      </w:r>
      <w:r w:rsidRPr="00FC75BF">
        <w:rPr>
          <w:rFonts w:ascii="Verdana" w:hAnsi="Verdana"/>
          <w:sz w:val="18"/>
          <w:szCs w:val="18"/>
        </w:rPr>
        <w:t xml:space="preserve"> El VAB proviene de la producción bruta menos el consumo intermedio de las industrias.</w:t>
      </w:r>
    </w:p>
  </w:footnote>
  <w:footnote w:id="14">
    <w:p w:rsidR="00A047B7" w:rsidRPr="00FC75BF" w:rsidRDefault="00A047B7" w:rsidP="00FC75BF">
      <w:pPr>
        <w:pStyle w:val="Textonotapie"/>
        <w:ind w:left="142" w:hanging="142"/>
        <w:jc w:val="both"/>
        <w:rPr>
          <w:rFonts w:ascii="Verdana" w:hAnsi="Verdana"/>
          <w:sz w:val="18"/>
          <w:szCs w:val="18"/>
        </w:rPr>
      </w:pPr>
      <w:r w:rsidRPr="00FC75BF">
        <w:rPr>
          <w:rStyle w:val="Refdenotaalpie"/>
          <w:rFonts w:ascii="Verdana" w:hAnsi="Verdana"/>
          <w:sz w:val="18"/>
          <w:szCs w:val="18"/>
        </w:rPr>
        <w:footnoteRef/>
      </w:r>
      <w:r w:rsidRPr="00FC75BF">
        <w:rPr>
          <w:rFonts w:ascii="Verdana" w:hAnsi="Verdana"/>
          <w:sz w:val="18"/>
          <w:szCs w:val="18"/>
        </w:rPr>
        <w:t xml:space="preserve"> Según el Banco Central del Ecuador , los otros elementos del PIB están constituidos por el IVA al comercio interno y externo, derechos arancelarios, ICE, otros impuestos sobre los productos y los subsidios sobre productos (en el caso de los derivados de petróleo los OE PIB son negativos debido que los montos de subsidios pagados por la economía son más altos que las recaudaciones recibidas por impuestos (IVA), en la comercialización interna de GLP, Diesel, Gasolinas y otros derivados); los OE PIB no incluyen el impuesto a la renta.</w:t>
      </w:r>
    </w:p>
  </w:footnote>
  <w:footnote w:id="15">
    <w:p w:rsidR="00A047B7" w:rsidRDefault="00A047B7" w:rsidP="00FC75BF">
      <w:pPr>
        <w:pStyle w:val="Textonotapie"/>
        <w:ind w:left="142" w:hanging="142"/>
        <w:jc w:val="both"/>
      </w:pPr>
      <w:r w:rsidRPr="00FC75BF">
        <w:rPr>
          <w:rStyle w:val="Refdenotaalpie"/>
          <w:rFonts w:ascii="Verdana" w:hAnsi="Verdana"/>
          <w:sz w:val="18"/>
          <w:szCs w:val="18"/>
        </w:rPr>
        <w:footnoteRef/>
      </w:r>
      <w:r w:rsidRPr="00FC75BF">
        <w:rPr>
          <w:rFonts w:ascii="Verdana" w:hAnsi="Verdana"/>
          <w:sz w:val="18"/>
          <w:szCs w:val="18"/>
        </w:rPr>
        <w:t xml:space="preserve"> De acuerdo al Banco Central del Ecuador (2016), la clasificación de productos CPCN correspondiente a equipo de transporte es 030 al primer nivel. Luego a segundo nivel es la fabricación de equipo de transporte con código 030001; y al tercer nivel de clasificación están los vehículos automotores con código 030001001 y otro equipo y material de transporte con código 030001009.</w:t>
      </w:r>
    </w:p>
  </w:footnote>
  <w:footnote w:id="16">
    <w:p w:rsidR="00A047B7" w:rsidRPr="00EE4D50" w:rsidRDefault="00A047B7" w:rsidP="0019331A">
      <w:pPr>
        <w:pStyle w:val="Textonotapie"/>
        <w:ind w:left="142" w:hanging="142"/>
        <w:jc w:val="both"/>
        <w:rPr>
          <w:rFonts w:ascii="Verdana" w:hAnsi="Verdana"/>
          <w:sz w:val="18"/>
          <w:szCs w:val="18"/>
        </w:rPr>
      </w:pPr>
      <w:r w:rsidRPr="00EE4D50">
        <w:rPr>
          <w:rStyle w:val="Refdenotaalpie"/>
          <w:rFonts w:ascii="Verdana" w:hAnsi="Verdana"/>
          <w:sz w:val="18"/>
          <w:szCs w:val="18"/>
        </w:rPr>
        <w:footnoteRef/>
      </w:r>
      <w:r w:rsidRPr="00EE4D50">
        <w:rPr>
          <w:rFonts w:ascii="Verdana" w:hAnsi="Verdana"/>
          <w:sz w:val="18"/>
          <w:szCs w:val="18"/>
        </w:rPr>
        <w:t xml:space="preserve"> Según el Banco Central del Ecuador (2015), la Formación Bruta de Capital Fijo (FBKF) corresponde a la inversión de un país, representada por la variación de los activos fijos no financieros tanto públicos como privados, (total de adquisiciones menos ventas de activos fijos), en un período de tiempo determinado. La FBKF es considerada como un motor de crecimiento económico debido a que permite incrementar la capacidad productiva de un país por varios años.</w:t>
      </w:r>
    </w:p>
  </w:footnote>
  <w:footnote w:id="17">
    <w:p w:rsidR="00A047B7" w:rsidRDefault="00A047B7" w:rsidP="0019331A">
      <w:pPr>
        <w:pStyle w:val="Textonotapie"/>
        <w:ind w:left="142" w:hanging="142"/>
        <w:jc w:val="both"/>
      </w:pPr>
      <w:r w:rsidRPr="00EE4D50">
        <w:rPr>
          <w:rStyle w:val="Refdenotaalpie"/>
          <w:rFonts w:ascii="Verdana" w:hAnsi="Verdana"/>
          <w:sz w:val="18"/>
          <w:szCs w:val="18"/>
        </w:rPr>
        <w:footnoteRef/>
      </w:r>
      <w:r w:rsidRPr="00EE4D50">
        <w:rPr>
          <w:rFonts w:ascii="Verdana" w:hAnsi="Verdana"/>
          <w:sz w:val="18"/>
          <w:szCs w:val="18"/>
        </w:rPr>
        <w:t xml:space="preserve"> Según AMIA (2015), los vehículos mexicanos representaron el 11,5% del total de vehículos ligeros vendidos en Estados Unidos, al exportarse 1.993.162 unidades</w:t>
      </w:r>
      <w:r>
        <w:t>.</w:t>
      </w:r>
    </w:p>
  </w:footnote>
  <w:footnote w:id="18">
    <w:p w:rsidR="00A047B7" w:rsidRPr="00EE4D50" w:rsidRDefault="00A047B7" w:rsidP="0019331A">
      <w:pPr>
        <w:pStyle w:val="Textonotapie"/>
        <w:ind w:left="142" w:hanging="142"/>
        <w:jc w:val="both"/>
        <w:rPr>
          <w:rFonts w:ascii="Verdana" w:hAnsi="Verdana"/>
          <w:sz w:val="18"/>
          <w:szCs w:val="18"/>
          <w:lang w:val="es-EC"/>
        </w:rPr>
      </w:pPr>
      <w:r w:rsidRPr="00EE4D50">
        <w:rPr>
          <w:rStyle w:val="Refdenotaalpie"/>
          <w:rFonts w:ascii="Verdana" w:hAnsi="Verdana"/>
          <w:sz w:val="18"/>
          <w:szCs w:val="18"/>
        </w:rPr>
        <w:footnoteRef/>
      </w:r>
      <w:r w:rsidRPr="00EE4D50">
        <w:rPr>
          <w:rFonts w:ascii="Verdana" w:hAnsi="Verdana"/>
          <w:sz w:val="18"/>
          <w:szCs w:val="18"/>
        </w:rPr>
        <w:t xml:space="preserve"> En el caso de que un deudor no pueda cumplir con los pagos del crédito, la Asamblea Nacional (2012) estipula en la ley que dichos créditos declarados de plazo vencido “podrán ser cobradas a través de la respectiva ejecución o dación en pago del bien dado en garantía, con lo cual se extinguirá la deuda”.</w:t>
      </w:r>
    </w:p>
  </w:footnote>
  <w:footnote w:id="19">
    <w:p w:rsidR="00A047B7" w:rsidRPr="00EE4D50" w:rsidRDefault="00A047B7" w:rsidP="0019331A">
      <w:pPr>
        <w:pStyle w:val="Textonotapie"/>
        <w:ind w:left="142" w:hanging="142"/>
        <w:jc w:val="both"/>
        <w:rPr>
          <w:rFonts w:ascii="Verdana" w:hAnsi="Verdana"/>
          <w:sz w:val="18"/>
          <w:szCs w:val="18"/>
          <w:lang w:val="es-EC"/>
        </w:rPr>
      </w:pPr>
      <w:r w:rsidRPr="00EE4D50">
        <w:rPr>
          <w:rStyle w:val="Refdenotaalpie"/>
          <w:rFonts w:ascii="Verdana" w:hAnsi="Verdana"/>
          <w:sz w:val="18"/>
          <w:szCs w:val="18"/>
        </w:rPr>
        <w:footnoteRef/>
      </w:r>
      <w:r w:rsidRPr="00EE4D50">
        <w:rPr>
          <w:rFonts w:ascii="Verdana" w:hAnsi="Verdana"/>
          <w:sz w:val="18"/>
          <w:szCs w:val="18"/>
          <w:lang w:val="es-EC"/>
        </w:rPr>
        <w:t>Según la Junta de Regulación (2015) el crédito comercial ordinario es “el otorgado a personas naturales obligadas a llevar contabilidad o a personas jurídicas que registren ventas anuales superiores a USD 100.000 destinado a la adquisición o comercialización de vehículos livianos, incluyendo los que son para fines productivos y comerciales”.</w:t>
      </w:r>
    </w:p>
  </w:footnote>
  <w:footnote w:id="20">
    <w:p w:rsidR="00A047B7" w:rsidRPr="00EE4D50" w:rsidRDefault="00A047B7" w:rsidP="0019331A">
      <w:pPr>
        <w:pStyle w:val="Textonotapie"/>
        <w:ind w:left="142" w:hanging="142"/>
        <w:jc w:val="both"/>
        <w:rPr>
          <w:rFonts w:ascii="Verdana" w:hAnsi="Verdana"/>
          <w:sz w:val="18"/>
          <w:szCs w:val="18"/>
          <w:lang w:val="es-EC"/>
        </w:rPr>
      </w:pPr>
      <w:r w:rsidRPr="00EE4D50">
        <w:rPr>
          <w:rStyle w:val="Refdenotaalpie"/>
          <w:rFonts w:ascii="Verdana" w:hAnsi="Verdana"/>
          <w:sz w:val="18"/>
          <w:szCs w:val="18"/>
        </w:rPr>
        <w:footnoteRef/>
      </w:r>
      <w:r w:rsidRPr="00EE4D50">
        <w:rPr>
          <w:rFonts w:ascii="Verdana" w:hAnsi="Verdana"/>
          <w:sz w:val="18"/>
          <w:szCs w:val="18"/>
        </w:rPr>
        <w:t xml:space="preserve"> Molina contó que la encuesta fue realizada por General Motors.</w:t>
      </w:r>
    </w:p>
  </w:footnote>
  <w:footnote w:id="21">
    <w:p w:rsidR="00A047B7" w:rsidRPr="00EE4D50" w:rsidRDefault="00A047B7" w:rsidP="0019331A">
      <w:pPr>
        <w:pStyle w:val="Textonotapie"/>
        <w:ind w:left="142" w:hanging="142"/>
        <w:jc w:val="both"/>
        <w:rPr>
          <w:rFonts w:ascii="Verdana" w:hAnsi="Verdana"/>
        </w:rPr>
      </w:pPr>
      <w:r w:rsidRPr="00EE4D50">
        <w:rPr>
          <w:rStyle w:val="Refdenotaalpie"/>
          <w:rFonts w:ascii="Verdana" w:hAnsi="Verdana"/>
          <w:sz w:val="18"/>
        </w:rPr>
        <w:footnoteRef/>
      </w:r>
      <w:r w:rsidRPr="00EE4D50">
        <w:rPr>
          <w:rFonts w:ascii="Verdana" w:hAnsi="Verdana"/>
          <w:sz w:val="18"/>
        </w:rPr>
        <w:t xml:space="preserve"> En el anexo A se presenta una copia del oficio.</w:t>
      </w:r>
    </w:p>
  </w:footnote>
  <w:footnote w:id="22">
    <w:p w:rsidR="00A047B7" w:rsidRPr="00EE4D50" w:rsidRDefault="00A047B7" w:rsidP="0019331A">
      <w:pPr>
        <w:pStyle w:val="Textonotapie"/>
        <w:ind w:left="142" w:hanging="142"/>
        <w:jc w:val="both"/>
        <w:rPr>
          <w:rFonts w:ascii="Verdana" w:hAnsi="Verdana"/>
        </w:rPr>
      </w:pPr>
      <w:r w:rsidRPr="00EE4D50">
        <w:rPr>
          <w:rStyle w:val="Refdenotaalpie"/>
          <w:rFonts w:ascii="Verdana" w:hAnsi="Verdana"/>
          <w:sz w:val="18"/>
        </w:rPr>
        <w:footnoteRef/>
      </w:r>
      <w:r w:rsidRPr="00EE4D50">
        <w:rPr>
          <w:rFonts w:ascii="Verdana" w:hAnsi="Verdana"/>
          <w:sz w:val="18"/>
        </w:rPr>
        <w:t xml:space="preserve"> La tabla arancelaria que consta en la resolución 065 del COMEX establece un arancel determinado en función de la incorporación de contenido nacional, medido como el porcentaje de Producto Ecuatoriano Incorporado (PEI). Sin embargo, la resolución 065 del COMEX establece que mientras este organismo no apruebe una metodología para medir el PEI, se aplicará el arancel mínimo que corresponda.</w:t>
      </w:r>
    </w:p>
  </w:footnote>
  <w:footnote w:id="23">
    <w:p w:rsidR="00A047B7" w:rsidRPr="00EE4D50" w:rsidRDefault="00A047B7" w:rsidP="0019331A">
      <w:pPr>
        <w:pStyle w:val="Textonotapie"/>
        <w:ind w:left="142" w:hanging="142"/>
        <w:jc w:val="both"/>
        <w:rPr>
          <w:rFonts w:ascii="Verdana" w:hAnsi="Verdana"/>
          <w:sz w:val="18"/>
          <w:szCs w:val="18"/>
        </w:rPr>
      </w:pPr>
      <w:r w:rsidRPr="00EE4D50">
        <w:rPr>
          <w:rStyle w:val="Refdenotaalpie"/>
          <w:rFonts w:ascii="Verdana" w:hAnsi="Verdana"/>
          <w:sz w:val="18"/>
          <w:szCs w:val="18"/>
        </w:rPr>
        <w:footnoteRef/>
      </w:r>
      <w:r w:rsidRPr="00EE4D50">
        <w:rPr>
          <w:rFonts w:ascii="Verdana" w:hAnsi="Verdana"/>
          <w:sz w:val="18"/>
          <w:szCs w:val="18"/>
        </w:rPr>
        <w:t xml:space="preserve"> En el anexo B se encuentra la lista de las partes y piezas que se han incorporado en los últimos tres años (2014, 2015 y 2016).</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5518A"/>
    <w:multiLevelType w:val="hybridMultilevel"/>
    <w:tmpl w:val="D230FB8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03F15ADA"/>
    <w:multiLevelType w:val="hybridMultilevel"/>
    <w:tmpl w:val="69F8B77C"/>
    <w:lvl w:ilvl="0" w:tplc="7A00C68E">
      <w:numFmt w:val="bullet"/>
      <w:lvlText w:val="-"/>
      <w:lvlJc w:val="left"/>
      <w:pPr>
        <w:ind w:left="720" w:hanging="360"/>
      </w:pPr>
      <w:rPr>
        <w:rFonts w:ascii="Calibri" w:eastAsiaTheme="minorHAnsi" w:hAnsi="Calibri"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06CC6C52"/>
    <w:multiLevelType w:val="hybridMultilevel"/>
    <w:tmpl w:val="6EE4AEFA"/>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0C1657A1"/>
    <w:multiLevelType w:val="hybridMultilevel"/>
    <w:tmpl w:val="2148492A"/>
    <w:lvl w:ilvl="0" w:tplc="7A00C68E">
      <w:numFmt w:val="bullet"/>
      <w:lvlText w:val="-"/>
      <w:lvlJc w:val="left"/>
      <w:pPr>
        <w:ind w:left="720" w:hanging="360"/>
      </w:pPr>
      <w:rPr>
        <w:rFonts w:ascii="Calibri" w:eastAsiaTheme="minorHAnsi" w:hAnsi="Calibri" w:cstheme="minorBidi"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4">
    <w:nsid w:val="0EF802BA"/>
    <w:multiLevelType w:val="hybridMultilevel"/>
    <w:tmpl w:val="76DA05F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0FE03C79"/>
    <w:multiLevelType w:val="hybridMultilevel"/>
    <w:tmpl w:val="58F0733E"/>
    <w:lvl w:ilvl="0" w:tplc="7A00C68E">
      <w:numFmt w:val="bullet"/>
      <w:lvlText w:val="-"/>
      <w:lvlJc w:val="left"/>
      <w:pPr>
        <w:ind w:left="720" w:hanging="360"/>
      </w:pPr>
      <w:rPr>
        <w:rFonts w:ascii="Calibri" w:eastAsiaTheme="minorHAnsi" w:hAnsi="Calibri"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196B600F"/>
    <w:multiLevelType w:val="hybridMultilevel"/>
    <w:tmpl w:val="F85EFAE2"/>
    <w:lvl w:ilvl="0" w:tplc="300A000F">
      <w:start w:val="1"/>
      <w:numFmt w:val="decimal"/>
      <w:lvlText w:val="%1."/>
      <w:lvlJc w:val="left"/>
      <w:pPr>
        <w:ind w:left="360" w:hanging="360"/>
      </w:pPr>
    </w:lvl>
    <w:lvl w:ilvl="1" w:tplc="300A0019">
      <w:start w:val="1"/>
      <w:numFmt w:val="lowerLetter"/>
      <w:lvlText w:val="%2."/>
      <w:lvlJc w:val="left"/>
      <w:pPr>
        <w:ind w:left="1080" w:hanging="360"/>
      </w:pPr>
    </w:lvl>
    <w:lvl w:ilvl="2" w:tplc="300A001B">
      <w:start w:val="1"/>
      <w:numFmt w:val="lowerRoman"/>
      <w:lvlText w:val="%3."/>
      <w:lvlJc w:val="right"/>
      <w:pPr>
        <w:ind w:left="1800" w:hanging="180"/>
      </w:pPr>
    </w:lvl>
    <w:lvl w:ilvl="3" w:tplc="300A000F">
      <w:start w:val="1"/>
      <w:numFmt w:val="decimal"/>
      <w:lvlText w:val="%4."/>
      <w:lvlJc w:val="left"/>
      <w:pPr>
        <w:ind w:left="2520" w:hanging="360"/>
      </w:pPr>
    </w:lvl>
    <w:lvl w:ilvl="4" w:tplc="300A0019">
      <w:start w:val="1"/>
      <w:numFmt w:val="lowerLetter"/>
      <w:lvlText w:val="%5."/>
      <w:lvlJc w:val="left"/>
      <w:pPr>
        <w:ind w:left="3240" w:hanging="360"/>
      </w:pPr>
    </w:lvl>
    <w:lvl w:ilvl="5" w:tplc="300A001B">
      <w:start w:val="1"/>
      <w:numFmt w:val="lowerRoman"/>
      <w:lvlText w:val="%6."/>
      <w:lvlJc w:val="right"/>
      <w:pPr>
        <w:ind w:left="3960" w:hanging="180"/>
      </w:pPr>
    </w:lvl>
    <w:lvl w:ilvl="6" w:tplc="300A000F">
      <w:start w:val="1"/>
      <w:numFmt w:val="decimal"/>
      <w:lvlText w:val="%7."/>
      <w:lvlJc w:val="left"/>
      <w:pPr>
        <w:ind w:left="4680" w:hanging="360"/>
      </w:pPr>
    </w:lvl>
    <w:lvl w:ilvl="7" w:tplc="300A0019">
      <w:start w:val="1"/>
      <w:numFmt w:val="lowerLetter"/>
      <w:lvlText w:val="%8."/>
      <w:lvlJc w:val="left"/>
      <w:pPr>
        <w:ind w:left="5400" w:hanging="360"/>
      </w:pPr>
    </w:lvl>
    <w:lvl w:ilvl="8" w:tplc="300A001B">
      <w:start w:val="1"/>
      <w:numFmt w:val="lowerRoman"/>
      <w:lvlText w:val="%9."/>
      <w:lvlJc w:val="right"/>
      <w:pPr>
        <w:ind w:left="6120" w:hanging="180"/>
      </w:pPr>
    </w:lvl>
  </w:abstractNum>
  <w:abstractNum w:abstractNumId="7">
    <w:nsid w:val="1E5B4DC2"/>
    <w:multiLevelType w:val="hybridMultilevel"/>
    <w:tmpl w:val="2B723298"/>
    <w:lvl w:ilvl="0" w:tplc="0A3ABD98">
      <w:start w:val="1"/>
      <w:numFmt w:val="decimal"/>
      <w:lvlText w:val="%1."/>
      <w:lvlJc w:val="left"/>
      <w:pPr>
        <w:ind w:left="1068" w:hanging="360"/>
      </w:pPr>
      <w:rPr>
        <w:rFonts w:hint="default"/>
      </w:r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8">
    <w:nsid w:val="216608CE"/>
    <w:multiLevelType w:val="hybridMultilevel"/>
    <w:tmpl w:val="69B474BE"/>
    <w:lvl w:ilvl="0" w:tplc="11007E00">
      <w:numFmt w:val="bullet"/>
      <w:lvlText w:val="-"/>
      <w:lvlJc w:val="left"/>
      <w:pPr>
        <w:ind w:left="720" w:hanging="360"/>
      </w:pPr>
      <w:rPr>
        <w:rFonts w:ascii="Calibri" w:eastAsiaTheme="minorHAnsi" w:hAnsi="Calibri"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21AD16D6"/>
    <w:multiLevelType w:val="hybridMultilevel"/>
    <w:tmpl w:val="89F2852A"/>
    <w:lvl w:ilvl="0" w:tplc="7A00C68E">
      <w:numFmt w:val="bullet"/>
      <w:lvlText w:val="-"/>
      <w:lvlJc w:val="left"/>
      <w:pPr>
        <w:ind w:left="720" w:hanging="360"/>
      </w:pPr>
      <w:rPr>
        <w:rFonts w:ascii="Calibri" w:eastAsiaTheme="minorHAnsi" w:hAnsi="Calibri"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224F7179"/>
    <w:multiLevelType w:val="hybridMultilevel"/>
    <w:tmpl w:val="56C4F60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1">
    <w:nsid w:val="34C23C94"/>
    <w:multiLevelType w:val="hybridMultilevel"/>
    <w:tmpl w:val="88E42AC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3B7B0B80"/>
    <w:multiLevelType w:val="hybridMultilevel"/>
    <w:tmpl w:val="A8040AA2"/>
    <w:lvl w:ilvl="0" w:tplc="080A0001">
      <w:start w:val="1"/>
      <w:numFmt w:val="bullet"/>
      <w:lvlText w:val=""/>
      <w:lvlJc w:val="left"/>
      <w:pPr>
        <w:ind w:left="720" w:hanging="360"/>
      </w:pPr>
      <w:rPr>
        <w:rFonts w:ascii="Symbol" w:hAnsi="Symbol" w:cs="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cs="Wingdings" w:hint="default"/>
      </w:rPr>
    </w:lvl>
    <w:lvl w:ilvl="3" w:tplc="080A0001">
      <w:start w:val="1"/>
      <w:numFmt w:val="bullet"/>
      <w:lvlText w:val=""/>
      <w:lvlJc w:val="left"/>
      <w:pPr>
        <w:ind w:left="2880" w:hanging="360"/>
      </w:pPr>
      <w:rPr>
        <w:rFonts w:ascii="Symbol" w:hAnsi="Symbol" w:cs="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cs="Wingdings" w:hint="default"/>
      </w:rPr>
    </w:lvl>
    <w:lvl w:ilvl="6" w:tplc="080A0001">
      <w:start w:val="1"/>
      <w:numFmt w:val="bullet"/>
      <w:lvlText w:val=""/>
      <w:lvlJc w:val="left"/>
      <w:pPr>
        <w:ind w:left="5040" w:hanging="360"/>
      </w:pPr>
      <w:rPr>
        <w:rFonts w:ascii="Symbol" w:hAnsi="Symbol" w:cs="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cs="Wingdings" w:hint="default"/>
      </w:rPr>
    </w:lvl>
  </w:abstractNum>
  <w:abstractNum w:abstractNumId="13">
    <w:nsid w:val="408D1869"/>
    <w:multiLevelType w:val="hybridMultilevel"/>
    <w:tmpl w:val="600E7F1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4">
    <w:nsid w:val="440A072A"/>
    <w:multiLevelType w:val="hybridMultilevel"/>
    <w:tmpl w:val="CA688DA8"/>
    <w:lvl w:ilvl="0" w:tplc="300A0011">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
    <w:nsid w:val="4439754C"/>
    <w:multiLevelType w:val="hybridMultilevel"/>
    <w:tmpl w:val="F6B28AC4"/>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nsid w:val="45081404"/>
    <w:multiLevelType w:val="hybridMultilevel"/>
    <w:tmpl w:val="0B623210"/>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nsid w:val="464C10CE"/>
    <w:multiLevelType w:val="hybridMultilevel"/>
    <w:tmpl w:val="E8825EB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8">
    <w:nsid w:val="4F7F7D53"/>
    <w:multiLevelType w:val="hybridMultilevel"/>
    <w:tmpl w:val="5E0C693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9">
    <w:nsid w:val="51B01E54"/>
    <w:multiLevelType w:val="hybridMultilevel"/>
    <w:tmpl w:val="F4AC0B8E"/>
    <w:lvl w:ilvl="0" w:tplc="080A0007">
      <w:start w:val="1"/>
      <w:numFmt w:val="bullet"/>
      <w:lvlText w:val=""/>
      <w:lvlJc w:val="left"/>
      <w:pPr>
        <w:ind w:left="720" w:hanging="360"/>
      </w:pPr>
      <w:rPr>
        <w:rFonts w:ascii="Symbol" w:hAnsi="Symbol" w:cs="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cs="Wingdings" w:hint="default"/>
      </w:rPr>
    </w:lvl>
    <w:lvl w:ilvl="3" w:tplc="080A0001">
      <w:start w:val="1"/>
      <w:numFmt w:val="bullet"/>
      <w:lvlText w:val=""/>
      <w:lvlJc w:val="left"/>
      <w:pPr>
        <w:ind w:left="2880" w:hanging="360"/>
      </w:pPr>
      <w:rPr>
        <w:rFonts w:ascii="Symbol" w:hAnsi="Symbol" w:cs="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cs="Wingdings" w:hint="default"/>
      </w:rPr>
    </w:lvl>
    <w:lvl w:ilvl="6" w:tplc="080A0001">
      <w:start w:val="1"/>
      <w:numFmt w:val="bullet"/>
      <w:lvlText w:val=""/>
      <w:lvlJc w:val="left"/>
      <w:pPr>
        <w:ind w:left="5040" w:hanging="360"/>
      </w:pPr>
      <w:rPr>
        <w:rFonts w:ascii="Symbol" w:hAnsi="Symbol" w:cs="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cs="Wingdings" w:hint="default"/>
      </w:rPr>
    </w:lvl>
  </w:abstractNum>
  <w:abstractNum w:abstractNumId="20">
    <w:nsid w:val="5BFF1273"/>
    <w:multiLevelType w:val="hybridMultilevel"/>
    <w:tmpl w:val="215ADFA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618320D8"/>
    <w:multiLevelType w:val="hybridMultilevel"/>
    <w:tmpl w:val="51E6771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nsid w:val="62232D26"/>
    <w:multiLevelType w:val="hybridMultilevel"/>
    <w:tmpl w:val="CD409F7C"/>
    <w:lvl w:ilvl="0" w:tplc="24C62578">
      <w:start w:val="1"/>
      <w:numFmt w:val="bullet"/>
      <w:lvlText w:val="-"/>
      <w:lvlJc w:val="left"/>
      <w:pPr>
        <w:ind w:left="1080" w:hanging="360"/>
      </w:pPr>
      <w:rPr>
        <w:rFonts w:ascii="Calibri" w:eastAsiaTheme="minorHAnsi" w:hAnsi="Calibri" w:cstheme="minorBidi"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3">
    <w:nsid w:val="64B07D6A"/>
    <w:multiLevelType w:val="hybridMultilevel"/>
    <w:tmpl w:val="251ABD3E"/>
    <w:lvl w:ilvl="0" w:tplc="7A00C68E">
      <w:numFmt w:val="bullet"/>
      <w:lvlText w:val="-"/>
      <w:lvlJc w:val="left"/>
      <w:pPr>
        <w:ind w:left="720" w:hanging="360"/>
      </w:pPr>
      <w:rPr>
        <w:rFonts w:ascii="Calibri" w:eastAsiaTheme="minorHAnsi" w:hAnsi="Calibri" w:cstheme="minorBidi"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24">
    <w:nsid w:val="658316F4"/>
    <w:multiLevelType w:val="multilevel"/>
    <w:tmpl w:val="99968196"/>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6C902C43"/>
    <w:multiLevelType w:val="hybridMultilevel"/>
    <w:tmpl w:val="AC9A452C"/>
    <w:lvl w:ilvl="0" w:tplc="35D46D44">
      <w:start w:val="1"/>
      <w:numFmt w:val="bullet"/>
      <w:lvlText w:val=""/>
      <w:lvlJc w:val="left"/>
      <w:pPr>
        <w:ind w:left="720" w:hanging="360"/>
      </w:pPr>
      <w:rPr>
        <w:rFonts w:ascii="Symbol" w:hAnsi="Symbol" w:cs="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cs="Wingdings" w:hint="default"/>
      </w:rPr>
    </w:lvl>
    <w:lvl w:ilvl="3" w:tplc="300A0001">
      <w:start w:val="1"/>
      <w:numFmt w:val="bullet"/>
      <w:lvlText w:val=""/>
      <w:lvlJc w:val="left"/>
      <w:pPr>
        <w:ind w:left="2880" w:hanging="360"/>
      </w:pPr>
      <w:rPr>
        <w:rFonts w:ascii="Symbol" w:hAnsi="Symbol" w:cs="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cs="Wingdings" w:hint="default"/>
      </w:rPr>
    </w:lvl>
    <w:lvl w:ilvl="6" w:tplc="300A0001">
      <w:start w:val="1"/>
      <w:numFmt w:val="bullet"/>
      <w:lvlText w:val=""/>
      <w:lvlJc w:val="left"/>
      <w:pPr>
        <w:ind w:left="5040" w:hanging="360"/>
      </w:pPr>
      <w:rPr>
        <w:rFonts w:ascii="Symbol" w:hAnsi="Symbol" w:cs="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cs="Wingdings" w:hint="default"/>
      </w:rPr>
    </w:lvl>
  </w:abstractNum>
  <w:abstractNum w:abstractNumId="26">
    <w:nsid w:val="6E447D2A"/>
    <w:multiLevelType w:val="hybridMultilevel"/>
    <w:tmpl w:val="119E224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nsid w:val="70874CF5"/>
    <w:multiLevelType w:val="hybridMultilevel"/>
    <w:tmpl w:val="35CA0E2A"/>
    <w:lvl w:ilvl="0" w:tplc="080A0001">
      <w:start w:val="1"/>
      <w:numFmt w:val="bullet"/>
      <w:lvlText w:val=""/>
      <w:lvlJc w:val="left"/>
      <w:pPr>
        <w:ind w:left="720" w:hanging="360"/>
      </w:pPr>
      <w:rPr>
        <w:rFonts w:ascii="Symbol" w:hAnsi="Symbol" w:cs="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cs="Wingdings" w:hint="default"/>
      </w:rPr>
    </w:lvl>
    <w:lvl w:ilvl="3" w:tplc="080A0001">
      <w:start w:val="1"/>
      <w:numFmt w:val="bullet"/>
      <w:lvlText w:val=""/>
      <w:lvlJc w:val="left"/>
      <w:pPr>
        <w:ind w:left="2880" w:hanging="360"/>
      </w:pPr>
      <w:rPr>
        <w:rFonts w:ascii="Symbol" w:hAnsi="Symbol" w:cs="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cs="Wingdings" w:hint="default"/>
      </w:rPr>
    </w:lvl>
    <w:lvl w:ilvl="6" w:tplc="080A0001">
      <w:start w:val="1"/>
      <w:numFmt w:val="bullet"/>
      <w:lvlText w:val=""/>
      <w:lvlJc w:val="left"/>
      <w:pPr>
        <w:ind w:left="5040" w:hanging="360"/>
      </w:pPr>
      <w:rPr>
        <w:rFonts w:ascii="Symbol" w:hAnsi="Symbol" w:cs="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cs="Wingdings" w:hint="default"/>
      </w:rPr>
    </w:lvl>
  </w:abstractNum>
  <w:abstractNum w:abstractNumId="28">
    <w:nsid w:val="728B0085"/>
    <w:multiLevelType w:val="hybridMultilevel"/>
    <w:tmpl w:val="DB446944"/>
    <w:lvl w:ilvl="0" w:tplc="45A2EE1A">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782C0372"/>
    <w:multiLevelType w:val="hybridMultilevel"/>
    <w:tmpl w:val="A106E4A4"/>
    <w:lvl w:ilvl="0" w:tplc="080A0001">
      <w:start w:val="1"/>
      <w:numFmt w:val="bullet"/>
      <w:lvlText w:val=""/>
      <w:lvlJc w:val="left"/>
      <w:pPr>
        <w:ind w:left="720" w:hanging="360"/>
      </w:pPr>
      <w:rPr>
        <w:rFonts w:ascii="Symbol" w:hAnsi="Symbol" w:cs="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cs="Wingdings" w:hint="default"/>
      </w:rPr>
    </w:lvl>
    <w:lvl w:ilvl="3" w:tplc="080A0001">
      <w:start w:val="1"/>
      <w:numFmt w:val="bullet"/>
      <w:lvlText w:val=""/>
      <w:lvlJc w:val="left"/>
      <w:pPr>
        <w:ind w:left="2880" w:hanging="360"/>
      </w:pPr>
      <w:rPr>
        <w:rFonts w:ascii="Symbol" w:hAnsi="Symbol" w:cs="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cs="Wingdings" w:hint="default"/>
      </w:rPr>
    </w:lvl>
    <w:lvl w:ilvl="6" w:tplc="080A0001">
      <w:start w:val="1"/>
      <w:numFmt w:val="bullet"/>
      <w:lvlText w:val=""/>
      <w:lvlJc w:val="left"/>
      <w:pPr>
        <w:ind w:left="5040" w:hanging="360"/>
      </w:pPr>
      <w:rPr>
        <w:rFonts w:ascii="Symbol" w:hAnsi="Symbol" w:cs="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cs="Wingdings" w:hint="default"/>
      </w:rPr>
    </w:lvl>
  </w:abstractNum>
  <w:abstractNum w:abstractNumId="30">
    <w:nsid w:val="7C5E6E23"/>
    <w:multiLevelType w:val="hybridMultilevel"/>
    <w:tmpl w:val="FC307340"/>
    <w:lvl w:ilvl="0" w:tplc="76F64810">
      <w:numFmt w:val="bullet"/>
      <w:lvlText w:val="-"/>
      <w:lvlJc w:val="left"/>
      <w:pPr>
        <w:ind w:left="720" w:hanging="360"/>
      </w:pPr>
      <w:rPr>
        <w:rFonts w:ascii="Calibri" w:eastAsiaTheme="minorHAnsi" w:hAnsi="Calibri"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3"/>
  </w:num>
  <w:num w:numId="2">
    <w:abstractNumId w:val="23"/>
  </w:num>
  <w:num w:numId="3">
    <w:abstractNumId w:val="0"/>
  </w:num>
  <w:num w:numId="4">
    <w:abstractNumId w:val="24"/>
  </w:num>
  <w:num w:numId="5">
    <w:abstractNumId w:val="25"/>
  </w:num>
  <w:num w:numId="6">
    <w:abstractNumId w:val="12"/>
  </w:num>
  <w:num w:numId="7">
    <w:abstractNumId w:val="29"/>
  </w:num>
  <w:num w:numId="8">
    <w:abstractNumId w:val="19"/>
  </w:num>
  <w:num w:numId="9">
    <w:abstractNumId w:val="27"/>
  </w:num>
  <w:num w:numId="10">
    <w:abstractNumId w:val="6"/>
  </w:num>
  <w:num w:numId="11">
    <w:abstractNumId w:val="2"/>
  </w:num>
  <w:num w:numId="12">
    <w:abstractNumId w:val="30"/>
  </w:num>
  <w:num w:numId="13">
    <w:abstractNumId w:val="28"/>
  </w:num>
  <w:num w:numId="14">
    <w:abstractNumId w:val="14"/>
  </w:num>
  <w:num w:numId="15">
    <w:abstractNumId w:val="26"/>
  </w:num>
  <w:num w:numId="16">
    <w:abstractNumId w:val="15"/>
  </w:num>
  <w:num w:numId="17">
    <w:abstractNumId w:val="11"/>
  </w:num>
  <w:num w:numId="18">
    <w:abstractNumId w:val="16"/>
  </w:num>
  <w:num w:numId="19">
    <w:abstractNumId w:val="20"/>
  </w:num>
  <w:num w:numId="20">
    <w:abstractNumId w:val="21"/>
  </w:num>
  <w:num w:numId="21">
    <w:abstractNumId w:val="8"/>
  </w:num>
  <w:num w:numId="22">
    <w:abstractNumId w:val="22"/>
  </w:num>
  <w:num w:numId="23">
    <w:abstractNumId w:val="7"/>
  </w:num>
  <w:num w:numId="24">
    <w:abstractNumId w:val="1"/>
  </w:num>
  <w:num w:numId="25">
    <w:abstractNumId w:val="17"/>
  </w:num>
  <w:num w:numId="26">
    <w:abstractNumId w:val="18"/>
  </w:num>
  <w:num w:numId="27">
    <w:abstractNumId w:val="13"/>
  </w:num>
  <w:num w:numId="28">
    <w:abstractNumId w:val="10"/>
  </w:num>
  <w:num w:numId="29">
    <w:abstractNumId w:val="4"/>
  </w:num>
  <w:num w:numId="30">
    <w:abstractNumId w:val="5"/>
  </w:num>
  <w:num w:numId="3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mirrorMargi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63FC"/>
    <w:rsid w:val="00004094"/>
    <w:rsid w:val="00015567"/>
    <w:rsid w:val="000249BE"/>
    <w:rsid w:val="00030FBD"/>
    <w:rsid w:val="00031C6E"/>
    <w:rsid w:val="0003233A"/>
    <w:rsid w:val="0003475F"/>
    <w:rsid w:val="000360FF"/>
    <w:rsid w:val="000406A8"/>
    <w:rsid w:val="00044D0B"/>
    <w:rsid w:val="00056722"/>
    <w:rsid w:val="00061EA7"/>
    <w:rsid w:val="00062D53"/>
    <w:rsid w:val="000817CA"/>
    <w:rsid w:val="000835B8"/>
    <w:rsid w:val="0009427A"/>
    <w:rsid w:val="00095A1D"/>
    <w:rsid w:val="000B2352"/>
    <w:rsid w:val="000B7F55"/>
    <w:rsid w:val="000C242B"/>
    <w:rsid w:val="000D7ECB"/>
    <w:rsid w:val="001052DA"/>
    <w:rsid w:val="00120F37"/>
    <w:rsid w:val="00121737"/>
    <w:rsid w:val="0012177E"/>
    <w:rsid w:val="0012641E"/>
    <w:rsid w:val="00127364"/>
    <w:rsid w:val="00132578"/>
    <w:rsid w:val="00161409"/>
    <w:rsid w:val="00162BBC"/>
    <w:rsid w:val="001630A5"/>
    <w:rsid w:val="0017380F"/>
    <w:rsid w:val="0019331A"/>
    <w:rsid w:val="00197CDD"/>
    <w:rsid w:val="001A12D7"/>
    <w:rsid w:val="001A1E18"/>
    <w:rsid w:val="001A51BB"/>
    <w:rsid w:val="001A72FE"/>
    <w:rsid w:val="001B1AE6"/>
    <w:rsid w:val="001E6672"/>
    <w:rsid w:val="001F10CC"/>
    <w:rsid w:val="001F7C6A"/>
    <w:rsid w:val="0020000B"/>
    <w:rsid w:val="0020035A"/>
    <w:rsid w:val="0020346C"/>
    <w:rsid w:val="002038F7"/>
    <w:rsid w:val="00237C1C"/>
    <w:rsid w:val="00250095"/>
    <w:rsid w:val="00261705"/>
    <w:rsid w:val="00264A56"/>
    <w:rsid w:val="002728CA"/>
    <w:rsid w:val="0028137A"/>
    <w:rsid w:val="00294A80"/>
    <w:rsid w:val="002B279E"/>
    <w:rsid w:val="002B3495"/>
    <w:rsid w:val="002B50C1"/>
    <w:rsid w:val="002C4175"/>
    <w:rsid w:val="002C450F"/>
    <w:rsid w:val="002C5280"/>
    <w:rsid w:val="002F7702"/>
    <w:rsid w:val="00337B4C"/>
    <w:rsid w:val="00344EC8"/>
    <w:rsid w:val="00354EBB"/>
    <w:rsid w:val="0036299D"/>
    <w:rsid w:val="00370BDA"/>
    <w:rsid w:val="003855B4"/>
    <w:rsid w:val="003869EF"/>
    <w:rsid w:val="00402FC3"/>
    <w:rsid w:val="00411F84"/>
    <w:rsid w:val="0041783F"/>
    <w:rsid w:val="00440F86"/>
    <w:rsid w:val="00462D4D"/>
    <w:rsid w:val="00490531"/>
    <w:rsid w:val="004B17A5"/>
    <w:rsid w:val="004C7CA6"/>
    <w:rsid w:val="004D467B"/>
    <w:rsid w:val="004D580E"/>
    <w:rsid w:val="004F0674"/>
    <w:rsid w:val="004F3813"/>
    <w:rsid w:val="00520C17"/>
    <w:rsid w:val="00522B72"/>
    <w:rsid w:val="00524BF2"/>
    <w:rsid w:val="00536A2E"/>
    <w:rsid w:val="00540789"/>
    <w:rsid w:val="0054144E"/>
    <w:rsid w:val="005430BA"/>
    <w:rsid w:val="0054358A"/>
    <w:rsid w:val="005455AF"/>
    <w:rsid w:val="00547DB2"/>
    <w:rsid w:val="00562053"/>
    <w:rsid w:val="005A080C"/>
    <w:rsid w:val="005A212F"/>
    <w:rsid w:val="005A299A"/>
    <w:rsid w:val="005B103B"/>
    <w:rsid w:val="005B142F"/>
    <w:rsid w:val="005B653E"/>
    <w:rsid w:val="005F5350"/>
    <w:rsid w:val="00601758"/>
    <w:rsid w:val="006319CB"/>
    <w:rsid w:val="00642B20"/>
    <w:rsid w:val="00644D4F"/>
    <w:rsid w:val="00645F2C"/>
    <w:rsid w:val="006516D0"/>
    <w:rsid w:val="00657870"/>
    <w:rsid w:val="00665EC5"/>
    <w:rsid w:val="00670731"/>
    <w:rsid w:val="006769C1"/>
    <w:rsid w:val="00683851"/>
    <w:rsid w:val="00697DB6"/>
    <w:rsid w:val="006B2135"/>
    <w:rsid w:val="006B2559"/>
    <w:rsid w:val="006B33C0"/>
    <w:rsid w:val="006B7970"/>
    <w:rsid w:val="006E0E23"/>
    <w:rsid w:val="006E33B9"/>
    <w:rsid w:val="006E418E"/>
    <w:rsid w:val="006E5E9C"/>
    <w:rsid w:val="006E6D87"/>
    <w:rsid w:val="007014B4"/>
    <w:rsid w:val="007147D5"/>
    <w:rsid w:val="00716F7B"/>
    <w:rsid w:val="00720566"/>
    <w:rsid w:val="00722D29"/>
    <w:rsid w:val="00727B17"/>
    <w:rsid w:val="00732D75"/>
    <w:rsid w:val="00755EEB"/>
    <w:rsid w:val="007563A7"/>
    <w:rsid w:val="007663FC"/>
    <w:rsid w:val="00777D80"/>
    <w:rsid w:val="00784054"/>
    <w:rsid w:val="007A4B51"/>
    <w:rsid w:val="007A782B"/>
    <w:rsid w:val="007B53F9"/>
    <w:rsid w:val="007B7AFB"/>
    <w:rsid w:val="007D71D3"/>
    <w:rsid w:val="007E180E"/>
    <w:rsid w:val="007F7AFC"/>
    <w:rsid w:val="00804E04"/>
    <w:rsid w:val="00812679"/>
    <w:rsid w:val="008232D7"/>
    <w:rsid w:val="00824DBB"/>
    <w:rsid w:val="00827344"/>
    <w:rsid w:val="00862CCC"/>
    <w:rsid w:val="00876150"/>
    <w:rsid w:val="00882B85"/>
    <w:rsid w:val="008931F8"/>
    <w:rsid w:val="008B3E6C"/>
    <w:rsid w:val="008B54BB"/>
    <w:rsid w:val="008C0BC1"/>
    <w:rsid w:val="008C5B95"/>
    <w:rsid w:val="008F42B8"/>
    <w:rsid w:val="008F7BF6"/>
    <w:rsid w:val="00921745"/>
    <w:rsid w:val="00925F38"/>
    <w:rsid w:val="00925F85"/>
    <w:rsid w:val="00940110"/>
    <w:rsid w:val="00963D63"/>
    <w:rsid w:val="00995D97"/>
    <w:rsid w:val="009B02A6"/>
    <w:rsid w:val="009E610C"/>
    <w:rsid w:val="009F1305"/>
    <w:rsid w:val="00A02E7C"/>
    <w:rsid w:val="00A047B7"/>
    <w:rsid w:val="00A1094A"/>
    <w:rsid w:val="00A1147A"/>
    <w:rsid w:val="00A25253"/>
    <w:rsid w:val="00A337B2"/>
    <w:rsid w:val="00A406CF"/>
    <w:rsid w:val="00A60CFC"/>
    <w:rsid w:val="00A62783"/>
    <w:rsid w:val="00A6606A"/>
    <w:rsid w:val="00A66608"/>
    <w:rsid w:val="00A80D2B"/>
    <w:rsid w:val="00A83C6A"/>
    <w:rsid w:val="00A916DD"/>
    <w:rsid w:val="00AC2157"/>
    <w:rsid w:val="00AD45BA"/>
    <w:rsid w:val="00AE5333"/>
    <w:rsid w:val="00AE5B11"/>
    <w:rsid w:val="00B002C4"/>
    <w:rsid w:val="00B07666"/>
    <w:rsid w:val="00B10406"/>
    <w:rsid w:val="00B14F35"/>
    <w:rsid w:val="00B160A0"/>
    <w:rsid w:val="00B41A84"/>
    <w:rsid w:val="00B50C61"/>
    <w:rsid w:val="00B5451A"/>
    <w:rsid w:val="00B635AC"/>
    <w:rsid w:val="00B74347"/>
    <w:rsid w:val="00B75350"/>
    <w:rsid w:val="00B82378"/>
    <w:rsid w:val="00BA15D5"/>
    <w:rsid w:val="00BB07EF"/>
    <w:rsid w:val="00BB34D4"/>
    <w:rsid w:val="00BB3D26"/>
    <w:rsid w:val="00BB5246"/>
    <w:rsid w:val="00BC43B6"/>
    <w:rsid w:val="00BD1008"/>
    <w:rsid w:val="00BE157D"/>
    <w:rsid w:val="00BE23F2"/>
    <w:rsid w:val="00C02F25"/>
    <w:rsid w:val="00C03717"/>
    <w:rsid w:val="00C418A8"/>
    <w:rsid w:val="00C42C63"/>
    <w:rsid w:val="00C44099"/>
    <w:rsid w:val="00C52826"/>
    <w:rsid w:val="00C5285A"/>
    <w:rsid w:val="00C76E8B"/>
    <w:rsid w:val="00C9385F"/>
    <w:rsid w:val="00C95607"/>
    <w:rsid w:val="00CA5BCB"/>
    <w:rsid w:val="00CA6631"/>
    <w:rsid w:val="00CB068A"/>
    <w:rsid w:val="00CB3D5A"/>
    <w:rsid w:val="00CB49BD"/>
    <w:rsid w:val="00CB53A6"/>
    <w:rsid w:val="00CC453B"/>
    <w:rsid w:val="00CE1D9D"/>
    <w:rsid w:val="00CF0675"/>
    <w:rsid w:val="00CF4FE1"/>
    <w:rsid w:val="00D2123B"/>
    <w:rsid w:val="00D35E69"/>
    <w:rsid w:val="00D44796"/>
    <w:rsid w:val="00D6113A"/>
    <w:rsid w:val="00D66A9A"/>
    <w:rsid w:val="00D83D1A"/>
    <w:rsid w:val="00D846F1"/>
    <w:rsid w:val="00D9100B"/>
    <w:rsid w:val="00DA4758"/>
    <w:rsid w:val="00DB1FD3"/>
    <w:rsid w:val="00E102D6"/>
    <w:rsid w:val="00E1276F"/>
    <w:rsid w:val="00E65C55"/>
    <w:rsid w:val="00E8274D"/>
    <w:rsid w:val="00E93B4C"/>
    <w:rsid w:val="00EA7CC7"/>
    <w:rsid w:val="00EB189A"/>
    <w:rsid w:val="00EB78FD"/>
    <w:rsid w:val="00EC14C8"/>
    <w:rsid w:val="00EC4A49"/>
    <w:rsid w:val="00EC4E36"/>
    <w:rsid w:val="00EC63DA"/>
    <w:rsid w:val="00EC77AB"/>
    <w:rsid w:val="00ED08AE"/>
    <w:rsid w:val="00ED32C6"/>
    <w:rsid w:val="00ED3D1B"/>
    <w:rsid w:val="00EE4D50"/>
    <w:rsid w:val="00EE52B1"/>
    <w:rsid w:val="00F0443D"/>
    <w:rsid w:val="00F122D0"/>
    <w:rsid w:val="00F12876"/>
    <w:rsid w:val="00F33635"/>
    <w:rsid w:val="00F3684B"/>
    <w:rsid w:val="00F4036B"/>
    <w:rsid w:val="00F737DC"/>
    <w:rsid w:val="00F96AD3"/>
    <w:rsid w:val="00FC200C"/>
    <w:rsid w:val="00FC75BF"/>
    <w:rsid w:val="00FD364A"/>
    <w:rsid w:val="00FD4AB4"/>
    <w:rsid w:val="00FE2D4A"/>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TOC Heading" w:uiPriority="39" w:qFormat="1"/>
  </w:latentStyles>
  <w:style w:type="paragraph" w:default="1" w:styleId="Normal">
    <w:name w:val="Normal"/>
    <w:qFormat/>
    <w:rsid w:val="00BB07EF"/>
  </w:style>
  <w:style w:type="paragraph" w:styleId="Ttulo1">
    <w:name w:val="heading 1"/>
    <w:basedOn w:val="Normal"/>
    <w:next w:val="Normal"/>
    <w:link w:val="Ttulo1Car"/>
    <w:uiPriority w:val="9"/>
    <w:qFormat/>
    <w:rsid w:val="00BB07EF"/>
    <w:pPr>
      <w:keepNext/>
      <w:keepLines/>
      <w:spacing w:before="480" w:after="0"/>
      <w:outlineLvl w:val="0"/>
    </w:pPr>
    <w:rPr>
      <w:rFonts w:asciiTheme="majorHAnsi" w:eastAsiaTheme="majorEastAsia" w:hAnsiTheme="majorHAnsi" w:cstheme="majorBidi"/>
      <w:b/>
      <w:bCs/>
      <w:color w:val="365F91" w:themeColor="accent1" w:themeShade="BF"/>
      <w:sz w:val="28"/>
      <w:szCs w:val="28"/>
      <w:lang w:val="es-US"/>
    </w:rPr>
  </w:style>
  <w:style w:type="paragraph" w:styleId="Ttulo2">
    <w:name w:val="heading 2"/>
    <w:basedOn w:val="Normal"/>
    <w:next w:val="Normal"/>
    <w:link w:val="Ttulo2Car"/>
    <w:autoRedefine/>
    <w:uiPriority w:val="99"/>
    <w:unhideWhenUsed/>
    <w:qFormat/>
    <w:rsid w:val="00C9385F"/>
    <w:pPr>
      <w:keepNext/>
      <w:keepLines/>
      <w:spacing w:after="60"/>
      <w:jc w:val="both"/>
      <w:outlineLvl w:val="1"/>
    </w:pPr>
    <w:rPr>
      <w:rFonts w:ascii="Verdana" w:eastAsia="Calibri" w:hAnsi="Verdana" w:cs="Arial"/>
      <w:b/>
      <w:bCs/>
      <w:i/>
      <w:sz w:val="24"/>
      <w:szCs w:val="28"/>
      <w:lang w:val="es-MX"/>
    </w:rPr>
  </w:style>
  <w:style w:type="paragraph" w:styleId="Ttulo3">
    <w:name w:val="heading 3"/>
    <w:basedOn w:val="Normal"/>
    <w:next w:val="Normal"/>
    <w:link w:val="Ttulo3Car"/>
    <w:uiPriority w:val="9"/>
    <w:unhideWhenUsed/>
    <w:qFormat/>
    <w:rsid w:val="00BB07EF"/>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A6606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B07EF"/>
    <w:rPr>
      <w:rFonts w:asciiTheme="majorHAnsi" w:eastAsiaTheme="majorEastAsia" w:hAnsiTheme="majorHAnsi" w:cstheme="majorBidi"/>
      <w:b/>
      <w:bCs/>
      <w:color w:val="365F91" w:themeColor="accent1" w:themeShade="BF"/>
      <w:sz w:val="28"/>
      <w:szCs w:val="28"/>
      <w:lang w:val="es-US"/>
    </w:rPr>
  </w:style>
  <w:style w:type="character" w:customStyle="1" w:styleId="Ttulo2Car">
    <w:name w:val="Título 2 Car"/>
    <w:basedOn w:val="Fuentedeprrafopredeter"/>
    <w:link w:val="Ttulo2"/>
    <w:uiPriority w:val="99"/>
    <w:rsid w:val="00C9385F"/>
    <w:rPr>
      <w:rFonts w:ascii="Verdana" w:eastAsia="Calibri" w:hAnsi="Verdana" w:cs="Arial"/>
      <w:b/>
      <w:bCs/>
      <w:i/>
      <w:sz w:val="24"/>
      <w:szCs w:val="28"/>
      <w:lang w:val="es-MX"/>
    </w:rPr>
  </w:style>
  <w:style w:type="character" w:customStyle="1" w:styleId="Ttulo3Car">
    <w:name w:val="Título 3 Car"/>
    <w:basedOn w:val="Fuentedeprrafopredeter"/>
    <w:link w:val="Ttulo3"/>
    <w:uiPriority w:val="9"/>
    <w:rsid w:val="00BB07EF"/>
    <w:rPr>
      <w:rFonts w:asciiTheme="majorHAnsi" w:eastAsiaTheme="majorEastAsia" w:hAnsiTheme="majorHAnsi" w:cstheme="majorBidi"/>
      <w:b/>
      <w:bCs/>
      <w:color w:val="4F81BD" w:themeColor="accent1"/>
    </w:rPr>
  </w:style>
  <w:style w:type="paragraph" w:styleId="Sinespaciado">
    <w:name w:val="No Spacing"/>
    <w:uiPriority w:val="99"/>
    <w:qFormat/>
    <w:rsid w:val="00BB07EF"/>
    <w:pPr>
      <w:spacing w:after="0" w:line="240" w:lineRule="auto"/>
    </w:pPr>
    <w:rPr>
      <w:rFonts w:eastAsiaTheme="minorEastAsia"/>
      <w:lang w:eastAsia="es-EC"/>
    </w:rPr>
  </w:style>
  <w:style w:type="character" w:styleId="Hipervnculo">
    <w:name w:val="Hyperlink"/>
    <w:basedOn w:val="Fuentedeprrafopredeter"/>
    <w:uiPriority w:val="99"/>
    <w:unhideWhenUsed/>
    <w:rsid w:val="00BB07EF"/>
    <w:rPr>
      <w:color w:val="0000FF"/>
      <w:u w:val="single"/>
    </w:rPr>
  </w:style>
  <w:style w:type="paragraph" w:styleId="Prrafodelista">
    <w:name w:val="List Paragraph"/>
    <w:basedOn w:val="Normal"/>
    <w:uiPriority w:val="34"/>
    <w:qFormat/>
    <w:rsid w:val="00BB07EF"/>
    <w:pPr>
      <w:ind w:left="720"/>
      <w:contextualSpacing/>
    </w:pPr>
    <w:rPr>
      <w:lang w:val="es-US"/>
    </w:rPr>
  </w:style>
  <w:style w:type="character" w:styleId="Refdecomentario">
    <w:name w:val="annotation reference"/>
    <w:basedOn w:val="Fuentedeprrafopredeter"/>
    <w:uiPriority w:val="99"/>
    <w:semiHidden/>
    <w:unhideWhenUsed/>
    <w:rsid w:val="00BB07EF"/>
    <w:rPr>
      <w:sz w:val="16"/>
      <w:szCs w:val="16"/>
    </w:rPr>
  </w:style>
  <w:style w:type="paragraph" w:styleId="Textocomentario">
    <w:name w:val="annotation text"/>
    <w:basedOn w:val="Normal"/>
    <w:link w:val="TextocomentarioCar"/>
    <w:uiPriority w:val="99"/>
    <w:unhideWhenUsed/>
    <w:rsid w:val="00BB07EF"/>
    <w:pPr>
      <w:spacing w:line="240" w:lineRule="auto"/>
    </w:pPr>
    <w:rPr>
      <w:sz w:val="20"/>
      <w:szCs w:val="20"/>
      <w:lang w:val="es-US"/>
    </w:rPr>
  </w:style>
  <w:style w:type="character" w:customStyle="1" w:styleId="TextocomentarioCar">
    <w:name w:val="Texto comentario Car"/>
    <w:basedOn w:val="Fuentedeprrafopredeter"/>
    <w:link w:val="Textocomentario"/>
    <w:uiPriority w:val="99"/>
    <w:rsid w:val="00BB07EF"/>
    <w:rPr>
      <w:sz w:val="20"/>
      <w:szCs w:val="20"/>
      <w:lang w:val="es-US"/>
    </w:rPr>
  </w:style>
  <w:style w:type="paragraph" w:styleId="Textonotapie">
    <w:name w:val="footnote text"/>
    <w:basedOn w:val="Normal"/>
    <w:link w:val="TextonotapieCar"/>
    <w:uiPriority w:val="99"/>
    <w:semiHidden/>
    <w:unhideWhenUsed/>
    <w:rsid w:val="00BB07EF"/>
    <w:pPr>
      <w:spacing w:after="0" w:line="240" w:lineRule="auto"/>
    </w:pPr>
    <w:rPr>
      <w:sz w:val="20"/>
      <w:szCs w:val="20"/>
      <w:lang w:val="es-US"/>
    </w:rPr>
  </w:style>
  <w:style w:type="character" w:customStyle="1" w:styleId="TextonotapieCar">
    <w:name w:val="Texto nota pie Car"/>
    <w:basedOn w:val="Fuentedeprrafopredeter"/>
    <w:link w:val="Textonotapie"/>
    <w:uiPriority w:val="99"/>
    <w:semiHidden/>
    <w:rsid w:val="00BB07EF"/>
    <w:rPr>
      <w:sz w:val="20"/>
      <w:szCs w:val="20"/>
      <w:lang w:val="es-US"/>
    </w:rPr>
  </w:style>
  <w:style w:type="character" w:styleId="Refdenotaalpie">
    <w:name w:val="footnote reference"/>
    <w:basedOn w:val="Fuentedeprrafopredeter"/>
    <w:uiPriority w:val="99"/>
    <w:semiHidden/>
    <w:unhideWhenUsed/>
    <w:rsid w:val="00BB07EF"/>
    <w:rPr>
      <w:vertAlign w:val="superscript"/>
    </w:rPr>
  </w:style>
  <w:style w:type="paragraph" w:styleId="TtulodeTDC">
    <w:name w:val="TOC Heading"/>
    <w:basedOn w:val="Ttulo1"/>
    <w:next w:val="Normal"/>
    <w:uiPriority w:val="39"/>
    <w:unhideWhenUsed/>
    <w:qFormat/>
    <w:rsid w:val="00BB07EF"/>
    <w:pPr>
      <w:outlineLvl w:val="9"/>
    </w:pPr>
    <w:rPr>
      <w:lang w:val="es-EC" w:eastAsia="es-EC"/>
    </w:rPr>
  </w:style>
  <w:style w:type="paragraph" w:styleId="TDC2">
    <w:name w:val="toc 2"/>
    <w:basedOn w:val="Normal"/>
    <w:next w:val="Normal"/>
    <w:autoRedefine/>
    <w:uiPriority w:val="39"/>
    <w:unhideWhenUsed/>
    <w:rsid w:val="00BB07EF"/>
    <w:pPr>
      <w:spacing w:after="100"/>
      <w:ind w:left="220"/>
    </w:pPr>
    <w:rPr>
      <w:lang w:val="es-US"/>
    </w:rPr>
  </w:style>
  <w:style w:type="paragraph" w:styleId="TDC1">
    <w:name w:val="toc 1"/>
    <w:basedOn w:val="Normal"/>
    <w:next w:val="Normal"/>
    <w:autoRedefine/>
    <w:uiPriority w:val="39"/>
    <w:unhideWhenUsed/>
    <w:rsid w:val="00BB07EF"/>
    <w:pPr>
      <w:spacing w:after="100"/>
    </w:pPr>
    <w:rPr>
      <w:lang w:val="es-US"/>
    </w:rPr>
  </w:style>
  <w:style w:type="paragraph" w:styleId="Textodeglobo">
    <w:name w:val="Balloon Text"/>
    <w:basedOn w:val="Normal"/>
    <w:link w:val="TextodegloboCar"/>
    <w:uiPriority w:val="99"/>
    <w:semiHidden/>
    <w:unhideWhenUsed/>
    <w:rsid w:val="00BB07E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B07EF"/>
    <w:rPr>
      <w:rFonts w:ascii="Tahoma" w:hAnsi="Tahoma" w:cs="Tahoma"/>
      <w:sz w:val="16"/>
      <w:szCs w:val="16"/>
    </w:rPr>
  </w:style>
  <w:style w:type="paragraph" w:styleId="Asuntodelcomentario">
    <w:name w:val="annotation subject"/>
    <w:basedOn w:val="Textocomentario"/>
    <w:next w:val="Textocomentario"/>
    <w:link w:val="AsuntodelcomentarioCar"/>
    <w:uiPriority w:val="99"/>
    <w:semiHidden/>
    <w:rsid w:val="00BB07EF"/>
    <w:rPr>
      <w:rFonts w:ascii="Calibri" w:eastAsia="Calibri" w:hAnsi="Calibri" w:cs="Calibri"/>
      <w:b/>
      <w:bCs/>
      <w:lang w:val="es-EC"/>
    </w:rPr>
  </w:style>
  <w:style w:type="character" w:customStyle="1" w:styleId="AsuntodelcomentarioCar">
    <w:name w:val="Asunto del comentario Car"/>
    <w:basedOn w:val="TextocomentarioCar"/>
    <w:link w:val="Asuntodelcomentario"/>
    <w:uiPriority w:val="99"/>
    <w:semiHidden/>
    <w:rsid w:val="00BB07EF"/>
    <w:rPr>
      <w:rFonts w:ascii="Calibri" w:eastAsia="Calibri" w:hAnsi="Calibri" w:cs="Calibri"/>
      <w:b/>
      <w:bCs/>
      <w:sz w:val="20"/>
      <w:szCs w:val="20"/>
      <w:lang w:val="es-US"/>
    </w:rPr>
  </w:style>
  <w:style w:type="paragraph" w:styleId="NormalWeb">
    <w:name w:val="Normal (Web)"/>
    <w:basedOn w:val="Normal"/>
    <w:uiPriority w:val="99"/>
    <w:rsid w:val="00BB07EF"/>
    <w:pPr>
      <w:spacing w:before="100" w:beforeAutospacing="1" w:after="100" w:afterAutospacing="1" w:line="240" w:lineRule="auto"/>
    </w:pPr>
    <w:rPr>
      <w:rFonts w:ascii="Times New Roman" w:eastAsia="Times New Roman" w:hAnsi="Times New Roman" w:cs="Times New Roman"/>
      <w:sz w:val="24"/>
      <w:szCs w:val="24"/>
      <w:lang w:val="es-US" w:eastAsia="es-ES"/>
    </w:rPr>
  </w:style>
  <w:style w:type="paragraph" w:styleId="Bibliografa">
    <w:name w:val="Bibliography"/>
    <w:basedOn w:val="Normal"/>
    <w:next w:val="Normal"/>
    <w:uiPriority w:val="99"/>
    <w:rsid w:val="00BB07EF"/>
    <w:rPr>
      <w:rFonts w:ascii="Calibri" w:eastAsia="Times New Roman" w:hAnsi="Calibri" w:cs="Calibri"/>
      <w:lang w:val="es-US" w:eastAsia="es-US"/>
    </w:rPr>
  </w:style>
  <w:style w:type="paragraph" w:customStyle="1" w:styleId="font8">
    <w:name w:val="font_8"/>
    <w:basedOn w:val="Normal"/>
    <w:uiPriority w:val="99"/>
    <w:rsid w:val="00BB07EF"/>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styleId="Encabezado">
    <w:name w:val="header"/>
    <w:basedOn w:val="Normal"/>
    <w:link w:val="EncabezadoCar"/>
    <w:uiPriority w:val="99"/>
    <w:unhideWhenUsed/>
    <w:rsid w:val="00BB07EF"/>
    <w:pPr>
      <w:tabs>
        <w:tab w:val="center" w:pos="4252"/>
        <w:tab w:val="right" w:pos="8504"/>
      </w:tabs>
      <w:spacing w:after="0" w:line="240" w:lineRule="auto"/>
    </w:pPr>
    <w:rPr>
      <w:rFonts w:ascii="Calibri" w:eastAsia="Calibri" w:hAnsi="Calibri" w:cs="Calibri"/>
    </w:rPr>
  </w:style>
  <w:style w:type="character" w:customStyle="1" w:styleId="EncabezadoCar">
    <w:name w:val="Encabezado Car"/>
    <w:basedOn w:val="Fuentedeprrafopredeter"/>
    <w:link w:val="Encabezado"/>
    <w:uiPriority w:val="99"/>
    <w:rsid w:val="00BB07EF"/>
    <w:rPr>
      <w:rFonts w:ascii="Calibri" w:eastAsia="Calibri" w:hAnsi="Calibri" w:cs="Calibri"/>
    </w:rPr>
  </w:style>
  <w:style w:type="paragraph" w:styleId="Piedepgina">
    <w:name w:val="footer"/>
    <w:basedOn w:val="Normal"/>
    <w:link w:val="PiedepginaCar"/>
    <w:uiPriority w:val="99"/>
    <w:unhideWhenUsed/>
    <w:rsid w:val="00BB07EF"/>
    <w:pPr>
      <w:tabs>
        <w:tab w:val="center" w:pos="4252"/>
        <w:tab w:val="right" w:pos="8504"/>
      </w:tabs>
      <w:spacing w:after="0" w:line="240" w:lineRule="auto"/>
    </w:pPr>
    <w:rPr>
      <w:rFonts w:ascii="Calibri" w:eastAsia="Calibri" w:hAnsi="Calibri" w:cs="Calibri"/>
    </w:rPr>
  </w:style>
  <w:style w:type="character" w:customStyle="1" w:styleId="PiedepginaCar">
    <w:name w:val="Pie de página Car"/>
    <w:basedOn w:val="Fuentedeprrafopredeter"/>
    <w:link w:val="Piedepgina"/>
    <w:uiPriority w:val="99"/>
    <w:rsid w:val="00BB07EF"/>
    <w:rPr>
      <w:rFonts w:ascii="Calibri" w:eastAsia="Calibri" w:hAnsi="Calibri" w:cs="Calibri"/>
    </w:rPr>
  </w:style>
  <w:style w:type="table" w:styleId="Tablaconcuadrcula">
    <w:name w:val="Table Grid"/>
    <w:basedOn w:val="Tablanormal"/>
    <w:uiPriority w:val="59"/>
    <w:rsid w:val="00BB07E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
    <w:name w:val="Tabla con cuadrícula1"/>
    <w:basedOn w:val="Tablanormal"/>
    <w:next w:val="Tablaconcuadrcula"/>
    <w:uiPriority w:val="59"/>
    <w:rsid w:val="00BB07EF"/>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BB07EF"/>
    <w:pPr>
      <w:autoSpaceDE w:val="0"/>
      <w:autoSpaceDN w:val="0"/>
      <w:adjustRightInd w:val="0"/>
      <w:spacing w:after="0" w:line="240" w:lineRule="auto"/>
    </w:pPr>
    <w:rPr>
      <w:rFonts w:ascii="Arial" w:eastAsia="Calibri" w:hAnsi="Arial" w:cs="Arial"/>
      <w:color w:val="000000"/>
      <w:sz w:val="24"/>
      <w:szCs w:val="24"/>
    </w:rPr>
  </w:style>
  <w:style w:type="character" w:customStyle="1" w:styleId="A620">
    <w:name w:val="A6+20"/>
    <w:uiPriority w:val="99"/>
    <w:rsid w:val="00BB07EF"/>
    <w:rPr>
      <w:rFonts w:cs="Rotis Semi Serif Std"/>
      <w:color w:val="000000"/>
      <w:sz w:val="18"/>
      <w:szCs w:val="18"/>
    </w:rPr>
  </w:style>
  <w:style w:type="paragraph" w:styleId="Sangradetextonormal">
    <w:name w:val="Body Text Indent"/>
    <w:basedOn w:val="Normal"/>
    <w:link w:val="SangradetextonormalCar"/>
    <w:uiPriority w:val="99"/>
    <w:semiHidden/>
    <w:unhideWhenUsed/>
    <w:rsid w:val="00BB07EF"/>
    <w:pPr>
      <w:spacing w:after="120"/>
      <w:ind w:left="283"/>
    </w:pPr>
  </w:style>
  <w:style w:type="character" w:customStyle="1" w:styleId="SangradetextonormalCar">
    <w:name w:val="Sangría de texto normal Car"/>
    <w:basedOn w:val="Fuentedeprrafopredeter"/>
    <w:link w:val="Sangradetextonormal"/>
    <w:uiPriority w:val="99"/>
    <w:semiHidden/>
    <w:rsid w:val="00BB07EF"/>
  </w:style>
  <w:style w:type="paragraph" w:styleId="Textoindependienteprimerasangra2">
    <w:name w:val="Body Text First Indent 2"/>
    <w:basedOn w:val="Sangradetextonormal"/>
    <w:link w:val="Textoindependienteprimerasangra2Car"/>
    <w:uiPriority w:val="99"/>
    <w:unhideWhenUsed/>
    <w:rsid w:val="00BB07EF"/>
    <w:pPr>
      <w:spacing w:after="200"/>
      <w:ind w:left="360" w:firstLine="360"/>
    </w:pPr>
    <w:rPr>
      <w:lang w:val="es-US"/>
    </w:rPr>
  </w:style>
  <w:style w:type="character" w:customStyle="1" w:styleId="Textoindependienteprimerasangra2Car">
    <w:name w:val="Texto independiente primera sangría 2 Car"/>
    <w:basedOn w:val="SangradetextonormalCar"/>
    <w:link w:val="Textoindependienteprimerasangra2"/>
    <w:uiPriority w:val="99"/>
    <w:rsid w:val="00BB07EF"/>
    <w:rPr>
      <w:lang w:val="es-US"/>
    </w:rPr>
  </w:style>
  <w:style w:type="paragraph" w:styleId="TDC3">
    <w:name w:val="toc 3"/>
    <w:basedOn w:val="Normal"/>
    <w:next w:val="Normal"/>
    <w:autoRedefine/>
    <w:uiPriority w:val="39"/>
    <w:unhideWhenUsed/>
    <w:rsid w:val="00E65C55"/>
    <w:pPr>
      <w:spacing w:after="100"/>
      <w:ind w:left="440"/>
    </w:pPr>
  </w:style>
  <w:style w:type="paragraph" w:styleId="Subttulo">
    <w:name w:val="Subtitle"/>
    <w:basedOn w:val="Normal"/>
    <w:next w:val="Normal"/>
    <w:link w:val="SubttuloCar"/>
    <w:uiPriority w:val="11"/>
    <w:qFormat/>
    <w:rsid w:val="00A6606A"/>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A6606A"/>
    <w:rPr>
      <w:rFonts w:asciiTheme="majorHAnsi" w:eastAsiaTheme="majorEastAsia" w:hAnsiTheme="majorHAnsi" w:cstheme="majorBidi"/>
      <w:i/>
      <w:iCs/>
      <w:color w:val="4F81BD" w:themeColor="accent1"/>
      <w:spacing w:val="15"/>
      <w:sz w:val="24"/>
      <w:szCs w:val="24"/>
    </w:rPr>
  </w:style>
  <w:style w:type="character" w:customStyle="1" w:styleId="Ttulo4Car">
    <w:name w:val="Título 4 Car"/>
    <w:basedOn w:val="Fuentedeprrafopredeter"/>
    <w:link w:val="Ttulo4"/>
    <w:uiPriority w:val="9"/>
    <w:rsid w:val="00A6606A"/>
    <w:rPr>
      <w:rFonts w:asciiTheme="majorHAnsi" w:eastAsiaTheme="majorEastAsia" w:hAnsiTheme="majorHAnsi" w:cstheme="majorBidi"/>
      <w:b/>
      <w:bCs/>
      <w:i/>
      <w:iCs/>
      <w:color w:val="4F81BD" w:themeColor="accent1"/>
    </w:rPr>
  </w:style>
  <w:style w:type="paragraph" w:styleId="Epgrafe">
    <w:name w:val="caption"/>
    <w:basedOn w:val="Normal"/>
    <w:next w:val="Normal"/>
    <w:uiPriority w:val="35"/>
    <w:unhideWhenUsed/>
    <w:qFormat/>
    <w:rsid w:val="00536A2E"/>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C95607"/>
    <w:pPr>
      <w:spacing w:after="0"/>
    </w:pPr>
  </w:style>
  <w:style w:type="paragraph" w:styleId="Textoindependiente">
    <w:name w:val="Body Text"/>
    <w:basedOn w:val="Normal"/>
    <w:link w:val="TextoindependienteCar"/>
    <w:uiPriority w:val="99"/>
    <w:semiHidden/>
    <w:unhideWhenUsed/>
    <w:rsid w:val="00197CDD"/>
    <w:pPr>
      <w:spacing w:after="120"/>
    </w:pPr>
  </w:style>
  <w:style w:type="character" w:customStyle="1" w:styleId="TextoindependienteCar">
    <w:name w:val="Texto independiente Car"/>
    <w:basedOn w:val="Fuentedeprrafopredeter"/>
    <w:link w:val="Textoindependiente"/>
    <w:uiPriority w:val="99"/>
    <w:semiHidden/>
    <w:rsid w:val="00197CD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TOC Heading" w:uiPriority="39" w:qFormat="1"/>
  </w:latentStyles>
  <w:style w:type="paragraph" w:default="1" w:styleId="Normal">
    <w:name w:val="Normal"/>
    <w:qFormat/>
    <w:rsid w:val="00BB07EF"/>
  </w:style>
  <w:style w:type="paragraph" w:styleId="Ttulo1">
    <w:name w:val="heading 1"/>
    <w:basedOn w:val="Normal"/>
    <w:next w:val="Normal"/>
    <w:link w:val="Ttulo1Car"/>
    <w:uiPriority w:val="9"/>
    <w:qFormat/>
    <w:rsid w:val="00BB07EF"/>
    <w:pPr>
      <w:keepNext/>
      <w:keepLines/>
      <w:spacing w:before="480" w:after="0"/>
      <w:outlineLvl w:val="0"/>
    </w:pPr>
    <w:rPr>
      <w:rFonts w:asciiTheme="majorHAnsi" w:eastAsiaTheme="majorEastAsia" w:hAnsiTheme="majorHAnsi" w:cstheme="majorBidi"/>
      <w:b/>
      <w:bCs/>
      <w:color w:val="365F91" w:themeColor="accent1" w:themeShade="BF"/>
      <w:sz w:val="28"/>
      <w:szCs w:val="28"/>
      <w:lang w:val="es-US"/>
    </w:rPr>
  </w:style>
  <w:style w:type="paragraph" w:styleId="Ttulo2">
    <w:name w:val="heading 2"/>
    <w:basedOn w:val="Normal"/>
    <w:next w:val="Normal"/>
    <w:link w:val="Ttulo2Car"/>
    <w:autoRedefine/>
    <w:uiPriority w:val="99"/>
    <w:unhideWhenUsed/>
    <w:qFormat/>
    <w:rsid w:val="00C9385F"/>
    <w:pPr>
      <w:keepNext/>
      <w:keepLines/>
      <w:spacing w:after="60"/>
      <w:jc w:val="both"/>
      <w:outlineLvl w:val="1"/>
    </w:pPr>
    <w:rPr>
      <w:rFonts w:ascii="Verdana" w:eastAsia="Calibri" w:hAnsi="Verdana" w:cs="Arial"/>
      <w:b/>
      <w:bCs/>
      <w:i/>
      <w:sz w:val="24"/>
      <w:szCs w:val="28"/>
      <w:lang w:val="es-MX"/>
    </w:rPr>
  </w:style>
  <w:style w:type="paragraph" w:styleId="Ttulo3">
    <w:name w:val="heading 3"/>
    <w:basedOn w:val="Normal"/>
    <w:next w:val="Normal"/>
    <w:link w:val="Ttulo3Car"/>
    <w:uiPriority w:val="9"/>
    <w:unhideWhenUsed/>
    <w:qFormat/>
    <w:rsid w:val="00BB07EF"/>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A6606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B07EF"/>
    <w:rPr>
      <w:rFonts w:asciiTheme="majorHAnsi" w:eastAsiaTheme="majorEastAsia" w:hAnsiTheme="majorHAnsi" w:cstheme="majorBidi"/>
      <w:b/>
      <w:bCs/>
      <w:color w:val="365F91" w:themeColor="accent1" w:themeShade="BF"/>
      <w:sz w:val="28"/>
      <w:szCs w:val="28"/>
      <w:lang w:val="es-US"/>
    </w:rPr>
  </w:style>
  <w:style w:type="character" w:customStyle="1" w:styleId="Ttulo2Car">
    <w:name w:val="Título 2 Car"/>
    <w:basedOn w:val="Fuentedeprrafopredeter"/>
    <w:link w:val="Ttulo2"/>
    <w:uiPriority w:val="99"/>
    <w:rsid w:val="00C9385F"/>
    <w:rPr>
      <w:rFonts w:ascii="Verdana" w:eastAsia="Calibri" w:hAnsi="Verdana" w:cs="Arial"/>
      <w:b/>
      <w:bCs/>
      <w:i/>
      <w:sz w:val="24"/>
      <w:szCs w:val="28"/>
      <w:lang w:val="es-MX"/>
    </w:rPr>
  </w:style>
  <w:style w:type="character" w:customStyle="1" w:styleId="Ttulo3Car">
    <w:name w:val="Título 3 Car"/>
    <w:basedOn w:val="Fuentedeprrafopredeter"/>
    <w:link w:val="Ttulo3"/>
    <w:uiPriority w:val="9"/>
    <w:rsid w:val="00BB07EF"/>
    <w:rPr>
      <w:rFonts w:asciiTheme="majorHAnsi" w:eastAsiaTheme="majorEastAsia" w:hAnsiTheme="majorHAnsi" w:cstheme="majorBidi"/>
      <w:b/>
      <w:bCs/>
      <w:color w:val="4F81BD" w:themeColor="accent1"/>
    </w:rPr>
  </w:style>
  <w:style w:type="paragraph" w:styleId="Sinespaciado">
    <w:name w:val="No Spacing"/>
    <w:uiPriority w:val="99"/>
    <w:qFormat/>
    <w:rsid w:val="00BB07EF"/>
    <w:pPr>
      <w:spacing w:after="0" w:line="240" w:lineRule="auto"/>
    </w:pPr>
    <w:rPr>
      <w:rFonts w:eastAsiaTheme="minorEastAsia"/>
      <w:lang w:eastAsia="es-EC"/>
    </w:rPr>
  </w:style>
  <w:style w:type="character" w:styleId="Hipervnculo">
    <w:name w:val="Hyperlink"/>
    <w:basedOn w:val="Fuentedeprrafopredeter"/>
    <w:uiPriority w:val="99"/>
    <w:unhideWhenUsed/>
    <w:rsid w:val="00BB07EF"/>
    <w:rPr>
      <w:color w:val="0000FF"/>
      <w:u w:val="single"/>
    </w:rPr>
  </w:style>
  <w:style w:type="paragraph" w:styleId="Prrafodelista">
    <w:name w:val="List Paragraph"/>
    <w:basedOn w:val="Normal"/>
    <w:uiPriority w:val="34"/>
    <w:qFormat/>
    <w:rsid w:val="00BB07EF"/>
    <w:pPr>
      <w:ind w:left="720"/>
      <w:contextualSpacing/>
    </w:pPr>
    <w:rPr>
      <w:lang w:val="es-US"/>
    </w:rPr>
  </w:style>
  <w:style w:type="character" w:styleId="Refdecomentario">
    <w:name w:val="annotation reference"/>
    <w:basedOn w:val="Fuentedeprrafopredeter"/>
    <w:uiPriority w:val="99"/>
    <w:semiHidden/>
    <w:unhideWhenUsed/>
    <w:rsid w:val="00BB07EF"/>
    <w:rPr>
      <w:sz w:val="16"/>
      <w:szCs w:val="16"/>
    </w:rPr>
  </w:style>
  <w:style w:type="paragraph" w:styleId="Textocomentario">
    <w:name w:val="annotation text"/>
    <w:basedOn w:val="Normal"/>
    <w:link w:val="TextocomentarioCar"/>
    <w:uiPriority w:val="99"/>
    <w:unhideWhenUsed/>
    <w:rsid w:val="00BB07EF"/>
    <w:pPr>
      <w:spacing w:line="240" w:lineRule="auto"/>
    </w:pPr>
    <w:rPr>
      <w:sz w:val="20"/>
      <w:szCs w:val="20"/>
      <w:lang w:val="es-US"/>
    </w:rPr>
  </w:style>
  <w:style w:type="character" w:customStyle="1" w:styleId="TextocomentarioCar">
    <w:name w:val="Texto comentario Car"/>
    <w:basedOn w:val="Fuentedeprrafopredeter"/>
    <w:link w:val="Textocomentario"/>
    <w:uiPriority w:val="99"/>
    <w:rsid w:val="00BB07EF"/>
    <w:rPr>
      <w:sz w:val="20"/>
      <w:szCs w:val="20"/>
      <w:lang w:val="es-US"/>
    </w:rPr>
  </w:style>
  <w:style w:type="paragraph" w:styleId="Textonotapie">
    <w:name w:val="footnote text"/>
    <w:basedOn w:val="Normal"/>
    <w:link w:val="TextonotapieCar"/>
    <w:uiPriority w:val="99"/>
    <w:semiHidden/>
    <w:unhideWhenUsed/>
    <w:rsid w:val="00BB07EF"/>
    <w:pPr>
      <w:spacing w:after="0" w:line="240" w:lineRule="auto"/>
    </w:pPr>
    <w:rPr>
      <w:sz w:val="20"/>
      <w:szCs w:val="20"/>
      <w:lang w:val="es-US"/>
    </w:rPr>
  </w:style>
  <w:style w:type="character" w:customStyle="1" w:styleId="TextonotapieCar">
    <w:name w:val="Texto nota pie Car"/>
    <w:basedOn w:val="Fuentedeprrafopredeter"/>
    <w:link w:val="Textonotapie"/>
    <w:uiPriority w:val="99"/>
    <w:semiHidden/>
    <w:rsid w:val="00BB07EF"/>
    <w:rPr>
      <w:sz w:val="20"/>
      <w:szCs w:val="20"/>
      <w:lang w:val="es-US"/>
    </w:rPr>
  </w:style>
  <w:style w:type="character" w:styleId="Refdenotaalpie">
    <w:name w:val="footnote reference"/>
    <w:basedOn w:val="Fuentedeprrafopredeter"/>
    <w:uiPriority w:val="99"/>
    <w:semiHidden/>
    <w:unhideWhenUsed/>
    <w:rsid w:val="00BB07EF"/>
    <w:rPr>
      <w:vertAlign w:val="superscript"/>
    </w:rPr>
  </w:style>
  <w:style w:type="paragraph" w:styleId="TtulodeTDC">
    <w:name w:val="TOC Heading"/>
    <w:basedOn w:val="Ttulo1"/>
    <w:next w:val="Normal"/>
    <w:uiPriority w:val="39"/>
    <w:unhideWhenUsed/>
    <w:qFormat/>
    <w:rsid w:val="00BB07EF"/>
    <w:pPr>
      <w:outlineLvl w:val="9"/>
    </w:pPr>
    <w:rPr>
      <w:lang w:val="es-EC" w:eastAsia="es-EC"/>
    </w:rPr>
  </w:style>
  <w:style w:type="paragraph" w:styleId="TDC2">
    <w:name w:val="toc 2"/>
    <w:basedOn w:val="Normal"/>
    <w:next w:val="Normal"/>
    <w:autoRedefine/>
    <w:uiPriority w:val="39"/>
    <w:unhideWhenUsed/>
    <w:rsid w:val="00BB07EF"/>
    <w:pPr>
      <w:spacing w:after="100"/>
      <w:ind w:left="220"/>
    </w:pPr>
    <w:rPr>
      <w:lang w:val="es-US"/>
    </w:rPr>
  </w:style>
  <w:style w:type="paragraph" w:styleId="TDC1">
    <w:name w:val="toc 1"/>
    <w:basedOn w:val="Normal"/>
    <w:next w:val="Normal"/>
    <w:autoRedefine/>
    <w:uiPriority w:val="39"/>
    <w:unhideWhenUsed/>
    <w:rsid w:val="00BB07EF"/>
    <w:pPr>
      <w:spacing w:after="100"/>
    </w:pPr>
    <w:rPr>
      <w:lang w:val="es-US"/>
    </w:rPr>
  </w:style>
  <w:style w:type="paragraph" w:styleId="Textodeglobo">
    <w:name w:val="Balloon Text"/>
    <w:basedOn w:val="Normal"/>
    <w:link w:val="TextodegloboCar"/>
    <w:uiPriority w:val="99"/>
    <w:semiHidden/>
    <w:unhideWhenUsed/>
    <w:rsid w:val="00BB07E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B07EF"/>
    <w:rPr>
      <w:rFonts w:ascii="Tahoma" w:hAnsi="Tahoma" w:cs="Tahoma"/>
      <w:sz w:val="16"/>
      <w:szCs w:val="16"/>
    </w:rPr>
  </w:style>
  <w:style w:type="paragraph" w:styleId="Asuntodelcomentario">
    <w:name w:val="annotation subject"/>
    <w:basedOn w:val="Textocomentario"/>
    <w:next w:val="Textocomentario"/>
    <w:link w:val="AsuntodelcomentarioCar"/>
    <w:uiPriority w:val="99"/>
    <w:semiHidden/>
    <w:rsid w:val="00BB07EF"/>
    <w:rPr>
      <w:rFonts w:ascii="Calibri" w:eastAsia="Calibri" w:hAnsi="Calibri" w:cs="Calibri"/>
      <w:b/>
      <w:bCs/>
      <w:lang w:val="es-EC"/>
    </w:rPr>
  </w:style>
  <w:style w:type="character" w:customStyle="1" w:styleId="AsuntodelcomentarioCar">
    <w:name w:val="Asunto del comentario Car"/>
    <w:basedOn w:val="TextocomentarioCar"/>
    <w:link w:val="Asuntodelcomentario"/>
    <w:uiPriority w:val="99"/>
    <w:semiHidden/>
    <w:rsid w:val="00BB07EF"/>
    <w:rPr>
      <w:rFonts w:ascii="Calibri" w:eastAsia="Calibri" w:hAnsi="Calibri" w:cs="Calibri"/>
      <w:b/>
      <w:bCs/>
      <w:sz w:val="20"/>
      <w:szCs w:val="20"/>
      <w:lang w:val="es-US"/>
    </w:rPr>
  </w:style>
  <w:style w:type="paragraph" w:styleId="NormalWeb">
    <w:name w:val="Normal (Web)"/>
    <w:basedOn w:val="Normal"/>
    <w:uiPriority w:val="99"/>
    <w:rsid w:val="00BB07EF"/>
    <w:pPr>
      <w:spacing w:before="100" w:beforeAutospacing="1" w:after="100" w:afterAutospacing="1" w:line="240" w:lineRule="auto"/>
    </w:pPr>
    <w:rPr>
      <w:rFonts w:ascii="Times New Roman" w:eastAsia="Times New Roman" w:hAnsi="Times New Roman" w:cs="Times New Roman"/>
      <w:sz w:val="24"/>
      <w:szCs w:val="24"/>
      <w:lang w:val="es-US" w:eastAsia="es-ES"/>
    </w:rPr>
  </w:style>
  <w:style w:type="paragraph" w:styleId="Bibliografa">
    <w:name w:val="Bibliography"/>
    <w:basedOn w:val="Normal"/>
    <w:next w:val="Normal"/>
    <w:uiPriority w:val="99"/>
    <w:rsid w:val="00BB07EF"/>
    <w:rPr>
      <w:rFonts w:ascii="Calibri" w:eastAsia="Times New Roman" w:hAnsi="Calibri" w:cs="Calibri"/>
      <w:lang w:val="es-US" w:eastAsia="es-US"/>
    </w:rPr>
  </w:style>
  <w:style w:type="paragraph" w:customStyle="1" w:styleId="font8">
    <w:name w:val="font_8"/>
    <w:basedOn w:val="Normal"/>
    <w:uiPriority w:val="99"/>
    <w:rsid w:val="00BB07EF"/>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styleId="Encabezado">
    <w:name w:val="header"/>
    <w:basedOn w:val="Normal"/>
    <w:link w:val="EncabezadoCar"/>
    <w:uiPriority w:val="99"/>
    <w:unhideWhenUsed/>
    <w:rsid w:val="00BB07EF"/>
    <w:pPr>
      <w:tabs>
        <w:tab w:val="center" w:pos="4252"/>
        <w:tab w:val="right" w:pos="8504"/>
      </w:tabs>
      <w:spacing w:after="0" w:line="240" w:lineRule="auto"/>
    </w:pPr>
    <w:rPr>
      <w:rFonts w:ascii="Calibri" w:eastAsia="Calibri" w:hAnsi="Calibri" w:cs="Calibri"/>
    </w:rPr>
  </w:style>
  <w:style w:type="character" w:customStyle="1" w:styleId="EncabezadoCar">
    <w:name w:val="Encabezado Car"/>
    <w:basedOn w:val="Fuentedeprrafopredeter"/>
    <w:link w:val="Encabezado"/>
    <w:uiPriority w:val="99"/>
    <w:rsid w:val="00BB07EF"/>
    <w:rPr>
      <w:rFonts w:ascii="Calibri" w:eastAsia="Calibri" w:hAnsi="Calibri" w:cs="Calibri"/>
    </w:rPr>
  </w:style>
  <w:style w:type="paragraph" w:styleId="Piedepgina">
    <w:name w:val="footer"/>
    <w:basedOn w:val="Normal"/>
    <w:link w:val="PiedepginaCar"/>
    <w:uiPriority w:val="99"/>
    <w:unhideWhenUsed/>
    <w:rsid w:val="00BB07EF"/>
    <w:pPr>
      <w:tabs>
        <w:tab w:val="center" w:pos="4252"/>
        <w:tab w:val="right" w:pos="8504"/>
      </w:tabs>
      <w:spacing w:after="0" w:line="240" w:lineRule="auto"/>
    </w:pPr>
    <w:rPr>
      <w:rFonts w:ascii="Calibri" w:eastAsia="Calibri" w:hAnsi="Calibri" w:cs="Calibri"/>
    </w:rPr>
  </w:style>
  <w:style w:type="character" w:customStyle="1" w:styleId="PiedepginaCar">
    <w:name w:val="Pie de página Car"/>
    <w:basedOn w:val="Fuentedeprrafopredeter"/>
    <w:link w:val="Piedepgina"/>
    <w:uiPriority w:val="99"/>
    <w:rsid w:val="00BB07EF"/>
    <w:rPr>
      <w:rFonts w:ascii="Calibri" w:eastAsia="Calibri" w:hAnsi="Calibri" w:cs="Calibri"/>
    </w:rPr>
  </w:style>
  <w:style w:type="table" w:styleId="Tablaconcuadrcula">
    <w:name w:val="Table Grid"/>
    <w:basedOn w:val="Tablanormal"/>
    <w:uiPriority w:val="59"/>
    <w:rsid w:val="00BB07E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
    <w:name w:val="Tabla con cuadrícula1"/>
    <w:basedOn w:val="Tablanormal"/>
    <w:next w:val="Tablaconcuadrcula"/>
    <w:uiPriority w:val="59"/>
    <w:rsid w:val="00BB07EF"/>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BB07EF"/>
    <w:pPr>
      <w:autoSpaceDE w:val="0"/>
      <w:autoSpaceDN w:val="0"/>
      <w:adjustRightInd w:val="0"/>
      <w:spacing w:after="0" w:line="240" w:lineRule="auto"/>
    </w:pPr>
    <w:rPr>
      <w:rFonts w:ascii="Arial" w:eastAsia="Calibri" w:hAnsi="Arial" w:cs="Arial"/>
      <w:color w:val="000000"/>
      <w:sz w:val="24"/>
      <w:szCs w:val="24"/>
    </w:rPr>
  </w:style>
  <w:style w:type="character" w:customStyle="1" w:styleId="A620">
    <w:name w:val="A6+20"/>
    <w:uiPriority w:val="99"/>
    <w:rsid w:val="00BB07EF"/>
    <w:rPr>
      <w:rFonts w:cs="Rotis Semi Serif Std"/>
      <w:color w:val="000000"/>
      <w:sz w:val="18"/>
      <w:szCs w:val="18"/>
    </w:rPr>
  </w:style>
  <w:style w:type="paragraph" w:styleId="Sangradetextonormal">
    <w:name w:val="Body Text Indent"/>
    <w:basedOn w:val="Normal"/>
    <w:link w:val="SangradetextonormalCar"/>
    <w:uiPriority w:val="99"/>
    <w:semiHidden/>
    <w:unhideWhenUsed/>
    <w:rsid w:val="00BB07EF"/>
    <w:pPr>
      <w:spacing w:after="120"/>
      <w:ind w:left="283"/>
    </w:pPr>
  </w:style>
  <w:style w:type="character" w:customStyle="1" w:styleId="SangradetextonormalCar">
    <w:name w:val="Sangría de texto normal Car"/>
    <w:basedOn w:val="Fuentedeprrafopredeter"/>
    <w:link w:val="Sangradetextonormal"/>
    <w:uiPriority w:val="99"/>
    <w:semiHidden/>
    <w:rsid w:val="00BB07EF"/>
  </w:style>
  <w:style w:type="paragraph" w:styleId="Textoindependienteprimerasangra2">
    <w:name w:val="Body Text First Indent 2"/>
    <w:basedOn w:val="Sangradetextonormal"/>
    <w:link w:val="Textoindependienteprimerasangra2Car"/>
    <w:uiPriority w:val="99"/>
    <w:unhideWhenUsed/>
    <w:rsid w:val="00BB07EF"/>
    <w:pPr>
      <w:spacing w:after="200"/>
      <w:ind w:left="360" w:firstLine="360"/>
    </w:pPr>
    <w:rPr>
      <w:lang w:val="es-US"/>
    </w:rPr>
  </w:style>
  <w:style w:type="character" w:customStyle="1" w:styleId="Textoindependienteprimerasangra2Car">
    <w:name w:val="Texto independiente primera sangría 2 Car"/>
    <w:basedOn w:val="SangradetextonormalCar"/>
    <w:link w:val="Textoindependienteprimerasangra2"/>
    <w:uiPriority w:val="99"/>
    <w:rsid w:val="00BB07EF"/>
    <w:rPr>
      <w:lang w:val="es-US"/>
    </w:rPr>
  </w:style>
  <w:style w:type="paragraph" w:styleId="TDC3">
    <w:name w:val="toc 3"/>
    <w:basedOn w:val="Normal"/>
    <w:next w:val="Normal"/>
    <w:autoRedefine/>
    <w:uiPriority w:val="39"/>
    <w:unhideWhenUsed/>
    <w:rsid w:val="00E65C55"/>
    <w:pPr>
      <w:spacing w:after="100"/>
      <w:ind w:left="440"/>
    </w:pPr>
  </w:style>
  <w:style w:type="paragraph" w:styleId="Subttulo">
    <w:name w:val="Subtitle"/>
    <w:basedOn w:val="Normal"/>
    <w:next w:val="Normal"/>
    <w:link w:val="SubttuloCar"/>
    <w:uiPriority w:val="11"/>
    <w:qFormat/>
    <w:rsid w:val="00A6606A"/>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A6606A"/>
    <w:rPr>
      <w:rFonts w:asciiTheme="majorHAnsi" w:eastAsiaTheme="majorEastAsia" w:hAnsiTheme="majorHAnsi" w:cstheme="majorBidi"/>
      <w:i/>
      <w:iCs/>
      <w:color w:val="4F81BD" w:themeColor="accent1"/>
      <w:spacing w:val="15"/>
      <w:sz w:val="24"/>
      <w:szCs w:val="24"/>
    </w:rPr>
  </w:style>
  <w:style w:type="character" w:customStyle="1" w:styleId="Ttulo4Car">
    <w:name w:val="Título 4 Car"/>
    <w:basedOn w:val="Fuentedeprrafopredeter"/>
    <w:link w:val="Ttulo4"/>
    <w:uiPriority w:val="9"/>
    <w:rsid w:val="00A6606A"/>
    <w:rPr>
      <w:rFonts w:asciiTheme="majorHAnsi" w:eastAsiaTheme="majorEastAsia" w:hAnsiTheme="majorHAnsi" w:cstheme="majorBidi"/>
      <w:b/>
      <w:bCs/>
      <w:i/>
      <w:iCs/>
      <w:color w:val="4F81BD" w:themeColor="accent1"/>
    </w:rPr>
  </w:style>
  <w:style w:type="paragraph" w:styleId="Epgrafe">
    <w:name w:val="caption"/>
    <w:basedOn w:val="Normal"/>
    <w:next w:val="Normal"/>
    <w:uiPriority w:val="35"/>
    <w:unhideWhenUsed/>
    <w:qFormat/>
    <w:rsid w:val="00536A2E"/>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C95607"/>
    <w:pPr>
      <w:spacing w:after="0"/>
    </w:pPr>
  </w:style>
  <w:style w:type="paragraph" w:styleId="Textoindependiente">
    <w:name w:val="Body Text"/>
    <w:basedOn w:val="Normal"/>
    <w:link w:val="TextoindependienteCar"/>
    <w:uiPriority w:val="99"/>
    <w:semiHidden/>
    <w:unhideWhenUsed/>
    <w:rsid w:val="00197CDD"/>
    <w:pPr>
      <w:spacing w:after="120"/>
    </w:pPr>
  </w:style>
  <w:style w:type="character" w:customStyle="1" w:styleId="TextoindependienteCar">
    <w:name w:val="Texto independiente Car"/>
    <w:basedOn w:val="Fuentedeprrafopredeter"/>
    <w:link w:val="Textoindependiente"/>
    <w:uiPriority w:val="99"/>
    <w:semiHidden/>
    <w:rsid w:val="00197C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438605">
      <w:bodyDiv w:val="1"/>
      <w:marLeft w:val="0"/>
      <w:marRight w:val="0"/>
      <w:marTop w:val="0"/>
      <w:marBottom w:val="0"/>
      <w:divBdr>
        <w:top w:val="none" w:sz="0" w:space="0" w:color="auto"/>
        <w:left w:val="none" w:sz="0" w:space="0" w:color="auto"/>
        <w:bottom w:val="none" w:sz="0" w:space="0" w:color="auto"/>
        <w:right w:val="none" w:sz="0" w:space="0" w:color="auto"/>
      </w:divBdr>
    </w:div>
    <w:div w:id="722480783">
      <w:bodyDiv w:val="1"/>
      <w:marLeft w:val="0"/>
      <w:marRight w:val="0"/>
      <w:marTop w:val="0"/>
      <w:marBottom w:val="0"/>
      <w:divBdr>
        <w:top w:val="none" w:sz="0" w:space="0" w:color="auto"/>
        <w:left w:val="none" w:sz="0" w:space="0" w:color="auto"/>
        <w:bottom w:val="none" w:sz="0" w:space="0" w:color="auto"/>
        <w:right w:val="none" w:sz="0" w:space="0" w:color="auto"/>
      </w:divBdr>
    </w:div>
    <w:div w:id="1028680953">
      <w:bodyDiv w:val="1"/>
      <w:marLeft w:val="0"/>
      <w:marRight w:val="0"/>
      <w:marTop w:val="0"/>
      <w:marBottom w:val="0"/>
      <w:divBdr>
        <w:top w:val="none" w:sz="0" w:space="0" w:color="auto"/>
        <w:left w:val="none" w:sz="0" w:space="0" w:color="auto"/>
        <w:bottom w:val="none" w:sz="0" w:space="0" w:color="auto"/>
        <w:right w:val="none" w:sz="0" w:space="0" w:color="auto"/>
      </w:divBdr>
    </w:div>
    <w:div w:id="1267158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hyperlink" Target="http://www.congope.gob.ec/wp-content/uploads/2014/08/Cadenas-Productivas-y-Desarrollo-Economico-Rural-en-Latinoamerica.pdf" TargetMode="External"/><Relationship Id="rId39"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hyperlink" Target="http://www3.weforum.org/docs/WEF_GlobalCompetitivenessReport_2014-15.pdf" TargetMode="External"/><Relationship Id="rId42" Type="http://schemas.openxmlformats.org/officeDocument/2006/relationships/image" Target="media/image19.png"/><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chart" Target="charts/chart2.xml"/><Relationship Id="rId33" Type="http://schemas.openxmlformats.org/officeDocument/2006/relationships/hyperlink" Target="http://www.cepal.org/publicaciones/xml/9/19229/valpy.htm" TargetMode="External"/><Relationship Id="rId38" Type="http://schemas.openxmlformats.org/officeDocument/2006/relationships/hyperlink" Target="http://salaimartin.com/randomthoughts/item/16-dos-mitos-sobre-la-competitividad.html"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1.png"/><Relationship Id="rId29" Type="http://schemas.openxmlformats.org/officeDocument/2006/relationships/hyperlink" Target="http://economipedia.com/definiciones/ventaja-absoluta.html" TargetMode="External"/><Relationship Id="rId41"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5.emf"/><Relationship Id="rId32" Type="http://schemas.openxmlformats.org/officeDocument/2006/relationships/hyperlink" Target="http://departamento.pucp.edu.pe/economia/images/documentos/DDD88.pdf" TargetMode="External"/><Relationship Id="rId37" Type="http://schemas.openxmlformats.org/officeDocument/2006/relationships/hyperlink" Target="http://revistas.udem.edu.co/index.php/economico/article/view/1434/1505" TargetMode="External"/><Relationship Id="rId40" Type="http://schemas.openxmlformats.org/officeDocument/2006/relationships/image" Target="media/image17.png"/><Relationship Id="rId45"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4.png"/><Relationship Id="rId28" Type="http://schemas.openxmlformats.org/officeDocument/2006/relationships/hyperlink" Target="http://www.eclac.org/publicaciones/xml/4/36814/RVE98DiFilippo.pdf" TargetMode="External"/><Relationship Id="rId36" Type="http://schemas.openxmlformats.org/officeDocument/2006/relationships/hyperlink" Target="http://www.eclac.org/publicaciones/xml/4/34904/RVE96Prebisch.pdf" TargetMode="External"/><Relationship Id="rId10" Type="http://schemas.openxmlformats.org/officeDocument/2006/relationships/image" Target="media/image2.png"/><Relationship Id="rId19" Type="http://schemas.openxmlformats.org/officeDocument/2006/relationships/chart" Target="charts/chart1.xml"/><Relationship Id="rId31" Type="http://schemas.openxmlformats.org/officeDocument/2006/relationships/hyperlink" Target="https://www.elblogsalmon.com/conceptos-de-economia/que-es-la-ventaja-comparativa" TargetMode="External"/><Relationship Id="rId44" Type="http://schemas.openxmlformats.org/officeDocument/2006/relationships/image" Target="media/image21.png"/><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hyperlink" Target="http://coyuntura-economia.blogspot.com/2010/04/samuelson-explica-el-concepto-de.html" TargetMode="External"/><Relationship Id="rId30" Type="http://schemas.openxmlformats.org/officeDocument/2006/relationships/hyperlink" Target="http://www.puce.edu.ec/economia/efi/index.php/economia-internacional/12-teoria-clasica/71-teoria-de-la-ventaja-absoluta-de-adam-smith" TargetMode="External"/><Relationship Id="rId35" Type="http://schemas.openxmlformats.org/officeDocument/2006/relationships/hyperlink" Target="http://aleph.org.mx/jspui/bitstream/56789/6983/1/DOCT2064854_ARTICULO_7.PDF" TargetMode="External"/><Relationship Id="rId43" Type="http://schemas.openxmlformats.org/officeDocument/2006/relationships/image" Target="media/image20.pn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H:\TESIS\Capitulo%201\cuadros%20en%20excel.xlsx" TargetMode="External"/></Relationships>
</file>

<file path=word/charts/_rels/chart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27"/>
    </mc:Choice>
    <mc:Fallback>
      <c:style val="27"/>
    </mc:Fallback>
  </mc:AlternateContent>
  <c:chart>
    <c:autoTitleDeleted val="1"/>
    <c:plotArea>
      <c:layout>
        <c:manualLayout>
          <c:layoutTarget val="inner"/>
          <c:xMode val="edge"/>
          <c:yMode val="edge"/>
          <c:x val="0.17744705575925146"/>
          <c:y val="4.2234971078441208E-2"/>
          <c:w val="0.80016108673438724"/>
          <c:h val="0.81885498124464395"/>
        </c:manualLayout>
      </c:layout>
      <c:barChart>
        <c:barDir val="col"/>
        <c:grouping val="clustered"/>
        <c:varyColors val="0"/>
        <c:ser>
          <c:idx val="0"/>
          <c:order val="0"/>
          <c:invertIfNegative val="0"/>
          <c:dLbls>
            <c:txPr>
              <a:bodyPr rot="-3780000"/>
              <a:lstStyle/>
              <a:p>
                <a:pPr>
                  <a:defRPr/>
                </a:pPr>
                <a:endParaRPr lang="es-EC"/>
              </a:p>
            </c:txPr>
            <c:showLegendKey val="0"/>
            <c:showVal val="1"/>
            <c:showCatName val="0"/>
            <c:showSerName val="0"/>
            <c:showPercent val="0"/>
            <c:showBubbleSize val="0"/>
            <c:showLeaderLines val="0"/>
          </c:dLbls>
          <c:cat>
            <c:numRef>
              <c:f>Hoja1!$A$3:$A$25</c:f>
              <c:numCache>
                <c:formatCode>General</c:formatCode>
                <c:ptCount val="2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numCache>
            </c:numRef>
          </c:cat>
          <c:val>
            <c:numRef>
              <c:f>Hoja1!$B$3:$B$25</c:f>
              <c:numCache>
                <c:formatCode>_(* #,##0_);_(* \(#,##0\);_(* "-"??_);_(@_)</c:formatCode>
                <c:ptCount val="23"/>
                <c:pt idx="0">
                  <c:v>3092</c:v>
                </c:pt>
                <c:pt idx="1">
                  <c:v>3853</c:v>
                </c:pt>
                <c:pt idx="2">
                  <c:v>4351</c:v>
                </c:pt>
                <c:pt idx="3">
                  <c:v>3940</c:v>
                </c:pt>
                <c:pt idx="4">
                  <c:v>4657</c:v>
                </c:pt>
                <c:pt idx="5">
                  <c:v>5559</c:v>
                </c:pt>
                <c:pt idx="6">
                  <c:v>7207</c:v>
                </c:pt>
                <c:pt idx="7">
                  <c:v>7864</c:v>
                </c:pt>
                <c:pt idx="8">
                  <c:v>12127</c:v>
                </c:pt>
                <c:pt idx="9">
                  <c:v>15249</c:v>
                </c:pt>
                <c:pt idx="10">
                  <c:v>16824</c:v>
                </c:pt>
                <c:pt idx="11">
                  <c:v>20342</c:v>
                </c:pt>
                <c:pt idx="12">
                  <c:v>25785</c:v>
                </c:pt>
                <c:pt idx="13">
                  <c:v>27640</c:v>
                </c:pt>
                <c:pt idx="14">
                  <c:v>33869</c:v>
                </c:pt>
                <c:pt idx="15">
                  <c:v>26210</c:v>
                </c:pt>
                <c:pt idx="16">
                  <c:v>18924</c:v>
                </c:pt>
                <c:pt idx="17">
                  <c:v>24957</c:v>
                </c:pt>
                <c:pt idx="18">
                  <c:v>26641</c:v>
                </c:pt>
                <c:pt idx="19">
                  <c:v>9764</c:v>
                </c:pt>
                <c:pt idx="20">
                  <c:v>13076</c:v>
                </c:pt>
                <c:pt idx="21">
                  <c:v>18730</c:v>
                </c:pt>
                <c:pt idx="22">
                  <c:v>20295</c:v>
                </c:pt>
              </c:numCache>
            </c:numRef>
          </c:val>
        </c:ser>
        <c:dLbls>
          <c:showLegendKey val="0"/>
          <c:showVal val="1"/>
          <c:showCatName val="0"/>
          <c:showSerName val="0"/>
          <c:showPercent val="0"/>
          <c:showBubbleSize val="0"/>
        </c:dLbls>
        <c:gapWidth val="75"/>
        <c:axId val="73880704"/>
        <c:axId val="54640640"/>
      </c:barChart>
      <c:catAx>
        <c:axId val="73880704"/>
        <c:scaling>
          <c:orientation val="minMax"/>
        </c:scaling>
        <c:delete val="0"/>
        <c:axPos val="b"/>
        <c:numFmt formatCode="General" sourceLinked="1"/>
        <c:majorTickMark val="none"/>
        <c:minorTickMark val="none"/>
        <c:tickLblPos val="nextTo"/>
        <c:txPr>
          <a:bodyPr rot="-3540000"/>
          <a:lstStyle/>
          <a:p>
            <a:pPr>
              <a:defRPr/>
            </a:pPr>
            <a:endParaRPr lang="es-EC"/>
          </a:p>
        </c:txPr>
        <c:crossAx val="54640640"/>
        <c:crosses val="autoZero"/>
        <c:auto val="1"/>
        <c:lblAlgn val="ctr"/>
        <c:lblOffset val="100"/>
        <c:noMultiLvlLbl val="0"/>
      </c:catAx>
      <c:valAx>
        <c:axId val="54640640"/>
        <c:scaling>
          <c:orientation val="minMax"/>
        </c:scaling>
        <c:delete val="0"/>
        <c:axPos val="l"/>
        <c:numFmt formatCode="_(* #,##0_);_(* \(#,##0\);_(* &quot;-&quot;??_);_(@_)" sourceLinked="1"/>
        <c:majorTickMark val="none"/>
        <c:minorTickMark val="none"/>
        <c:tickLblPos val="nextTo"/>
        <c:crossAx val="73880704"/>
        <c:crosses val="autoZero"/>
        <c:crossBetween val="between"/>
      </c:valAx>
    </c:plotArea>
    <c:plotVisOnly val="1"/>
    <c:dispBlanksAs val="gap"/>
    <c:showDLblsOverMax val="0"/>
  </c:chart>
  <c:txPr>
    <a:bodyPr/>
    <a:lstStyle/>
    <a:p>
      <a:pPr>
        <a:defRPr baseline="0"/>
      </a:pPr>
      <a:endParaRPr lang="es-EC"/>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'[cuadros cap.2.xlsx]exportaciones de vehiculos (2)'!$A$17</c:f>
              <c:strCache>
                <c:ptCount val="1"/>
                <c:pt idx="0">
                  <c:v>AYMESA</c:v>
                </c:pt>
              </c:strCache>
            </c:strRef>
          </c:tx>
          <c:spPr>
            <a:solidFill>
              <a:schemeClr val="accent4">
                <a:lumMod val="60000"/>
                <a:lumOff val="40000"/>
              </a:schemeClr>
            </a:solidFill>
          </c:spPr>
          <c:invertIfNegative val="0"/>
          <c:cat>
            <c:numRef>
              <c:f>'[cuadros cap.2.xlsx]exportaciones de vehiculos (2)'!$V$16:$Z$16</c:f>
              <c:numCache>
                <c:formatCode>General</c:formatCode>
                <c:ptCount val="5"/>
                <c:pt idx="0">
                  <c:v>2011</c:v>
                </c:pt>
                <c:pt idx="1">
                  <c:v>2012</c:v>
                </c:pt>
                <c:pt idx="2">
                  <c:v>2013</c:v>
                </c:pt>
                <c:pt idx="3">
                  <c:v>2014</c:v>
                </c:pt>
                <c:pt idx="4">
                  <c:v>2015</c:v>
                </c:pt>
              </c:numCache>
            </c:numRef>
          </c:cat>
          <c:val>
            <c:numRef>
              <c:f>'[cuadros cap.2.xlsx]exportaciones de vehiculos (2)'!$B$17:$Z$17</c:f>
              <c:numCache>
                <c:formatCode>#,##0</c:formatCode>
                <c:ptCount val="5"/>
                <c:pt idx="0">
                  <c:v>13888</c:v>
                </c:pt>
                <c:pt idx="1">
                  <c:v>16831</c:v>
                </c:pt>
                <c:pt idx="2">
                  <c:v>14131</c:v>
                </c:pt>
                <c:pt idx="3">
                  <c:v>10075</c:v>
                </c:pt>
                <c:pt idx="4">
                  <c:v>6666</c:v>
                </c:pt>
              </c:numCache>
            </c:numRef>
          </c:val>
        </c:ser>
        <c:ser>
          <c:idx val="1"/>
          <c:order val="1"/>
          <c:tx>
            <c:strRef>
              <c:f>'[cuadros cap.2.xlsx]exportaciones de vehiculos (2)'!$A$18</c:f>
              <c:strCache>
                <c:ptCount val="1"/>
                <c:pt idx="0">
                  <c:v>CIAUTO</c:v>
                </c:pt>
              </c:strCache>
            </c:strRef>
          </c:tx>
          <c:invertIfNegative val="0"/>
          <c:cat>
            <c:numRef>
              <c:f>'[cuadros cap.2.xlsx]exportaciones de vehiculos (2)'!$V$16:$Z$16</c:f>
              <c:numCache>
                <c:formatCode>General</c:formatCode>
                <c:ptCount val="5"/>
                <c:pt idx="0">
                  <c:v>2011</c:v>
                </c:pt>
                <c:pt idx="1">
                  <c:v>2012</c:v>
                </c:pt>
                <c:pt idx="2">
                  <c:v>2013</c:v>
                </c:pt>
                <c:pt idx="3">
                  <c:v>2014</c:v>
                </c:pt>
                <c:pt idx="4">
                  <c:v>2015</c:v>
                </c:pt>
              </c:numCache>
            </c:numRef>
          </c:cat>
          <c:val>
            <c:numRef>
              <c:f>'[cuadros cap.2.xlsx]exportaciones de vehiculos (2)'!$B$18:$Z$18</c:f>
              <c:numCache>
                <c:formatCode>General</c:formatCode>
                <c:ptCount val="5"/>
                <c:pt idx="0">
                  <c:v>0</c:v>
                </c:pt>
                <c:pt idx="1">
                  <c:v>0</c:v>
                </c:pt>
                <c:pt idx="2">
                  <c:v>745</c:v>
                </c:pt>
                <c:pt idx="3" formatCode="#,##0">
                  <c:v>1183</c:v>
                </c:pt>
                <c:pt idx="4" formatCode="#,##0">
                  <c:v>1806</c:v>
                </c:pt>
              </c:numCache>
            </c:numRef>
          </c:val>
        </c:ser>
        <c:ser>
          <c:idx val="2"/>
          <c:order val="2"/>
          <c:tx>
            <c:strRef>
              <c:f>'[cuadros cap.2.xlsx]exportaciones de vehiculos (2)'!$A$19</c:f>
              <c:strCache>
                <c:ptCount val="1"/>
                <c:pt idx="0">
                  <c:v>MARESA</c:v>
                </c:pt>
              </c:strCache>
            </c:strRef>
          </c:tx>
          <c:invertIfNegative val="0"/>
          <c:cat>
            <c:numRef>
              <c:f>'[cuadros cap.2.xlsx]exportaciones de vehiculos (2)'!$V$16:$Z$16</c:f>
              <c:numCache>
                <c:formatCode>General</c:formatCode>
                <c:ptCount val="5"/>
                <c:pt idx="0">
                  <c:v>2011</c:v>
                </c:pt>
                <c:pt idx="1">
                  <c:v>2012</c:v>
                </c:pt>
                <c:pt idx="2">
                  <c:v>2013</c:v>
                </c:pt>
                <c:pt idx="3">
                  <c:v>2014</c:v>
                </c:pt>
                <c:pt idx="4">
                  <c:v>2015</c:v>
                </c:pt>
              </c:numCache>
            </c:numRef>
          </c:cat>
          <c:val>
            <c:numRef>
              <c:f>'[cuadros cap.2.xlsx]exportaciones de vehiculos (2)'!$B$19:$Z$19</c:f>
              <c:numCache>
                <c:formatCode>#,##0</c:formatCode>
                <c:ptCount val="5"/>
                <c:pt idx="0">
                  <c:v>8129</c:v>
                </c:pt>
                <c:pt idx="1">
                  <c:v>9826</c:v>
                </c:pt>
                <c:pt idx="2">
                  <c:v>7474</c:v>
                </c:pt>
                <c:pt idx="3">
                  <c:v>5990</c:v>
                </c:pt>
                <c:pt idx="4">
                  <c:v>5680</c:v>
                </c:pt>
              </c:numCache>
            </c:numRef>
          </c:val>
        </c:ser>
        <c:ser>
          <c:idx val="3"/>
          <c:order val="3"/>
          <c:tx>
            <c:strRef>
              <c:f>'[cuadros cap.2.xlsx]exportaciones de vehiculos (2)'!$A$20</c:f>
              <c:strCache>
                <c:ptCount val="1"/>
                <c:pt idx="0">
                  <c:v>OMNIBUS BB</c:v>
                </c:pt>
              </c:strCache>
            </c:strRef>
          </c:tx>
          <c:spPr>
            <a:solidFill>
              <a:schemeClr val="accent1"/>
            </a:solidFill>
          </c:spPr>
          <c:invertIfNegative val="0"/>
          <c:cat>
            <c:numRef>
              <c:f>'[cuadros cap.2.xlsx]exportaciones de vehiculos (2)'!$V$16:$Z$16</c:f>
              <c:numCache>
                <c:formatCode>General</c:formatCode>
                <c:ptCount val="5"/>
                <c:pt idx="0">
                  <c:v>2011</c:v>
                </c:pt>
                <c:pt idx="1">
                  <c:v>2012</c:v>
                </c:pt>
                <c:pt idx="2">
                  <c:v>2013</c:v>
                </c:pt>
                <c:pt idx="3">
                  <c:v>2014</c:v>
                </c:pt>
                <c:pt idx="4">
                  <c:v>2015</c:v>
                </c:pt>
              </c:numCache>
            </c:numRef>
          </c:cat>
          <c:val>
            <c:numRef>
              <c:f>'[cuadros cap.2.xlsx]exportaciones de vehiculos (2)'!$B$20:$Z$20</c:f>
              <c:numCache>
                <c:formatCode>#,##0</c:formatCode>
                <c:ptCount val="5"/>
                <c:pt idx="0">
                  <c:v>53705</c:v>
                </c:pt>
                <c:pt idx="1">
                  <c:v>52959</c:v>
                </c:pt>
                <c:pt idx="2">
                  <c:v>44494</c:v>
                </c:pt>
                <c:pt idx="3">
                  <c:v>46624</c:v>
                </c:pt>
                <c:pt idx="4">
                  <c:v>36580</c:v>
                </c:pt>
              </c:numCache>
            </c:numRef>
          </c:val>
        </c:ser>
        <c:ser>
          <c:idx val="4"/>
          <c:order val="4"/>
          <c:tx>
            <c:strRef>
              <c:f>'[cuadros cap.2.xlsx]exportaciones de vehiculos (2)'!$A$21</c:f>
              <c:strCache>
                <c:ptCount val="1"/>
                <c:pt idx="0">
                  <c:v>Total general</c:v>
                </c:pt>
              </c:strCache>
            </c:strRef>
          </c:tx>
          <c:spPr>
            <a:noFill/>
          </c:spPr>
          <c:invertIfNegative val="0"/>
          <c:cat>
            <c:numRef>
              <c:f>'[cuadros cap.2.xlsx]exportaciones de vehiculos (2)'!$V$16:$Z$16</c:f>
              <c:numCache>
                <c:formatCode>General</c:formatCode>
                <c:ptCount val="5"/>
                <c:pt idx="0">
                  <c:v>2011</c:v>
                </c:pt>
                <c:pt idx="1">
                  <c:v>2012</c:v>
                </c:pt>
                <c:pt idx="2">
                  <c:v>2013</c:v>
                </c:pt>
                <c:pt idx="3">
                  <c:v>2014</c:v>
                </c:pt>
                <c:pt idx="4">
                  <c:v>2015</c:v>
                </c:pt>
              </c:numCache>
            </c:numRef>
          </c:cat>
          <c:val>
            <c:numRef>
              <c:f>'[cuadros cap.2.xlsx]exportaciones de vehiculos (2)'!$B$21:$Z$21</c:f>
              <c:numCache>
                <c:formatCode>#,##0</c:formatCode>
                <c:ptCount val="5"/>
                <c:pt idx="0">
                  <c:v>75722</c:v>
                </c:pt>
                <c:pt idx="1">
                  <c:v>79616</c:v>
                </c:pt>
                <c:pt idx="2">
                  <c:v>66844</c:v>
                </c:pt>
                <c:pt idx="3">
                  <c:v>63872</c:v>
                </c:pt>
                <c:pt idx="4">
                  <c:v>50732</c:v>
                </c:pt>
              </c:numCache>
            </c:numRef>
          </c:val>
        </c:ser>
        <c:dLbls>
          <c:showLegendKey val="0"/>
          <c:showVal val="0"/>
          <c:showCatName val="0"/>
          <c:showSerName val="0"/>
          <c:showPercent val="0"/>
          <c:showBubbleSize val="0"/>
        </c:dLbls>
        <c:gapWidth val="150"/>
        <c:axId val="76143616"/>
        <c:axId val="41091840"/>
      </c:barChart>
      <c:catAx>
        <c:axId val="76143616"/>
        <c:scaling>
          <c:orientation val="minMax"/>
        </c:scaling>
        <c:delete val="0"/>
        <c:axPos val="b"/>
        <c:numFmt formatCode="General" sourceLinked="1"/>
        <c:majorTickMark val="none"/>
        <c:minorTickMark val="none"/>
        <c:tickLblPos val="nextTo"/>
        <c:crossAx val="41091840"/>
        <c:crosses val="autoZero"/>
        <c:auto val="1"/>
        <c:lblAlgn val="ctr"/>
        <c:lblOffset val="100"/>
        <c:noMultiLvlLbl val="0"/>
      </c:catAx>
      <c:valAx>
        <c:axId val="41091840"/>
        <c:scaling>
          <c:orientation val="minMax"/>
          <c:max val="60000"/>
        </c:scaling>
        <c:delete val="0"/>
        <c:axPos val="l"/>
        <c:title>
          <c:tx>
            <c:rich>
              <a:bodyPr/>
              <a:lstStyle/>
              <a:p>
                <a:pPr>
                  <a:defRPr/>
                </a:pPr>
                <a:r>
                  <a:rPr lang="en-US"/>
                  <a:t>unidades</a:t>
                </a:r>
              </a:p>
            </c:rich>
          </c:tx>
          <c:layout>
            <c:manualLayout>
              <c:xMode val="edge"/>
              <c:yMode val="edge"/>
              <c:x val="5.4310930074677528E-2"/>
              <c:y val="0.23278513316029403"/>
            </c:manualLayout>
          </c:layout>
          <c:overlay val="0"/>
        </c:title>
        <c:numFmt formatCode="#,##0" sourceLinked="1"/>
        <c:majorTickMark val="none"/>
        <c:minorTickMark val="none"/>
        <c:tickLblPos val="nextTo"/>
        <c:crossAx val="76143616"/>
        <c:crosses val="autoZero"/>
        <c:crossBetween val="between"/>
      </c:valAx>
      <c:dTable>
        <c:showHorzBorder val="1"/>
        <c:showVertBorder val="1"/>
        <c:showOutline val="1"/>
        <c:showKeys val="1"/>
      </c:dTable>
    </c:plotArea>
    <c:plotVisOnly val="1"/>
    <c:dispBlanksAs val="gap"/>
    <c:showDLblsOverMax val="0"/>
  </c:chart>
  <c:txPr>
    <a:bodyPr/>
    <a:lstStyle/>
    <a:p>
      <a:pPr>
        <a:defRPr sz="1000"/>
      </a:pPr>
      <a:endParaRPr lang="es-EC"/>
    </a:p>
  </c:txPr>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0.00458</cdr:x>
      <cdr:y>0.26676</cdr:y>
    </cdr:from>
    <cdr:to>
      <cdr:x>0.02137</cdr:x>
      <cdr:y>0.69187</cdr:y>
    </cdr:to>
    <cdr:sp macro="" textlink="">
      <cdr:nvSpPr>
        <cdr:cNvPr id="2" name="1 CuadroTexto"/>
        <cdr:cNvSpPr txBox="1"/>
      </cdr:nvSpPr>
      <cdr:spPr>
        <a:xfrm xmlns:a="http://schemas.openxmlformats.org/drawingml/2006/main">
          <a:off x="28575" y="890589"/>
          <a:ext cx="104775" cy="14192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EC" sz="1100"/>
        </a:p>
      </cdr:txBody>
    </cdr:sp>
  </cdr:relSizeAnchor>
  <cdr:relSizeAnchor xmlns:cdr="http://schemas.openxmlformats.org/drawingml/2006/chartDrawing">
    <cdr:from>
      <cdr:x>0.01985</cdr:x>
      <cdr:y>0.32382</cdr:y>
    </cdr:from>
    <cdr:to>
      <cdr:x>0.07481</cdr:x>
      <cdr:y>0.65478</cdr:y>
    </cdr:to>
    <cdr:sp macro="" textlink="">
      <cdr:nvSpPr>
        <cdr:cNvPr id="3" name="2 CuadroTexto"/>
        <cdr:cNvSpPr txBox="1"/>
      </cdr:nvSpPr>
      <cdr:spPr>
        <a:xfrm xmlns:a="http://schemas.openxmlformats.org/drawingml/2006/main">
          <a:off x="123825" y="1081089"/>
          <a:ext cx="342900" cy="1104900"/>
        </a:xfrm>
        <a:prstGeom xmlns:a="http://schemas.openxmlformats.org/drawingml/2006/main" prst="rect">
          <a:avLst/>
        </a:prstGeom>
      </cdr:spPr>
      <cdr:txBody>
        <a:bodyPr xmlns:a="http://schemas.openxmlformats.org/drawingml/2006/main" vertOverflow="clip" vert="vert270" wrap="square" rtlCol="0"/>
        <a:lstStyle xmlns:a="http://schemas.openxmlformats.org/drawingml/2006/main"/>
        <a:p xmlns:a="http://schemas.openxmlformats.org/drawingml/2006/main">
          <a:r>
            <a:rPr lang="es-EC" sz="1100" b="1" i="1"/>
            <a:t>No.</a:t>
          </a:r>
          <a:r>
            <a:rPr lang="es-EC" sz="1100" b="1" i="1" baseline="0"/>
            <a:t> de </a:t>
          </a:r>
          <a:r>
            <a:rPr lang="es-EC" sz="1100" b="1" i="1">
              <a:effectLst/>
              <a:latin typeface="+mn-lt"/>
              <a:ea typeface="+mn-ea"/>
              <a:cs typeface="+mn-cs"/>
            </a:rPr>
            <a:t>vehículos</a:t>
          </a:r>
          <a:endParaRPr lang="es-EC" sz="1100" b="1" i="1"/>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Por96</b:Tag>
    <b:SourceType>Book</b:SourceType>
    <b:Guid>{92E761A3-BAEE-420D-A312-537AC1C0CC25}</b:Guid>
    <b:Title>Ventaja Competitiva</b:Title>
    <b:Year>1996</b:Year>
    <b:Author>
      <b:Author>
        <b:NameList>
          <b:Person>
            <b:Last>Porter</b:Last>
            <b:First>Michael</b:First>
          </b:Person>
        </b:NameList>
      </b:Author>
    </b:Author>
    <b:City>Mexico DF</b:City>
    <b:Publisher>Continental</b:Publisher>
    <b:Pages>20</b:Pages>
    <b:RefOrder>1</b:RefOrder>
  </b:Source>
</b:Sources>
</file>

<file path=customXml/itemProps1.xml><?xml version="1.0" encoding="utf-8"?>
<ds:datastoreItem xmlns:ds="http://schemas.openxmlformats.org/officeDocument/2006/customXml" ds:itemID="{9636B181-F09B-415A-9279-B800B158F2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118</Pages>
  <Words>35499</Words>
  <Characters>195245</Characters>
  <Application>Microsoft Office Word</Application>
  <DocSecurity>0</DocSecurity>
  <Lines>1627</Lines>
  <Paragraphs>460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230284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A5</dc:creator>
  <cp:lastModifiedBy>A5</cp:lastModifiedBy>
  <cp:revision>3</cp:revision>
  <cp:lastPrinted>2017-06-29T20:34:00Z</cp:lastPrinted>
  <dcterms:created xsi:type="dcterms:W3CDTF">2017-06-29T20:33:00Z</dcterms:created>
  <dcterms:modified xsi:type="dcterms:W3CDTF">2017-06-29T20:42:00Z</dcterms:modified>
</cp:coreProperties>
</file>