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CECAD1" w14:textId="46FC2A2B" w:rsidR="0002107B" w:rsidRPr="00163BF5" w:rsidRDefault="0002107B" w:rsidP="0002107B">
      <w:pPr>
        <w:spacing w:line="480" w:lineRule="auto"/>
        <w:ind w:firstLine="709"/>
        <w:jc w:val="center"/>
        <w:rPr>
          <w:color w:val="000000" w:themeColor="text1"/>
          <w:sz w:val="28"/>
          <w:szCs w:val="28"/>
          <w:lang w:val="es-ES_tradnl" w:eastAsia="es-ES_tradnl"/>
        </w:rPr>
      </w:pPr>
      <w:r w:rsidRPr="00163BF5">
        <w:rPr>
          <w:color w:val="000000" w:themeColor="text1"/>
          <w:sz w:val="28"/>
          <w:szCs w:val="28"/>
          <w:lang w:val="es-ES_tradnl" w:eastAsia="es-ES_tradnl"/>
        </w:rPr>
        <w:t>PONTIFICIA UNIVERSIDAD CATÓLICA DEL ECUADOR</w:t>
      </w:r>
    </w:p>
    <w:p w14:paraId="58478C44" w14:textId="77777777" w:rsidR="0002107B" w:rsidRPr="00163BF5" w:rsidRDefault="0002107B" w:rsidP="0002107B">
      <w:pPr>
        <w:spacing w:line="480" w:lineRule="auto"/>
        <w:ind w:firstLine="709"/>
        <w:jc w:val="center"/>
        <w:rPr>
          <w:color w:val="000000" w:themeColor="text1"/>
          <w:sz w:val="28"/>
          <w:szCs w:val="28"/>
          <w:lang w:val="es-ES_tradnl" w:eastAsia="es-ES_tradnl"/>
        </w:rPr>
      </w:pPr>
      <w:r w:rsidRPr="00163BF5">
        <w:rPr>
          <w:color w:val="000000" w:themeColor="text1"/>
          <w:sz w:val="28"/>
          <w:szCs w:val="28"/>
          <w:lang w:val="es-ES_tradnl" w:eastAsia="es-ES_tradnl"/>
        </w:rPr>
        <w:t>FACULTAD DE JURISPRUDENCIA</w:t>
      </w:r>
    </w:p>
    <w:p w14:paraId="4BDCEC76" w14:textId="77777777" w:rsidR="0002107B" w:rsidRPr="00163BF5" w:rsidRDefault="0002107B" w:rsidP="0002107B">
      <w:pPr>
        <w:spacing w:line="480" w:lineRule="auto"/>
        <w:ind w:firstLine="709"/>
        <w:jc w:val="center"/>
        <w:rPr>
          <w:color w:val="000000" w:themeColor="text1"/>
          <w:sz w:val="28"/>
          <w:szCs w:val="28"/>
          <w:lang w:val="es-ES_tradnl" w:eastAsia="es-ES_tradnl"/>
        </w:rPr>
      </w:pPr>
      <w:r w:rsidRPr="00163BF5">
        <w:rPr>
          <w:color w:val="000000" w:themeColor="text1"/>
          <w:sz w:val="28"/>
          <w:szCs w:val="28"/>
          <w:lang w:val="es-ES_tradnl" w:eastAsia="es-ES_tradnl"/>
        </w:rPr>
        <w:t>ESCUELA DE DERECHO</w:t>
      </w:r>
    </w:p>
    <w:p w14:paraId="756849F3" w14:textId="77777777" w:rsidR="0002107B" w:rsidRPr="00163BF5" w:rsidRDefault="0002107B" w:rsidP="0002107B">
      <w:pPr>
        <w:spacing w:line="480" w:lineRule="auto"/>
        <w:ind w:firstLine="709"/>
        <w:jc w:val="both"/>
        <w:rPr>
          <w:color w:val="000000" w:themeColor="text1"/>
          <w:sz w:val="28"/>
          <w:szCs w:val="28"/>
          <w:lang w:val="es-ES_tradnl" w:eastAsia="es-ES_tradnl"/>
        </w:rPr>
      </w:pPr>
    </w:p>
    <w:p w14:paraId="3CE9DC60" w14:textId="77777777" w:rsidR="0002107B" w:rsidRPr="00163BF5" w:rsidRDefault="0002107B" w:rsidP="0002107B">
      <w:pPr>
        <w:spacing w:line="480" w:lineRule="auto"/>
        <w:ind w:firstLine="709"/>
        <w:jc w:val="center"/>
        <w:rPr>
          <w:color w:val="000000" w:themeColor="text1"/>
          <w:sz w:val="28"/>
          <w:szCs w:val="28"/>
          <w:lang w:val="es-ES_tradnl" w:eastAsia="es-ES_tradnl"/>
        </w:rPr>
      </w:pPr>
    </w:p>
    <w:p w14:paraId="72B81455" w14:textId="596F0494" w:rsidR="0002107B" w:rsidRPr="00163BF5" w:rsidRDefault="0002107B" w:rsidP="0002107B">
      <w:pPr>
        <w:spacing w:line="480" w:lineRule="auto"/>
        <w:ind w:firstLine="709"/>
        <w:jc w:val="center"/>
        <w:rPr>
          <w:color w:val="000000" w:themeColor="text1"/>
          <w:sz w:val="28"/>
          <w:szCs w:val="28"/>
          <w:lang w:val="es-ES_tradnl" w:eastAsia="es-ES_tradnl"/>
        </w:rPr>
      </w:pPr>
      <w:r w:rsidRPr="00163BF5">
        <w:rPr>
          <w:color w:val="000000" w:themeColor="text1"/>
          <w:sz w:val="28"/>
          <w:szCs w:val="28"/>
          <w:lang w:val="es-ES_tradnl" w:eastAsia="es-ES_tradnl"/>
        </w:rPr>
        <w:t>DISERTACIÓN PREVIA A LA OBTENCIÓN DEL TÍTULO DE ABOGADO</w:t>
      </w:r>
    </w:p>
    <w:p w14:paraId="1AF0E955" w14:textId="77777777" w:rsidR="0002107B" w:rsidRPr="00163BF5" w:rsidRDefault="0002107B" w:rsidP="009F304A">
      <w:pPr>
        <w:spacing w:line="480" w:lineRule="auto"/>
        <w:ind w:firstLine="709"/>
        <w:rPr>
          <w:color w:val="000000" w:themeColor="text1"/>
          <w:sz w:val="28"/>
          <w:szCs w:val="28"/>
          <w:lang w:val="es-ES_tradnl" w:eastAsia="es-ES_tradnl"/>
        </w:rPr>
      </w:pPr>
    </w:p>
    <w:p w14:paraId="27341D73" w14:textId="77777777" w:rsidR="0002107B" w:rsidRPr="00163BF5" w:rsidRDefault="0002107B" w:rsidP="0002107B">
      <w:pPr>
        <w:spacing w:line="480" w:lineRule="auto"/>
        <w:jc w:val="both"/>
        <w:rPr>
          <w:color w:val="000000" w:themeColor="text1"/>
          <w:sz w:val="28"/>
          <w:szCs w:val="28"/>
          <w:lang w:val="es-ES_tradnl" w:eastAsia="es-ES_tradnl"/>
        </w:rPr>
      </w:pPr>
    </w:p>
    <w:p w14:paraId="155A87C4" w14:textId="77777777" w:rsidR="0002107B" w:rsidRPr="00163BF5" w:rsidRDefault="0002107B" w:rsidP="0002107B">
      <w:pPr>
        <w:spacing w:line="480" w:lineRule="auto"/>
        <w:ind w:firstLine="709"/>
        <w:jc w:val="center"/>
        <w:rPr>
          <w:color w:val="000000" w:themeColor="text1"/>
          <w:sz w:val="28"/>
          <w:szCs w:val="28"/>
          <w:lang w:val="es-ES_tradnl" w:eastAsia="es-ES_tradnl"/>
        </w:rPr>
      </w:pPr>
      <w:r w:rsidRPr="00163BF5">
        <w:rPr>
          <w:color w:val="000000" w:themeColor="text1"/>
          <w:sz w:val="28"/>
          <w:szCs w:val="28"/>
          <w:lang w:val="es-ES_tradnl" w:eastAsia="es-ES_tradnl"/>
        </w:rPr>
        <w:t>LOS ESTÁNDARES DE DEBIDA DILIGENCIA EMITIDOS POR LA CORTE INTERAMERICANA DE DERECHOS HUMANOS EN LA LEY ORGÁNICA DE ACTUACIÓN EN CASOS DE PERSONAS DESAPARECIDAS Y EXTRAVIADAS, Y LA ACTUACIÓN DEL ESTADO EN CASOS DE DESAPARICIÓN INVOLUNTARIA</w:t>
      </w:r>
    </w:p>
    <w:p w14:paraId="4D172C84" w14:textId="77777777" w:rsidR="0002107B" w:rsidRPr="00163BF5" w:rsidRDefault="0002107B" w:rsidP="0002107B">
      <w:pPr>
        <w:spacing w:line="480" w:lineRule="auto"/>
        <w:ind w:firstLine="709"/>
        <w:jc w:val="center"/>
        <w:rPr>
          <w:color w:val="000000" w:themeColor="text1"/>
          <w:sz w:val="28"/>
          <w:szCs w:val="28"/>
          <w:lang w:val="es-ES_tradnl" w:eastAsia="es-ES_tradnl"/>
        </w:rPr>
      </w:pPr>
    </w:p>
    <w:p w14:paraId="0D139448" w14:textId="77777777" w:rsidR="0002107B" w:rsidRPr="00163BF5" w:rsidRDefault="0002107B" w:rsidP="0002107B">
      <w:pPr>
        <w:spacing w:line="480" w:lineRule="auto"/>
        <w:ind w:firstLine="709"/>
        <w:jc w:val="both"/>
        <w:rPr>
          <w:color w:val="000000" w:themeColor="text1"/>
          <w:sz w:val="28"/>
          <w:szCs w:val="28"/>
          <w:lang w:val="es-ES_tradnl" w:eastAsia="es-ES_tradnl"/>
        </w:rPr>
      </w:pPr>
    </w:p>
    <w:p w14:paraId="432C36D8" w14:textId="77777777" w:rsidR="0002107B" w:rsidRPr="00163BF5" w:rsidRDefault="0002107B" w:rsidP="0002107B">
      <w:pPr>
        <w:spacing w:line="480" w:lineRule="auto"/>
        <w:ind w:firstLine="709"/>
        <w:jc w:val="center"/>
        <w:rPr>
          <w:color w:val="000000" w:themeColor="text1"/>
          <w:sz w:val="28"/>
          <w:szCs w:val="28"/>
          <w:lang w:val="es-ES_tradnl" w:eastAsia="es-ES_tradnl"/>
        </w:rPr>
      </w:pPr>
      <w:r w:rsidRPr="00163BF5">
        <w:rPr>
          <w:color w:val="000000" w:themeColor="text1"/>
          <w:sz w:val="28"/>
          <w:szCs w:val="28"/>
          <w:lang w:val="es-ES_tradnl" w:eastAsia="es-ES_tradnl"/>
        </w:rPr>
        <w:t>DISERTANTE: DANIEL AGUSTÍN SEPÚLVEDA VILLAGÓMEZ</w:t>
      </w:r>
    </w:p>
    <w:p w14:paraId="1240C826" w14:textId="35270CEC" w:rsidR="0002107B" w:rsidRPr="00163BF5" w:rsidRDefault="0002107B" w:rsidP="0002107B">
      <w:pPr>
        <w:spacing w:line="480" w:lineRule="auto"/>
        <w:ind w:firstLine="709"/>
        <w:jc w:val="center"/>
        <w:rPr>
          <w:color w:val="000000" w:themeColor="text1"/>
          <w:sz w:val="28"/>
          <w:szCs w:val="28"/>
          <w:lang w:val="es-ES_tradnl" w:eastAsia="es-ES_tradnl"/>
        </w:rPr>
      </w:pPr>
      <w:r w:rsidRPr="00163BF5">
        <w:rPr>
          <w:color w:val="000000" w:themeColor="text1"/>
          <w:sz w:val="28"/>
          <w:szCs w:val="28"/>
          <w:lang w:val="es-ES_tradnl" w:eastAsia="es-ES_tradnl"/>
        </w:rPr>
        <w:t xml:space="preserve">DIRECTOR: DR. </w:t>
      </w:r>
      <w:r w:rsidR="0048338D" w:rsidRPr="00163BF5">
        <w:rPr>
          <w:color w:val="000000" w:themeColor="text1"/>
          <w:sz w:val="28"/>
          <w:szCs w:val="28"/>
          <w:lang w:val="es-ES_tradnl" w:eastAsia="es-ES_tradnl"/>
        </w:rPr>
        <w:t>MARIO MELO CEVALLOS</w:t>
      </w:r>
    </w:p>
    <w:p w14:paraId="5A4B1ED0" w14:textId="77777777" w:rsidR="0002107B" w:rsidRPr="00163BF5" w:rsidRDefault="0002107B" w:rsidP="0002107B">
      <w:pPr>
        <w:spacing w:line="480" w:lineRule="auto"/>
        <w:jc w:val="both"/>
        <w:rPr>
          <w:color w:val="000000" w:themeColor="text1"/>
          <w:sz w:val="28"/>
          <w:szCs w:val="28"/>
          <w:lang w:val="es-ES_tradnl" w:eastAsia="es-ES_tradnl"/>
        </w:rPr>
      </w:pPr>
    </w:p>
    <w:p w14:paraId="0EE9F692" w14:textId="77777777" w:rsidR="0002107B" w:rsidRPr="00163BF5" w:rsidRDefault="0002107B" w:rsidP="0002107B">
      <w:pPr>
        <w:spacing w:line="480" w:lineRule="auto"/>
        <w:ind w:firstLine="709"/>
        <w:jc w:val="center"/>
        <w:rPr>
          <w:color w:val="000000" w:themeColor="text1"/>
          <w:sz w:val="28"/>
          <w:szCs w:val="28"/>
          <w:lang w:val="es-ES_tradnl" w:eastAsia="es-ES_tradnl"/>
        </w:rPr>
      </w:pPr>
    </w:p>
    <w:p w14:paraId="121E0D75" w14:textId="093B2B63" w:rsidR="0002107B" w:rsidRPr="00163BF5" w:rsidRDefault="0002107B" w:rsidP="00AE14F4">
      <w:pPr>
        <w:spacing w:line="480" w:lineRule="auto"/>
        <w:ind w:firstLine="709"/>
        <w:jc w:val="center"/>
        <w:rPr>
          <w:color w:val="000000" w:themeColor="text1"/>
          <w:sz w:val="28"/>
          <w:szCs w:val="28"/>
          <w:lang w:val="es-ES_tradnl" w:eastAsia="es-ES_tradnl"/>
        </w:rPr>
        <w:sectPr w:rsidR="0002107B" w:rsidRPr="00163BF5" w:rsidSect="0048338D">
          <w:footerReference w:type="default" r:id="rId8"/>
          <w:footerReference w:type="first" r:id="rId9"/>
          <w:pgSz w:w="11906" w:h="16838"/>
          <w:pgMar w:top="1440" w:right="1440" w:bottom="1440" w:left="1440" w:header="709" w:footer="709" w:gutter="0"/>
          <w:pgNumType w:start="2"/>
          <w:cols w:space="720"/>
          <w:docGrid w:linePitch="326"/>
        </w:sectPr>
      </w:pPr>
      <w:r w:rsidRPr="00163BF5">
        <w:rPr>
          <w:color w:val="000000" w:themeColor="text1"/>
          <w:sz w:val="28"/>
          <w:szCs w:val="28"/>
          <w:lang w:val="es-ES_tradnl" w:eastAsia="es-ES_tradnl"/>
        </w:rPr>
        <w:t>QUITO, 202</w:t>
      </w:r>
      <w:r w:rsidR="00AE14F4" w:rsidRPr="00163BF5">
        <w:rPr>
          <w:color w:val="000000" w:themeColor="text1"/>
          <w:sz w:val="28"/>
          <w:szCs w:val="28"/>
          <w:lang w:val="es-ES_tradnl" w:eastAsia="es-ES_tradnl"/>
        </w:rPr>
        <w:t>1</w:t>
      </w:r>
    </w:p>
    <w:p w14:paraId="25F6FAD3" w14:textId="77777777" w:rsidR="0002107B" w:rsidRPr="00163BF5" w:rsidRDefault="0002107B" w:rsidP="0002107B">
      <w:pPr>
        <w:spacing w:line="480" w:lineRule="auto"/>
        <w:jc w:val="both"/>
        <w:rPr>
          <w:b/>
          <w:color w:val="000000" w:themeColor="text1"/>
          <w:sz w:val="28"/>
          <w:szCs w:val="28"/>
          <w:lang w:val="es-ES_tradnl" w:eastAsia="es-ES_tradnl"/>
        </w:rPr>
      </w:pPr>
    </w:p>
    <w:p w14:paraId="0F0148C5" w14:textId="77777777" w:rsidR="0002107B" w:rsidRPr="00163BF5" w:rsidRDefault="0002107B" w:rsidP="0002107B">
      <w:pPr>
        <w:spacing w:line="480" w:lineRule="auto"/>
        <w:ind w:firstLine="709"/>
        <w:jc w:val="right"/>
        <w:rPr>
          <w:b/>
          <w:color w:val="000000" w:themeColor="text1"/>
          <w:sz w:val="28"/>
          <w:szCs w:val="28"/>
          <w:lang w:val="es-ES_tradnl" w:eastAsia="es-ES_tradnl"/>
        </w:rPr>
      </w:pPr>
      <w:r w:rsidRPr="00163BF5">
        <w:rPr>
          <w:b/>
          <w:color w:val="000000" w:themeColor="text1"/>
          <w:sz w:val="28"/>
          <w:szCs w:val="28"/>
          <w:lang w:val="es-ES_tradnl" w:eastAsia="es-ES_tradnl"/>
        </w:rPr>
        <w:t>DEDICATORIA</w:t>
      </w:r>
    </w:p>
    <w:p w14:paraId="3F51786C" w14:textId="0E6AD3DD" w:rsidR="0002107B" w:rsidRPr="00163BF5" w:rsidRDefault="00045F94" w:rsidP="0002107B">
      <w:pPr>
        <w:spacing w:line="480" w:lineRule="auto"/>
        <w:ind w:firstLine="709"/>
        <w:jc w:val="right"/>
        <w:rPr>
          <w:i/>
          <w:color w:val="000000" w:themeColor="text1"/>
          <w:sz w:val="28"/>
          <w:szCs w:val="28"/>
          <w:lang w:val="es-ES_tradnl" w:eastAsia="es-ES_tradnl"/>
        </w:rPr>
      </w:pPr>
      <w:r w:rsidRPr="00163BF5">
        <w:rPr>
          <w:i/>
          <w:color w:val="000000" w:themeColor="text1"/>
          <w:sz w:val="28"/>
          <w:szCs w:val="28"/>
          <w:lang w:val="es-ES_tradnl" w:eastAsia="es-ES_tradnl"/>
        </w:rPr>
        <w:t>En</w:t>
      </w:r>
      <w:r w:rsidR="0002107B" w:rsidRPr="00163BF5">
        <w:rPr>
          <w:i/>
          <w:color w:val="000000" w:themeColor="text1"/>
          <w:sz w:val="28"/>
          <w:szCs w:val="28"/>
          <w:lang w:val="es-ES_tradnl" w:eastAsia="es-ES_tradnl"/>
        </w:rPr>
        <w:t xml:space="preserve"> memoria de Marco Sepúlveda Gonzáles (+) y Rita Villagómez (+)</w:t>
      </w:r>
    </w:p>
    <w:p w14:paraId="33858C52" w14:textId="63D1EBBD" w:rsidR="0002107B" w:rsidRPr="00163BF5" w:rsidRDefault="0002107B" w:rsidP="0002107B">
      <w:pPr>
        <w:spacing w:line="480" w:lineRule="auto"/>
        <w:ind w:firstLine="709"/>
        <w:jc w:val="right"/>
        <w:rPr>
          <w:i/>
          <w:color w:val="000000" w:themeColor="text1"/>
          <w:sz w:val="28"/>
          <w:szCs w:val="28"/>
          <w:lang w:val="es-ES_tradnl" w:eastAsia="es-ES_tradnl"/>
        </w:rPr>
      </w:pPr>
      <w:r w:rsidRPr="00163BF5">
        <w:rPr>
          <w:i/>
          <w:color w:val="000000" w:themeColor="text1"/>
          <w:sz w:val="28"/>
          <w:szCs w:val="28"/>
          <w:lang w:val="es-ES_tradnl" w:eastAsia="es-ES_tradnl"/>
        </w:rPr>
        <w:t xml:space="preserve">A mis abuelos queridos: Cecilia, Marcelo y Ana </w:t>
      </w:r>
    </w:p>
    <w:p w14:paraId="074D92B2" w14:textId="08BA5557" w:rsidR="00A62393" w:rsidRPr="00163BF5" w:rsidRDefault="00A62393" w:rsidP="0002107B">
      <w:pPr>
        <w:spacing w:line="480" w:lineRule="auto"/>
        <w:ind w:firstLine="709"/>
        <w:jc w:val="right"/>
        <w:rPr>
          <w:i/>
          <w:color w:val="000000" w:themeColor="text1"/>
          <w:sz w:val="28"/>
          <w:szCs w:val="28"/>
          <w:lang w:val="es-ES_tradnl" w:eastAsia="es-ES_tradnl"/>
        </w:rPr>
      </w:pPr>
      <w:r w:rsidRPr="00163BF5">
        <w:rPr>
          <w:i/>
          <w:color w:val="000000" w:themeColor="text1"/>
          <w:sz w:val="28"/>
          <w:szCs w:val="28"/>
          <w:lang w:val="es-ES_tradnl" w:eastAsia="es-ES_tradnl"/>
        </w:rPr>
        <w:t xml:space="preserve">A mis tíos: Patricia, Miguel y Marcelo. </w:t>
      </w:r>
    </w:p>
    <w:p w14:paraId="2564EB66" w14:textId="7910790C" w:rsidR="0002107B" w:rsidRPr="00163BF5" w:rsidRDefault="0002107B" w:rsidP="0002107B">
      <w:pPr>
        <w:spacing w:line="480" w:lineRule="auto"/>
        <w:ind w:firstLine="709"/>
        <w:jc w:val="right"/>
        <w:rPr>
          <w:i/>
          <w:color w:val="000000" w:themeColor="text1"/>
          <w:sz w:val="28"/>
          <w:szCs w:val="28"/>
          <w:lang w:val="es-ES_tradnl" w:eastAsia="es-ES_tradnl"/>
        </w:rPr>
      </w:pPr>
      <w:r w:rsidRPr="00163BF5">
        <w:rPr>
          <w:i/>
          <w:color w:val="000000" w:themeColor="text1"/>
          <w:sz w:val="28"/>
          <w:szCs w:val="28"/>
          <w:lang w:val="es-ES_tradnl" w:eastAsia="es-ES_tradnl"/>
        </w:rPr>
        <w:t xml:space="preserve">A mis padres a quienes se los debo todo: </w:t>
      </w:r>
      <w:r w:rsidR="000456D5" w:rsidRPr="00163BF5">
        <w:rPr>
          <w:i/>
          <w:color w:val="000000" w:themeColor="text1"/>
          <w:sz w:val="28"/>
          <w:szCs w:val="28"/>
          <w:lang w:val="es-ES_tradnl" w:eastAsia="es-ES_tradnl"/>
        </w:rPr>
        <w:t xml:space="preserve">María Sol y </w:t>
      </w:r>
      <w:r w:rsidRPr="00163BF5">
        <w:rPr>
          <w:i/>
          <w:color w:val="000000" w:themeColor="text1"/>
          <w:sz w:val="28"/>
          <w:szCs w:val="28"/>
          <w:lang w:val="es-ES_tradnl" w:eastAsia="es-ES_tradnl"/>
        </w:rPr>
        <w:t xml:space="preserve">Marco Antonio </w:t>
      </w:r>
    </w:p>
    <w:p w14:paraId="2BA77814" w14:textId="77777777" w:rsidR="0002107B" w:rsidRPr="00163BF5" w:rsidRDefault="0002107B" w:rsidP="0002107B">
      <w:pPr>
        <w:spacing w:line="480" w:lineRule="auto"/>
        <w:ind w:firstLine="709"/>
        <w:jc w:val="right"/>
        <w:rPr>
          <w:i/>
          <w:color w:val="000000" w:themeColor="text1"/>
          <w:sz w:val="28"/>
          <w:szCs w:val="28"/>
          <w:lang w:val="es-ES_tradnl" w:eastAsia="es-ES_tradnl"/>
        </w:rPr>
      </w:pPr>
      <w:r w:rsidRPr="00163BF5">
        <w:rPr>
          <w:i/>
          <w:color w:val="000000" w:themeColor="text1"/>
          <w:sz w:val="28"/>
          <w:szCs w:val="28"/>
          <w:lang w:val="es-ES_tradnl" w:eastAsia="es-ES_tradnl"/>
        </w:rPr>
        <w:t xml:space="preserve">A mis hermanos: Antonio y Gabriel </w:t>
      </w:r>
    </w:p>
    <w:p w14:paraId="52B670CE" w14:textId="77777777" w:rsidR="0002107B" w:rsidRPr="00163BF5" w:rsidRDefault="0002107B" w:rsidP="0002107B">
      <w:pPr>
        <w:spacing w:line="480" w:lineRule="auto"/>
        <w:ind w:firstLine="709"/>
        <w:jc w:val="right"/>
        <w:rPr>
          <w:i/>
          <w:color w:val="000000" w:themeColor="text1"/>
          <w:sz w:val="28"/>
          <w:szCs w:val="28"/>
          <w:lang w:val="es-ES_tradnl" w:eastAsia="es-ES_tradnl"/>
        </w:rPr>
      </w:pPr>
      <w:r w:rsidRPr="00163BF5">
        <w:rPr>
          <w:i/>
          <w:color w:val="000000" w:themeColor="text1"/>
          <w:sz w:val="28"/>
          <w:szCs w:val="28"/>
          <w:lang w:val="es-ES_tradnl" w:eastAsia="es-ES_tradnl"/>
        </w:rPr>
        <w:t xml:space="preserve">A cada uno de mis amigos. </w:t>
      </w:r>
    </w:p>
    <w:p w14:paraId="3C126B00" w14:textId="77777777" w:rsidR="0002107B" w:rsidRPr="00163BF5" w:rsidRDefault="0002107B" w:rsidP="0002107B">
      <w:pPr>
        <w:spacing w:line="480" w:lineRule="auto"/>
        <w:ind w:firstLine="709"/>
        <w:jc w:val="right"/>
        <w:rPr>
          <w:i/>
          <w:color w:val="000000" w:themeColor="text1"/>
          <w:sz w:val="28"/>
          <w:szCs w:val="28"/>
          <w:lang w:val="es-ES_tradnl" w:eastAsia="es-ES_tradnl"/>
        </w:rPr>
      </w:pPr>
    </w:p>
    <w:p w14:paraId="299FA283" w14:textId="77777777" w:rsidR="0002107B" w:rsidRPr="00163BF5" w:rsidRDefault="0002107B" w:rsidP="0002107B">
      <w:pPr>
        <w:spacing w:line="480" w:lineRule="auto"/>
        <w:ind w:firstLine="709"/>
        <w:jc w:val="right"/>
        <w:rPr>
          <w:i/>
          <w:color w:val="000000" w:themeColor="text1"/>
          <w:sz w:val="28"/>
          <w:szCs w:val="28"/>
          <w:lang w:val="es-ES_tradnl" w:eastAsia="es-ES_tradnl"/>
        </w:rPr>
      </w:pPr>
    </w:p>
    <w:p w14:paraId="6C2A4850" w14:textId="77777777" w:rsidR="0002107B" w:rsidRPr="00163BF5" w:rsidRDefault="0002107B" w:rsidP="0002107B">
      <w:pPr>
        <w:spacing w:line="480" w:lineRule="auto"/>
        <w:ind w:firstLine="709"/>
        <w:jc w:val="right"/>
        <w:rPr>
          <w:i/>
          <w:color w:val="000000" w:themeColor="text1"/>
          <w:sz w:val="28"/>
          <w:szCs w:val="28"/>
          <w:lang w:val="es-ES_tradnl" w:eastAsia="es-ES_tradnl"/>
        </w:rPr>
      </w:pPr>
    </w:p>
    <w:p w14:paraId="2D252544" w14:textId="77777777" w:rsidR="0002107B" w:rsidRPr="00163BF5" w:rsidRDefault="0002107B" w:rsidP="0002107B">
      <w:pPr>
        <w:spacing w:line="480" w:lineRule="auto"/>
        <w:ind w:firstLine="709"/>
        <w:jc w:val="right"/>
        <w:rPr>
          <w:i/>
          <w:color w:val="000000" w:themeColor="text1"/>
          <w:sz w:val="28"/>
          <w:szCs w:val="28"/>
          <w:lang w:val="es-ES_tradnl" w:eastAsia="es-ES_tradnl"/>
        </w:rPr>
      </w:pPr>
    </w:p>
    <w:p w14:paraId="05137374" w14:textId="77777777" w:rsidR="0002107B" w:rsidRPr="00163BF5" w:rsidRDefault="0002107B" w:rsidP="0002107B">
      <w:pPr>
        <w:spacing w:line="480" w:lineRule="auto"/>
        <w:ind w:firstLine="709"/>
        <w:jc w:val="right"/>
        <w:rPr>
          <w:i/>
          <w:color w:val="000000" w:themeColor="text1"/>
          <w:sz w:val="28"/>
          <w:szCs w:val="28"/>
          <w:lang w:val="es-ES_tradnl" w:eastAsia="es-ES_tradnl"/>
        </w:rPr>
      </w:pPr>
    </w:p>
    <w:p w14:paraId="5640E322" w14:textId="77777777" w:rsidR="0002107B" w:rsidRPr="00163BF5" w:rsidRDefault="0002107B" w:rsidP="0002107B">
      <w:pPr>
        <w:spacing w:line="480" w:lineRule="auto"/>
        <w:ind w:firstLine="709"/>
        <w:jc w:val="right"/>
        <w:rPr>
          <w:i/>
          <w:color w:val="000000" w:themeColor="text1"/>
          <w:sz w:val="28"/>
          <w:szCs w:val="28"/>
          <w:lang w:val="es-ES_tradnl" w:eastAsia="es-ES_tradnl"/>
        </w:rPr>
      </w:pPr>
    </w:p>
    <w:p w14:paraId="12567FD2" w14:textId="77777777" w:rsidR="0002107B" w:rsidRPr="00163BF5" w:rsidRDefault="0002107B" w:rsidP="0002107B">
      <w:pPr>
        <w:spacing w:line="480" w:lineRule="auto"/>
        <w:ind w:firstLine="709"/>
        <w:jc w:val="right"/>
        <w:rPr>
          <w:i/>
          <w:color w:val="000000" w:themeColor="text1"/>
          <w:sz w:val="28"/>
          <w:szCs w:val="28"/>
          <w:lang w:val="es-ES_tradnl" w:eastAsia="es-ES_tradnl"/>
        </w:rPr>
      </w:pPr>
    </w:p>
    <w:p w14:paraId="1B72676B" w14:textId="77777777" w:rsidR="0002107B" w:rsidRPr="00163BF5" w:rsidRDefault="0002107B" w:rsidP="0002107B">
      <w:pPr>
        <w:spacing w:line="480" w:lineRule="auto"/>
        <w:ind w:firstLine="709"/>
        <w:jc w:val="right"/>
        <w:rPr>
          <w:i/>
          <w:color w:val="000000" w:themeColor="text1"/>
          <w:sz w:val="28"/>
          <w:szCs w:val="28"/>
          <w:lang w:val="es-ES_tradnl" w:eastAsia="es-ES_tradnl"/>
        </w:rPr>
      </w:pPr>
    </w:p>
    <w:p w14:paraId="0EF63C54" w14:textId="77777777" w:rsidR="0002107B" w:rsidRPr="00163BF5" w:rsidRDefault="0002107B" w:rsidP="0002107B">
      <w:pPr>
        <w:spacing w:line="480" w:lineRule="auto"/>
        <w:ind w:firstLine="709"/>
        <w:jc w:val="right"/>
        <w:rPr>
          <w:i/>
          <w:color w:val="000000" w:themeColor="text1"/>
          <w:sz w:val="28"/>
          <w:szCs w:val="28"/>
          <w:lang w:val="es-ES_tradnl" w:eastAsia="es-ES_tradnl"/>
        </w:rPr>
      </w:pPr>
    </w:p>
    <w:p w14:paraId="17752ECC" w14:textId="77777777" w:rsidR="0002107B" w:rsidRPr="00163BF5" w:rsidRDefault="0002107B" w:rsidP="0002107B">
      <w:pPr>
        <w:spacing w:line="480" w:lineRule="auto"/>
        <w:ind w:firstLine="709"/>
        <w:jc w:val="right"/>
        <w:rPr>
          <w:i/>
          <w:color w:val="000000" w:themeColor="text1"/>
          <w:sz w:val="28"/>
          <w:szCs w:val="28"/>
          <w:lang w:val="es-ES_tradnl" w:eastAsia="es-ES_tradnl"/>
        </w:rPr>
      </w:pPr>
    </w:p>
    <w:p w14:paraId="0590F824" w14:textId="77777777" w:rsidR="0002107B" w:rsidRPr="00163BF5" w:rsidRDefault="0002107B" w:rsidP="0002107B">
      <w:pPr>
        <w:spacing w:line="480" w:lineRule="auto"/>
        <w:ind w:firstLine="709"/>
        <w:jc w:val="right"/>
        <w:rPr>
          <w:i/>
          <w:color w:val="000000" w:themeColor="text1"/>
          <w:sz w:val="28"/>
          <w:szCs w:val="28"/>
          <w:lang w:val="es-ES_tradnl" w:eastAsia="es-ES_tradnl"/>
        </w:rPr>
      </w:pPr>
    </w:p>
    <w:p w14:paraId="258C411D" w14:textId="77777777" w:rsidR="0002107B" w:rsidRPr="00163BF5" w:rsidRDefault="0002107B" w:rsidP="0002107B">
      <w:pPr>
        <w:spacing w:line="480" w:lineRule="auto"/>
        <w:ind w:firstLine="709"/>
        <w:jc w:val="right"/>
        <w:rPr>
          <w:i/>
          <w:color w:val="000000" w:themeColor="text1"/>
          <w:sz w:val="28"/>
          <w:szCs w:val="28"/>
          <w:lang w:val="es-ES_tradnl" w:eastAsia="es-ES_tradnl"/>
        </w:rPr>
      </w:pPr>
    </w:p>
    <w:p w14:paraId="10AACCAE" w14:textId="77777777" w:rsidR="0002107B" w:rsidRPr="00163BF5" w:rsidRDefault="0002107B" w:rsidP="0002107B">
      <w:pPr>
        <w:spacing w:line="480" w:lineRule="auto"/>
        <w:ind w:firstLine="709"/>
        <w:jc w:val="right"/>
        <w:rPr>
          <w:i/>
          <w:color w:val="000000" w:themeColor="text1"/>
          <w:sz w:val="28"/>
          <w:szCs w:val="28"/>
          <w:lang w:val="es-ES_tradnl" w:eastAsia="es-ES_tradnl"/>
        </w:rPr>
      </w:pPr>
    </w:p>
    <w:p w14:paraId="037AEC35" w14:textId="77777777" w:rsidR="0002107B" w:rsidRPr="00163BF5" w:rsidRDefault="0002107B" w:rsidP="0002107B">
      <w:pPr>
        <w:spacing w:line="480" w:lineRule="auto"/>
        <w:ind w:firstLine="709"/>
        <w:jc w:val="right"/>
        <w:rPr>
          <w:i/>
          <w:color w:val="000000" w:themeColor="text1"/>
          <w:sz w:val="28"/>
          <w:szCs w:val="28"/>
          <w:lang w:val="es-ES_tradnl" w:eastAsia="es-ES_tradnl"/>
        </w:rPr>
      </w:pPr>
    </w:p>
    <w:p w14:paraId="1DC45B30" w14:textId="77777777" w:rsidR="0002107B" w:rsidRPr="00163BF5" w:rsidRDefault="0002107B" w:rsidP="0002107B">
      <w:pPr>
        <w:spacing w:line="480" w:lineRule="auto"/>
        <w:jc w:val="both"/>
        <w:rPr>
          <w:i/>
          <w:color w:val="000000" w:themeColor="text1"/>
          <w:sz w:val="28"/>
          <w:szCs w:val="28"/>
          <w:lang w:val="es-ES_tradnl" w:eastAsia="es-ES_tradnl"/>
        </w:rPr>
      </w:pPr>
    </w:p>
    <w:p w14:paraId="10EB012E" w14:textId="71CC6600" w:rsidR="0002107B" w:rsidRPr="00163BF5" w:rsidRDefault="0002107B" w:rsidP="0002107B">
      <w:pPr>
        <w:spacing w:line="480" w:lineRule="auto"/>
        <w:ind w:firstLine="709"/>
        <w:jc w:val="right"/>
        <w:rPr>
          <w:b/>
          <w:i/>
          <w:color w:val="000000" w:themeColor="text1"/>
          <w:sz w:val="28"/>
          <w:szCs w:val="28"/>
          <w:lang w:val="es-ES_tradnl" w:eastAsia="es-ES_tradnl"/>
        </w:rPr>
      </w:pPr>
      <w:r w:rsidRPr="00163BF5">
        <w:rPr>
          <w:b/>
          <w:i/>
          <w:color w:val="000000" w:themeColor="text1"/>
          <w:sz w:val="28"/>
          <w:szCs w:val="28"/>
          <w:lang w:val="es-ES_tradnl" w:eastAsia="es-ES_tradnl"/>
        </w:rPr>
        <w:t>AGRADECIMIENTOS:</w:t>
      </w:r>
    </w:p>
    <w:p w14:paraId="49721180" w14:textId="3EF96797" w:rsidR="00386703" w:rsidRPr="00163BF5" w:rsidRDefault="00386703" w:rsidP="0002107B">
      <w:pPr>
        <w:spacing w:line="480" w:lineRule="auto"/>
        <w:ind w:firstLine="709"/>
        <w:jc w:val="right"/>
        <w:rPr>
          <w:bCs/>
          <w:i/>
          <w:color w:val="000000" w:themeColor="text1"/>
          <w:sz w:val="28"/>
          <w:szCs w:val="28"/>
          <w:lang w:val="es-ES_tradnl" w:eastAsia="es-ES_tradnl"/>
        </w:rPr>
      </w:pPr>
      <w:r w:rsidRPr="00163BF5">
        <w:rPr>
          <w:bCs/>
          <w:i/>
          <w:color w:val="000000" w:themeColor="text1"/>
          <w:sz w:val="28"/>
          <w:szCs w:val="28"/>
          <w:lang w:val="es-ES_tradnl" w:eastAsia="es-ES_tradnl"/>
        </w:rPr>
        <w:t>A mi tutor Dr. Mario Melo Cevallos</w:t>
      </w:r>
      <w:r w:rsidR="00656CF6" w:rsidRPr="00163BF5">
        <w:rPr>
          <w:bCs/>
          <w:i/>
          <w:color w:val="000000" w:themeColor="text1"/>
          <w:sz w:val="28"/>
          <w:szCs w:val="28"/>
          <w:lang w:val="es-ES_tradnl" w:eastAsia="es-ES_tradnl"/>
        </w:rPr>
        <w:t xml:space="preserve"> por guiarme y aconsejarme en el desarrollo de la presente tesis. </w:t>
      </w:r>
    </w:p>
    <w:p w14:paraId="60A7083F" w14:textId="6009BE94" w:rsidR="0002107B" w:rsidRPr="00163BF5" w:rsidRDefault="0002107B" w:rsidP="0002107B">
      <w:pPr>
        <w:spacing w:line="480" w:lineRule="auto"/>
        <w:ind w:firstLine="709"/>
        <w:jc w:val="right"/>
        <w:rPr>
          <w:i/>
          <w:color w:val="000000" w:themeColor="text1"/>
          <w:sz w:val="28"/>
          <w:szCs w:val="28"/>
          <w:lang w:val="es-ES_tradnl" w:eastAsia="es-ES_tradnl"/>
        </w:rPr>
      </w:pPr>
      <w:r w:rsidRPr="00163BF5">
        <w:rPr>
          <w:i/>
          <w:color w:val="000000" w:themeColor="text1"/>
          <w:sz w:val="28"/>
          <w:szCs w:val="28"/>
          <w:lang w:val="es-ES_tradnl" w:eastAsia="es-ES_tradnl"/>
        </w:rPr>
        <w:t>A mi familia por siempre acompañarme</w:t>
      </w:r>
      <w:r w:rsidR="00852EBB" w:rsidRPr="00163BF5">
        <w:rPr>
          <w:i/>
          <w:color w:val="000000" w:themeColor="text1"/>
          <w:sz w:val="28"/>
          <w:szCs w:val="28"/>
          <w:lang w:val="es-ES_tradnl" w:eastAsia="es-ES_tradnl"/>
        </w:rPr>
        <w:t xml:space="preserve"> y</w:t>
      </w:r>
      <w:r w:rsidRPr="00163BF5">
        <w:rPr>
          <w:i/>
          <w:color w:val="000000" w:themeColor="text1"/>
          <w:sz w:val="28"/>
          <w:szCs w:val="28"/>
          <w:lang w:val="es-ES_tradnl" w:eastAsia="es-ES_tradnl"/>
        </w:rPr>
        <w:t xml:space="preserve"> guiarme, en especial a mi madre que bajo la luz de su sabiduría y esfuerzo me guía y guiará en el camino que llamamos vida. </w:t>
      </w:r>
    </w:p>
    <w:p w14:paraId="6FBD7F0C" w14:textId="7FDA6D3E" w:rsidR="0002107B" w:rsidRPr="00163BF5" w:rsidRDefault="0002107B" w:rsidP="0024391C">
      <w:pPr>
        <w:spacing w:line="480" w:lineRule="auto"/>
        <w:ind w:firstLine="709"/>
        <w:jc w:val="right"/>
        <w:rPr>
          <w:i/>
          <w:color w:val="000000" w:themeColor="text1"/>
          <w:sz w:val="28"/>
          <w:szCs w:val="28"/>
          <w:lang w:val="es-ES_tradnl" w:eastAsia="es-ES_tradnl"/>
        </w:rPr>
      </w:pPr>
      <w:r w:rsidRPr="00163BF5">
        <w:rPr>
          <w:i/>
          <w:color w:val="000000" w:themeColor="text1"/>
          <w:sz w:val="28"/>
          <w:szCs w:val="28"/>
          <w:lang w:val="es-ES_tradnl" w:eastAsia="es-ES_tradnl"/>
        </w:rPr>
        <w:t>A mis profesores, en especial a quienes supieron sacar lo mejor de mí.</w:t>
      </w:r>
    </w:p>
    <w:p w14:paraId="799DD0EA" w14:textId="12A61281" w:rsidR="0024391C" w:rsidRPr="00163BF5" w:rsidRDefault="0024391C" w:rsidP="0024391C">
      <w:pPr>
        <w:spacing w:line="480" w:lineRule="auto"/>
        <w:ind w:firstLine="709"/>
        <w:jc w:val="right"/>
        <w:rPr>
          <w:i/>
          <w:color w:val="000000" w:themeColor="text1"/>
          <w:sz w:val="28"/>
          <w:szCs w:val="28"/>
          <w:lang w:val="es-ES_tradnl" w:eastAsia="es-ES_tradnl"/>
        </w:rPr>
      </w:pPr>
      <w:r w:rsidRPr="00163BF5">
        <w:rPr>
          <w:i/>
          <w:color w:val="000000" w:themeColor="text1"/>
          <w:sz w:val="28"/>
          <w:szCs w:val="28"/>
          <w:lang w:val="es-ES_tradnl" w:eastAsia="es-ES_tradnl"/>
        </w:rPr>
        <w:t xml:space="preserve">A </w:t>
      </w:r>
      <w:r w:rsidR="00D64D22" w:rsidRPr="00163BF5">
        <w:rPr>
          <w:i/>
          <w:color w:val="000000" w:themeColor="text1"/>
          <w:sz w:val="28"/>
          <w:szCs w:val="28"/>
          <w:lang w:val="es-ES_tradnl" w:eastAsia="es-ES_tradnl"/>
        </w:rPr>
        <w:t xml:space="preserve">mi pareja </w:t>
      </w:r>
      <w:r w:rsidRPr="00163BF5">
        <w:rPr>
          <w:i/>
          <w:color w:val="000000" w:themeColor="text1"/>
          <w:sz w:val="28"/>
          <w:szCs w:val="28"/>
          <w:lang w:val="es-ES_tradnl" w:eastAsia="es-ES_tradnl"/>
        </w:rPr>
        <w:t>Daniela</w:t>
      </w:r>
      <w:r w:rsidR="00FE0B38" w:rsidRPr="00163BF5">
        <w:rPr>
          <w:i/>
          <w:color w:val="000000" w:themeColor="text1"/>
          <w:sz w:val="28"/>
          <w:szCs w:val="28"/>
          <w:lang w:val="es-ES_tradnl" w:eastAsia="es-ES_tradnl"/>
        </w:rPr>
        <w:t xml:space="preserve"> Ramos, por</w:t>
      </w:r>
      <w:r w:rsidRPr="00163BF5">
        <w:rPr>
          <w:i/>
          <w:color w:val="000000" w:themeColor="text1"/>
          <w:sz w:val="28"/>
          <w:szCs w:val="28"/>
          <w:lang w:val="es-ES_tradnl" w:eastAsia="es-ES_tradnl"/>
        </w:rPr>
        <w:t xml:space="preserve"> acompañarme</w:t>
      </w:r>
      <w:r w:rsidR="00852EBB" w:rsidRPr="00163BF5">
        <w:rPr>
          <w:i/>
          <w:color w:val="000000" w:themeColor="text1"/>
          <w:sz w:val="28"/>
          <w:szCs w:val="28"/>
          <w:lang w:val="es-ES_tradnl" w:eastAsia="es-ES_tradnl"/>
        </w:rPr>
        <w:t>,</w:t>
      </w:r>
      <w:r w:rsidRPr="00163BF5">
        <w:rPr>
          <w:i/>
          <w:color w:val="000000" w:themeColor="text1"/>
          <w:sz w:val="28"/>
          <w:szCs w:val="28"/>
          <w:lang w:val="es-ES_tradnl" w:eastAsia="es-ES_tradnl"/>
        </w:rPr>
        <w:t xml:space="preserve"> tolerarme </w:t>
      </w:r>
      <w:r w:rsidR="00852EBB" w:rsidRPr="00163BF5">
        <w:rPr>
          <w:i/>
          <w:color w:val="000000" w:themeColor="text1"/>
          <w:sz w:val="28"/>
          <w:szCs w:val="28"/>
          <w:lang w:val="es-ES_tradnl" w:eastAsia="es-ES_tradnl"/>
        </w:rPr>
        <w:t xml:space="preserve">y confiar en mi </w:t>
      </w:r>
      <w:r w:rsidRPr="00163BF5">
        <w:rPr>
          <w:i/>
          <w:color w:val="000000" w:themeColor="text1"/>
          <w:sz w:val="28"/>
          <w:szCs w:val="28"/>
          <w:lang w:val="es-ES_tradnl" w:eastAsia="es-ES_tradnl"/>
        </w:rPr>
        <w:t xml:space="preserve">durante el desarrollo de esta tesis. </w:t>
      </w:r>
    </w:p>
    <w:p w14:paraId="7DBF93B4" w14:textId="5ACE4BE5" w:rsidR="00935050" w:rsidRPr="00163BF5" w:rsidRDefault="00935050" w:rsidP="00935050">
      <w:pPr>
        <w:spacing w:line="480" w:lineRule="auto"/>
        <w:jc w:val="right"/>
        <w:rPr>
          <w:i/>
          <w:iCs/>
          <w:color w:val="000000" w:themeColor="text1"/>
          <w:sz w:val="28"/>
          <w:szCs w:val="28"/>
        </w:rPr>
      </w:pPr>
      <w:r w:rsidRPr="00163BF5">
        <w:rPr>
          <w:i/>
          <w:iCs/>
          <w:color w:val="000000" w:themeColor="text1"/>
          <w:sz w:val="28"/>
          <w:szCs w:val="28"/>
        </w:rPr>
        <w:t>A Rosa Bolaños, quien me enseñó a valorar una amistad inesperada pero fuerte. Gracias por ser parte de esta experiencia.</w:t>
      </w:r>
    </w:p>
    <w:p w14:paraId="53BFDF14" w14:textId="0877E2D6" w:rsidR="0002107B" w:rsidRPr="00163BF5" w:rsidRDefault="0002107B" w:rsidP="0002107B">
      <w:pPr>
        <w:spacing w:line="480" w:lineRule="auto"/>
        <w:ind w:firstLine="709"/>
        <w:jc w:val="right"/>
        <w:rPr>
          <w:i/>
          <w:color w:val="000000" w:themeColor="text1"/>
          <w:sz w:val="28"/>
          <w:szCs w:val="28"/>
          <w:lang w:val="es-ES_tradnl" w:eastAsia="es-ES_tradnl"/>
        </w:rPr>
      </w:pPr>
      <w:r w:rsidRPr="00163BF5">
        <w:rPr>
          <w:i/>
          <w:color w:val="000000" w:themeColor="text1"/>
          <w:sz w:val="28"/>
          <w:szCs w:val="28"/>
          <w:lang w:val="es-ES_tradnl" w:eastAsia="es-ES_tradnl"/>
        </w:rPr>
        <w:t>A mis amigos: Sebastián, Jorge, Dayana</w:t>
      </w:r>
      <w:r w:rsidR="00656CF6" w:rsidRPr="00163BF5">
        <w:rPr>
          <w:i/>
          <w:color w:val="000000" w:themeColor="text1"/>
          <w:sz w:val="28"/>
          <w:szCs w:val="28"/>
          <w:lang w:val="es-ES_tradnl" w:eastAsia="es-ES_tradnl"/>
        </w:rPr>
        <w:t>, Jazmín,</w:t>
      </w:r>
      <w:r w:rsidRPr="00163BF5">
        <w:rPr>
          <w:i/>
          <w:color w:val="000000" w:themeColor="text1"/>
          <w:sz w:val="28"/>
          <w:szCs w:val="28"/>
          <w:lang w:val="es-ES_tradnl" w:eastAsia="es-ES_tradnl"/>
        </w:rPr>
        <w:t xml:space="preserve"> Mariela Micaela, Pedro, Andrea, Camila, Valeria, Mateo, Bryan, Daniel, Álvaro</w:t>
      </w:r>
      <w:r w:rsidR="0024391C" w:rsidRPr="00163BF5">
        <w:rPr>
          <w:i/>
          <w:color w:val="000000" w:themeColor="text1"/>
          <w:sz w:val="28"/>
          <w:szCs w:val="28"/>
          <w:lang w:val="es-ES_tradnl" w:eastAsia="es-ES_tradnl"/>
        </w:rPr>
        <w:t>, Rosa, Pamela</w:t>
      </w:r>
      <w:r w:rsidR="00935050" w:rsidRPr="00163BF5">
        <w:rPr>
          <w:i/>
          <w:color w:val="000000" w:themeColor="text1"/>
          <w:sz w:val="28"/>
          <w:szCs w:val="28"/>
          <w:lang w:val="es-ES_tradnl" w:eastAsia="es-ES_tradnl"/>
        </w:rPr>
        <w:t>.</w:t>
      </w:r>
    </w:p>
    <w:p w14:paraId="02DDEC71" w14:textId="77777777" w:rsidR="0002107B" w:rsidRPr="00163BF5" w:rsidRDefault="0002107B" w:rsidP="0002107B">
      <w:pPr>
        <w:spacing w:line="480" w:lineRule="auto"/>
        <w:ind w:firstLine="709"/>
        <w:jc w:val="both"/>
        <w:rPr>
          <w:i/>
          <w:color w:val="000000" w:themeColor="text1"/>
          <w:sz w:val="28"/>
          <w:szCs w:val="28"/>
          <w:lang w:val="es-ES_tradnl" w:eastAsia="es-ES_tradnl"/>
        </w:rPr>
      </w:pPr>
    </w:p>
    <w:p w14:paraId="16C46D4A" w14:textId="5504D97C" w:rsidR="0002107B" w:rsidRPr="00163BF5" w:rsidRDefault="0002107B" w:rsidP="0002107B">
      <w:pPr>
        <w:spacing w:line="480" w:lineRule="auto"/>
        <w:ind w:firstLine="709"/>
        <w:jc w:val="right"/>
        <w:rPr>
          <w:i/>
          <w:color w:val="000000" w:themeColor="text1"/>
          <w:sz w:val="28"/>
          <w:szCs w:val="28"/>
          <w:lang w:val="es-ES_tradnl" w:eastAsia="es-ES_tradnl"/>
        </w:rPr>
      </w:pPr>
    </w:p>
    <w:p w14:paraId="36184071" w14:textId="77777777" w:rsidR="0024391C" w:rsidRPr="00163BF5" w:rsidRDefault="0024391C" w:rsidP="0002107B">
      <w:pPr>
        <w:spacing w:line="480" w:lineRule="auto"/>
        <w:ind w:firstLine="709"/>
        <w:jc w:val="right"/>
        <w:rPr>
          <w:i/>
          <w:color w:val="000000" w:themeColor="text1"/>
          <w:sz w:val="28"/>
          <w:szCs w:val="28"/>
          <w:lang w:val="es-ES_tradnl" w:eastAsia="es-ES_tradnl"/>
        </w:rPr>
      </w:pPr>
    </w:p>
    <w:p w14:paraId="08A1793E" w14:textId="77777777" w:rsidR="0002107B" w:rsidRPr="00163BF5" w:rsidRDefault="0002107B" w:rsidP="0002107B">
      <w:pPr>
        <w:spacing w:line="480" w:lineRule="auto"/>
        <w:ind w:firstLine="709"/>
        <w:jc w:val="right"/>
        <w:rPr>
          <w:i/>
          <w:color w:val="000000" w:themeColor="text1"/>
          <w:sz w:val="28"/>
          <w:szCs w:val="28"/>
          <w:lang w:val="es-ES_tradnl" w:eastAsia="es-ES_tradnl"/>
        </w:rPr>
      </w:pPr>
      <w:r w:rsidRPr="00163BF5">
        <w:rPr>
          <w:i/>
          <w:color w:val="000000" w:themeColor="text1"/>
          <w:sz w:val="28"/>
          <w:szCs w:val="28"/>
          <w:lang w:val="es-ES_tradnl" w:eastAsia="es-ES_tradnl"/>
        </w:rPr>
        <w:t xml:space="preserve">A todos ellos: ¡Gracias por todo! </w:t>
      </w:r>
    </w:p>
    <w:p w14:paraId="35B50356" w14:textId="77777777" w:rsidR="0002107B" w:rsidRPr="00163BF5" w:rsidRDefault="0002107B" w:rsidP="0002107B">
      <w:pPr>
        <w:spacing w:line="480" w:lineRule="auto"/>
        <w:ind w:firstLine="709"/>
        <w:jc w:val="right"/>
        <w:rPr>
          <w:i/>
          <w:color w:val="000000" w:themeColor="text1"/>
          <w:sz w:val="28"/>
          <w:szCs w:val="28"/>
          <w:lang w:val="es-ES_tradnl" w:eastAsia="es-ES_tradnl"/>
        </w:rPr>
      </w:pPr>
    </w:p>
    <w:p w14:paraId="7C4DBC7A" w14:textId="77777777" w:rsidR="0002107B" w:rsidRPr="00163BF5" w:rsidRDefault="0002107B" w:rsidP="0002107B">
      <w:pPr>
        <w:spacing w:line="480" w:lineRule="auto"/>
        <w:ind w:firstLine="709"/>
        <w:jc w:val="right"/>
        <w:rPr>
          <w:i/>
          <w:color w:val="000000" w:themeColor="text1"/>
          <w:sz w:val="28"/>
          <w:szCs w:val="28"/>
          <w:lang w:val="es-ES_tradnl" w:eastAsia="es-ES_tradnl"/>
        </w:rPr>
      </w:pPr>
    </w:p>
    <w:p w14:paraId="4D44840A" w14:textId="0522481F" w:rsidR="0002107B" w:rsidRPr="00163BF5" w:rsidRDefault="0002107B" w:rsidP="0002107B">
      <w:pPr>
        <w:spacing w:line="480" w:lineRule="auto"/>
        <w:ind w:firstLine="709"/>
        <w:jc w:val="right"/>
        <w:rPr>
          <w:i/>
          <w:color w:val="000000" w:themeColor="text1"/>
          <w:sz w:val="28"/>
          <w:szCs w:val="28"/>
          <w:lang w:val="es-ES_tradnl" w:eastAsia="es-ES_tradnl"/>
        </w:rPr>
      </w:pPr>
    </w:p>
    <w:p w14:paraId="3C24CC03" w14:textId="77777777" w:rsidR="00C0681A" w:rsidRPr="00163BF5" w:rsidRDefault="00C0681A" w:rsidP="00651EBA">
      <w:pPr>
        <w:spacing w:line="480" w:lineRule="auto"/>
        <w:rPr>
          <w:b/>
          <w:bCs/>
          <w:i/>
          <w:color w:val="000000" w:themeColor="text1"/>
          <w:sz w:val="28"/>
          <w:szCs w:val="28"/>
          <w:lang w:val="es-ES_tradnl" w:eastAsia="es-ES_tradnl"/>
        </w:rPr>
      </w:pPr>
    </w:p>
    <w:p w14:paraId="7C0E9609" w14:textId="46F3FAF6" w:rsidR="00AE14F4" w:rsidRPr="00163BF5" w:rsidRDefault="00AE14F4" w:rsidP="00976446">
      <w:pPr>
        <w:spacing w:line="480" w:lineRule="auto"/>
        <w:ind w:firstLine="709"/>
        <w:jc w:val="center"/>
        <w:rPr>
          <w:b/>
          <w:bCs/>
          <w:iCs/>
          <w:color w:val="000000" w:themeColor="text1"/>
          <w:lang w:val="es-ES_tradnl" w:eastAsia="es-ES_tradnl"/>
        </w:rPr>
      </w:pPr>
      <w:r w:rsidRPr="00163BF5">
        <w:rPr>
          <w:b/>
          <w:bCs/>
          <w:iCs/>
          <w:color w:val="000000" w:themeColor="text1"/>
          <w:lang w:val="es-ES_tradnl" w:eastAsia="es-ES_tradnl"/>
        </w:rPr>
        <w:t>RESUMEN</w:t>
      </w:r>
    </w:p>
    <w:p w14:paraId="621046B5" w14:textId="6062F0B8" w:rsidR="00923A57" w:rsidRPr="00163BF5" w:rsidRDefault="00976446" w:rsidP="00FE7A87">
      <w:pPr>
        <w:spacing w:line="480" w:lineRule="auto"/>
        <w:jc w:val="both"/>
        <w:rPr>
          <w:iCs/>
          <w:color w:val="000000" w:themeColor="text1"/>
          <w:lang w:val="es-ES_tradnl" w:eastAsia="es-ES_tradnl"/>
        </w:rPr>
      </w:pPr>
      <w:r w:rsidRPr="00163BF5">
        <w:rPr>
          <w:iCs/>
          <w:color w:val="000000" w:themeColor="text1"/>
          <w:lang w:val="es-ES_tradnl" w:eastAsia="es-ES_tradnl"/>
        </w:rPr>
        <w:t xml:space="preserve">La </w:t>
      </w:r>
      <w:r w:rsidR="00FE7A87" w:rsidRPr="00163BF5">
        <w:rPr>
          <w:iCs/>
          <w:color w:val="000000" w:themeColor="text1"/>
          <w:lang w:val="es-ES_tradnl" w:eastAsia="es-ES_tradnl"/>
        </w:rPr>
        <w:t>“</w:t>
      </w:r>
      <w:r w:rsidRPr="00163BF5">
        <w:rPr>
          <w:iCs/>
          <w:color w:val="000000" w:themeColor="text1"/>
          <w:lang w:val="es-ES_tradnl" w:eastAsia="es-ES_tradnl"/>
        </w:rPr>
        <w:t>Ley Orgánica de Actuación en Casos de Personas Desaparecidas y Extraviadas</w:t>
      </w:r>
      <w:r w:rsidR="00FE7A87" w:rsidRPr="00163BF5">
        <w:rPr>
          <w:iCs/>
          <w:color w:val="000000" w:themeColor="text1"/>
          <w:lang w:val="es-ES_tradnl" w:eastAsia="es-ES_tradnl"/>
        </w:rPr>
        <w:t>”</w:t>
      </w:r>
      <w:r w:rsidRPr="00163BF5">
        <w:rPr>
          <w:iCs/>
          <w:color w:val="000000" w:themeColor="text1"/>
          <w:lang w:val="es-ES_tradnl" w:eastAsia="es-ES_tradnl"/>
        </w:rPr>
        <w:t xml:space="preserve"> emitida </w:t>
      </w:r>
      <w:r w:rsidR="0021136D" w:rsidRPr="00163BF5">
        <w:rPr>
          <w:iCs/>
          <w:color w:val="000000" w:themeColor="text1"/>
          <w:lang w:val="es-ES_tradnl" w:eastAsia="es-ES_tradnl"/>
        </w:rPr>
        <w:t xml:space="preserve">en 2019 y posteriormente </w:t>
      </w:r>
      <w:r w:rsidR="008F55C9" w:rsidRPr="00163BF5">
        <w:rPr>
          <w:iCs/>
          <w:color w:val="000000" w:themeColor="text1"/>
          <w:lang w:val="es-ES_tradnl" w:eastAsia="es-ES_tradnl"/>
        </w:rPr>
        <w:t>promulgada e</w:t>
      </w:r>
      <w:r w:rsidR="0021136D" w:rsidRPr="00163BF5">
        <w:rPr>
          <w:iCs/>
          <w:color w:val="000000" w:themeColor="text1"/>
          <w:lang w:val="es-ES_tradnl" w:eastAsia="es-ES_tradnl"/>
        </w:rPr>
        <w:t xml:space="preserve">n 2020, ha sido un hito histórico referente al avance en la protección de derechos de las personas desaparecidas y extraviadas en el Ecuador. </w:t>
      </w:r>
    </w:p>
    <w:p w14:paraId="259AF24E" w14:textId="1F686CC1" w:rsidR="00923A57" w:rsidRPr="00163BF5" w:rsidRDefault="0021136D" w:rsidP="00FE7A87">
      <w:pPr>
        <w:spacing w:line="480" w:lineRule="auto"/>
        <w:jc w:val="both"/>
        <w:rPr>
          <w:color w:val="000000" w:themeColor="text1"/>
          <w:lang w:val="es-ES_tradnl" w:eastAsia="es-ES_tradnl"/>
        </w:rPr>
      </w:pPr>
      <w:r w:rsidRPr="00163BF5">
        <w:rPr>
          <w:iCs/>
          <w:color w:val="000000" w:themeColor="text1"/>
          <w:lang w:val="es-ES_tradnl" w:eastAsia="es-ES_tradnl"/>
        </w:rPr>
        <w:t xml:space="preserve">Antes de la expedición de esta ley orgánica, </w:t>
      </w:r>
      <w:r w:rsidR="00A14F18" w:rsidRPr="00163BF5">
        <w:rPr>
          <w:iCs/>
          <w:color w:val="000000" w:themeColor="text1"/>
          <w:lang w:val="es-ES_tradnl" w:eastAsia="es-ES_tradnl"/>
        </w:rPr>
        <w:t>la búsqueda de las personas desaparecidas era</w:t>
      </w:r>
      <w:r w:rsidRPr="00163BF5">
        <w:rPr>
          <w:iCs/>
          <w:color w:val="000000" w:themeColor="text1"/>
          <w:lang w:val="es-ES_tradnl" w:eastAsia="es-ES_tradnl"/>
        </w:rPr>
        <w:t xml:space="preserve"> catalogadas como un mero acto administrativo regulado por </w:t>
      </w:r>
      <w:r w:rsidR="00FE7A87" w:rsidRPr="00163BF5">
        <w:rPr>
          <w:iCs/>
          <w:color w:val="000000" w:themeColor="text1"/>
          <w:lang w:val="es-ES_tradnl" w:eastAsia="es-ES_tradnl"/>
        </w:rPr>
        <w:t>el “Estatuto</w:t>
      </w:r>
      <w:r w:rsidRPr="00163BF5">
        <w:rPr>
          <w:color w:val="000000" w:themeColor="text1"/>
          <w:lang w:val="es-ES_tradnl" w:eastAsia="es-ES_tradnl"/>
        </w:rPr>
        <w:t xml:space="preserve"> Orgánico por Procesos de la Fiscalía General del Estado</w:t>
      </w:r>
      <w:r w:rsidR="00FE7A87" w:rsidRPr="00163BF5">
        <w:rPr>
          <w:color w:val="000000" w:themeColor="text1"/>
          <w:lang w:val="es-ES_tradnl" w:eastAsia="es-ES_tradnl"/>
        </w:rPr>
        <w:t>”</w:t>
      </w:r>
      <w:r w:rsidRPr="00163BF5">
        <w:rPr>
          <w:color w:val="000000" w:themeColor="text1"/>
          <w:lang w:val="es-ES_tradnl" w:eastAsia="es-ES_tradnl"/>
        </w:rPr>
        <w:t xml:space="preserve"> del Ecuador en el artículo 5.1.3.4, lo que </w:t>
      </w:r>
      <w:r w:rsidR="00FE7A87" w:rsidRPr="00163BF5">
        <w:rPr>
          <w:color w:val="000000" w:themeColor="text1"/>
          <w:lang w:val="es-ES_tradnl" w:eastAsia="es-ES_tradnl"/>
        </w:rPr>
        <w:t>ocasionaba</w:t>
      </w:r>
      <w:r w:rsidRPr="00163BF5">
        <w:rPr>
          <w:color w:val="000000" w:themeColor="text1"/>
          <w:lang w:val="es-ES_tradnl" w:eastAsia="es-ES_tradnl"/>
        </w:rPr>
        <w:t xml:space="preserve"> que muchos casos de personas desaparecidas no hayan sido tratados con la diligencia debida. </w:t>
      </w:r>
    </w:p>
    <w:p w14:paraId="344A39E4" w14:textId="5A9A53B0" w:rsidR="0021136D" w:rsidRPr="00163BF5" w:rsidRDefault="0021136D" w:rsidP="00FE7A87">
      <w:pPr>
        <w:spacing w:line="480" w:lineRule="auto"/>
        <w:jc w:val="both"/>
        <w:rPr>
          <w:iCs/>
          <w:color w:val="000000" w:themeColor="text1"/>
          <w:lang w:val="es-ES_tradnl" w:eastAsia="es-ES_tradnl"/>
        </w:rPr>
      </w:pPr>
      <w:r w:rsidRPr="00163BF5">
        <w:rPr>
          <w:color w:val="000000" w:themeColor="text1"/>
          <w:lang w:val="es-ES_tradnl" w:eastAsia="es-ES_tradnl"/>
        </w:rPr>
        <w:t xml:space="preserve">A raíz de lo mencionado, la presente investigación académica analiza los estándares de debida diligencia emitidos por parte de la Corte Interamericana de Derechos </w:t>
      </w:r>
      <w:r w:rsidR="00FE7A87" w:rsidRPr="00163BF5">
        <w:rPr>
          <w:color w:val="000000" w:themeColor="text1"/>
          <w:lang w:val="es-ES_tradnl" w:eastAsia="es-ES_tradnl"/>
        </w:rPr>
        <w:t>Humanos,</w:t>
      </w:r>
      <w:r w:rsidRPr="00163BF5">
        <w:rPr>
          <w:color w:val="000000" w:themeColor="text1"/>
          <w:lang w:val="es-ES_tradnl" w:eastAsia="es-ES_tradnl"/>
        </w:rPr>
        <w:t xml:space="preserve"> y si se encuentran correctamente plasmados en la </w:t>
      </w:r>
      <w:r w:rsidR="00FE7A87" w:rsidRPr="00163BF5">
        <w:rPr>
          <w:color w:val="000000" w:themeColor="text1"/>
          <w:lang w:val="es-ES_tradnl" w:eastAsia="es-ES_tradnl"/>
        </w:rPr>
        <w:t>“</w:t>
      </w:r>
      <w:r w:rsidRPr="00163BF5">
        <w:rPr>
          <w:iCs/>
          <w:color w:val="000000" w:themeColor="text1"/>
          <w:lang w:val="es-ES_tradnl" w:eastAsia="es-ES_tradnl"/>
        </w:rPr>
        <w:t>Ley Orgánica de Actuación en Casos de Personas Desaparecidas y Extraviadas</w:t>
      </w:r>
      <w:r w:rsidR="00FE7A87" w:rsidRPr="00163BF5">
        <w:rPr>
          <w:iCs/>
          <w:color w:val="000000" w:themeColor="text1"/>
          <w:lang w:val="es-ES_tradnl" w:eastAsia="es-ES_tradnl"/>
        </w:rPr>
        <w:t>” en los casos de desaparición involuntaria.</w:t>
      </w:r>
    </w:p>
    <w:p w14:paraId="7AC78CC0" w14:textId="546F9810" w:rsidR="00FE7A87" w:rsidRPr="00163BF5" w:rsidRDefault="00FE7A87" w:rsidP="00FE7A87">
      <w:pPr>
        <w:spacing w:line="480" w:lineRule="auto"/>
        <w:jc w:val="both"/>
        <w:rPr>
          <w:iCs/>
          <w:color w:val="000000" w:themeColor="text1"/>
          <w:lang w:val="es-ES_tradnl" w:eastAsia="es-ES_tradnl"/>
        </w:rPr>
      </w:pPr>
    </w:p>
    <w:p w14:paraId="58297075" w14:textId="69AF254B" w:rsidR="00FE7A87" w:rsidRPr="00163BF5" w:rsidRDefault="00FE7A87" w:rsidP="00FE7A87">
      <w:pPr>
        <w:spacing w:line="480" w:lineRule="auto"/>
        <w:jc w:val="both"/>
        <w:rPr>
          <w:iCs/>
          <w:color w:val="000000" w:themeColor="text1"/>
          <w:lang w:val="es-ES_tradnl" w:eastAsia="es-ES_tradnl"/>
        </w:rPr>
      </w:pPr>
      <w:r w:rsidRPr="00163BF5">
        <w:rPr>
          <w:b/>
          <w:bCs/>
          <w:iCs/>
          <w:color w:val="000000" w:themeColor="text1"/>
          <w:lang w:val="es-ES_tradnl" w:eastAsia="es-ES_tradnl"/>
        </w:rPr>
        <w:t xml:space="preserve">Palabras clave: </w:t>
      </w:r>
      <w:r w:rsidRPr="00163BF5">
        <w:rPr>
          <w:iCs/>
          <w:color w:val="000000" w:themeColor="text1"/>
          <w:lang w:val="es-ES_tradnl" w:eastAsia="es-ES_tradnl"/>
        </w:rPr>
        <w:t>desaparecidos/ desaparición involuntaria/ Corte Interamericana de Derechos Humanos/ debida diligencia/ Ley Orgánica de Actuación en Casos de Personas Desaparecidas y Extraviadas.</w:t>
      </w:r>
    </w:p>
    <w:p w14:paraId="3BE65B83" w14:textId="0F519705" w:rsidR="00FE7A87" w:rsidRPr="00163BF5" w:rsidRDefault="00FE7A87" w:rsidP="00FE7A87">
      <w:pPr>
        <w:spacing w:line="480" w:lineRule="auto"/>
        <w:jc w:val="both"/>
        <w:rPr>
          <w:iCs/>
          <w:color w:val="000000" w:themeColor="text1"/>
          <w:lang w:val="es-ES_tradnl" w:eastAsia="es-ES_tradnl"/>
        </w:rPr>
      </w:pPr>
    </w:p>
    <w:p w14:paraId="481B59E8" w14:textId="77777777" w:rsidR="00FE7A87" w:rsidRPr="00163BF5" w:rsidRDefault="00FE7A87" w:rsidP="00FE7A87">
      <w:pPr>
        <w:spacing w:line="480" w:lineRule="auto"/>
        <w:jc w:val="both"/>
        <w:rPr>
          <w:color w:val="000000" w:themeColor="text1"/>
          <w:lang w:val="es-ES_tradnl" w:eastAsia="es-ES_tradnl"/>
        </w:rPr>
      </w:pPr>
    </w:p>
    <w:p w14:paraId="49CD6F99" w14:textId="77777777" w:rsidR="0021136D" w:rsidRPr="00163BF5" w:rsidRDefault="0021136D" w:rsidP="00976446">
      <w:pPr>
        <w:spacing w:line="480" w:lineRule="auto"/>
        <w:jc w:val="both"/>
        <w:rPr>
          <w:iCs/>
          <w:color w:val="000000" w:themeColor="text1"/>
          <w:lang w:val="es-ES_tradnl" w:eastAsia="es-ES_tradnl"/>
        </w:rPr>
      </w:pPr>
    </w:p>
    <w:p w14:paraId="5B630B68" w14:textId="77777777" w:rsidR="00976446" w:rsidRPr="00163BF5" w:rsidRDefault="00976446" w:rsidP="00976446">
      <w:pPr>
        <w:spacing w:line="480" w:lineRule="auto"/>
        <w:jc w:val="both"/>
        <w:rPr>
          <w:iCs/>
          <w:color w:val="000000" w:themeColor="text1"/>
          <w:lang w:val="es-ES_tradnl" w:eastAsia="es-ES_tradnl"/>
        </w:rPr>
      </w:pPr>
    </w:p>
    <w:p w14:paraId="4398E721" w14:textId="77777777" w:rsidR="00976446" w:rsidRPr="00163BF5" w:rsidRDefault="00976446" w:rsidP="00976446">
      <w:pPr>
        <w:spacing w:line="480" w:lineRule="auto"/>
        <w:jc w:val="both"/>
        <w:rPr>
          <w:iCs/>
          <w:color w:val="000000" w:themeColor="text1"/>
          <w:lang w:val="es-ES_tradnl" w:eastAsia="es-ES_tradnl"/>
        </w:rPr>
      </w:pPr>
    </w:p>
    <w:p w14:paraId="14C31960" w14:textId="30EDADED" w:rsidR="00976446" w:rsidRPr="00163BF5" w:rsidRDefault="00976446" w:rsidP="00FE7A87">
      <w:pPr>
        <w:spacing w:line="480" w:lineRule="auto"/>
        <w:rPr>
          <w:iCs/>
          <w:color w:val="000000" w:themeColor="text1"/>
          <w:sz w:val="28"/>
          <w:szCs w:val="28"/>
          <w:lang w:val="es-ES_tradnl" w:eastAsia="es-ES_tradnl"/>
        </w:rPr>
      </w:pPr>
    </w:p>
    <w:p w14:paraId="2936276E" w14:textId="1D9361A2" w:rsidR="00923A57" w:rsidRPr="00163BF5" w:rsidRDefault="00923A57" w:rsidP="00FE7A87">
      <w:pPr>
        <w:spacing w:line="480" w:lineRule="auto"/>
        <w:rPr>
          <w:iCs/>
          <w:color w:val="000000" w:themeColor="text1"/>
          <w:sz w:val="28"/>
          <w:szCs w:val="28"/>
          <w:lang w:val="es-ES_tradnl" w:eastAsia="es-ES_tradnl"/>
        </w:rPr>
      </w:pPr>
    </w:p>
    <w:p w14:paraId="3A153FF2" w14:textId="5C42F450" w:rsidR="00923A57" w:rsidRPr="00163BF5" w:rsidRDefault="00923A57" w:rsidP="00FE7A87">
      <w:pPr>
        <w:spacing w:line="480" w:lineRule="auto"/>
        <w:rPr>
          <w:iCs/>
          <w:color w:val="000000" w:themeColor="text1"/>
          <w:sz w:val="28"/>
          <w:szCs w:val="28"/>
          <w:lang w:val="es-ES_tradnl" w:eastAsia="es-ES_tradnl"/>
        </w:rPr>
      </w:pPr>
    </w:p>
    <w:p w14:paraId="241F67BA" w14:textId="765DF310" w:rsidR="00AE14F4" w:rsidRPr="00163BF5" w:rsidRDefault="00AE14F4" w:rsidP="00AE14F4">
      <w:pPr>
        <w:spacing w:line="480" w:lineRule="auto"/>
        <w:rPr>
          <w:iCs/>
          <w:color w:val="000000" w:themeColor="text1"/>
          <w:sz w:val="28"/>
          <w:szCs w:val="28"/>
          <w:lang w:val="es-ES_tradnl" w:eastAsia="es-ES_tradnl"/>
        </w:rPr>
      </w:pPr>
    </w:p>
    <w:p w14:paraId="0D42A1A1" w14:textId="18EF7A4C" w:rsidR="00AE14F4" w:rsidRPr="00163BF5" w:rsidRDefault="00AE14F4" w:rsidP="00C0681A">
      <w:pPr>
        <w:spacing w:line="480" w:lineRule="auto"/>
        <w:jc w:val="center"/>
        <w:rPr>
          <w:b/>
          <w:bCs/>
          <w:iCs/>
          <w:color w:val="000000" w:themeColor="text1"/>
          <w:lang w:val="en-US" w:eastAsia="es-ES_tradnl"/>
        </w:rPr>
      </w:pPr>
      <w:r w:rsidRPr="00163BF5">
        <w:rPr>
          <w:b/>
          <w:bCs/>
          <w:iCs/>
          <w:color w:val="000000" w:themeColor="text1"/>
          <w:lang w:val="en-US" w:eastAsia="es-ES_tradnl"/>
        </w:rPr>
        <w:t>ABSTRACT</w:t>
      </w:r>
    </w:p>
    <w:p w14:paraId="25940F27" w14:textId="4751F338" w:rsidR="00923A57" w:rsidRPr="00163BF5" w:rsidRDefault="00923A57" w:rsidP="00C0681A">
      <w:pPr>
        <w:spacing w:line="480" w:lineRule="auto"/>
        <w:jc w:val="both"/>
        <w:rPr>
          <w:color w:val="000000" w:themeColor="text1"/>
          <w:lang w:val="en-US"/>
        </w:rPr>
      </w:pPr>
      <w:r w:rsidRPr="00163BF5">
        <w:rPr>
          <w:color w:val="000000" w:themeColor="text1"/>
          <w:lang w:val="en-US"/>
        </w:rPr>
        <w:t>The "</w:t>
      </w:r>
      <w:r w:rsidRPr="00163BF5">
        <w:rPr>
          <w:iCs/>
          <w:color w:val="000000" w:themeColor="text1"/>
          <w:lang w:val="en-US" w:eastAsia="es-ES_tradnl"/>
        </w:rPr>
        <w:t xml:space="preserve"> Ley </w:t>
      </w:r>
      <w:proofErr w:type="spellStart"/>
      <w:r w:rsidRPr="00163BF5">
        <w:rPr>
          <w:iCs/>
          <w:color w:val="000000" w:themeColor="text1"/>
          <w:lang w:val="en-US" w:eastAsia="es-ES_tradnl"/>
        </w:rPr>
        <w:t>Orgánica</w:t>
      </w:r>
      <w:proofErr w:type="spellEnd"/>
      <w:r w:rsidRPr="00163BF5">
        <w:rPr>
          <w:iCs/>
          <w:color w:val="000000" w:themeColor="text1"/>
          <w:lang w:val="en-US" w:eastAsia="es-ES_tradnl"/>
        </w:rPr>
        <w:t xml:space="preserve"> de </w:t>
      </w:r>
      <w:proofErr w:type="spellStart"/>
      <w:r w:rsidRPr="00163BF5">
        <w:rPr>
          <w:iCs/>
          <w:color w:val="000000" w:themeColor="text1"/>
          <w:lang w:val="en-US" w:eastAsia="es-ES_tradnl"/>
        </w:rPr>
        <w:t>Actuación</w:t>
      </w:r>
      <w:proofErr w:type="spellEnd"/>
      <w:r w:rsidRPr="00163BF5">
        <w:rPr>
          <w:iCs/>
          <w:color w:val="000000" w:themeColor="text1"/>
          <w:lang w:val="en-US" w:eastAsia="es-ES_tradnl"/>
        </w:rPr>
        <w:t xml:space="preserve"> </w:t>
      </w:r>
      <w:proofErr w:type="spellStart"/>
      <w:r w:rsidRPr="00163BF5">
        <w:rPr>
          <w:iCs/>
          <w:color w:val="000000" w:themeColor="text1"/>
          <w:lang w:val="en-US" w:eastAsia="es-ES_tradnl"/>
        </w:rPr>
        <w:t>en</w:t>
      </w:r>
      <w:proofErr w:type="spellEnd"/>
      <w:r w:rsidRPr="00163BF5">
        <w:rPr>
          <w:iCs/>
          <w:color w:val="000000" w:themeColor="text1"/>
          <w:lang w:val="en-US" w:eastAsia="es-ES_tradnl"/>
        </w:rPr>
        <w:t xml:space="preserve"> Casos de Personas </w:t>
      </w:r>
      <w:proofErr w:type="spellStart"/>
      <w:r w:rsidRPr="00163BF5">
        <w:rPr>
          <w:iCs/>
          <w:color w:val="000000" w:themeColor="text1"/>
          <w:lang w:val="en-US" w:eastAsia="es-ES_tradnl"/>
        </w:rPr>
        <w:t>Desaparecidas</w:t>
      </w:r>
      <w:proofErr w:type="spellEnd"/>
      <w:r w:rsidRPr="00163BF5">
        <w:rPr>
          <w:iCs/>
          <w:color w:val="000000" w:themeColor="text1"/>
          <w:lang w:val="en-US" w:eastAsia="es-ES_tradnl"/>
        </w:rPr>
        <w:t xml:space="preserve"> y </w:t>
      </w:r>
      <w:proofErr w:type="spellStart"/>
      <w:r w:rsidRPr="00163BF5">
        <w:rPr>
          <w:iCs/>
          <w:color w:val="000000" w:themeColor="text1"/>
          <w:lang w:val="en-US" w:eastAsia="es-ES_tradnl"/>
        </w:rPr>
        <w:t>Extraviadas</w:t>
      </w:r>
      <w:proofErr w:type="spellEnd"/>
      <w:r w:rsidRPr="00163BF5">
        <w:rPr>
          <w:color w:val="000000" w:themeColor="text1"/>
          <w:lang w:val="en-US"/>
        </w:rPr>
        <w:t xml:space="preserve"> " issued in 2019 and subsequently registered in 2020, has been a historic milestone in advancing the protection of the rights of missing persons in Ecuador</w:t>
      </w:r>
      <w:r w:rsidR="007E276B" w:rsidRPr="00163BF5">
        <w:rPr>
          <w:color w:val="000000" w:themeColor="text1"/>
          <w:lang w:val="en-US"/>
        </w:rPr>
        <w:t>.</w:t>
      </w:r>
    </w:p>
    <w:p w14:paraId="00330F68" w14:textId="1E575E8A" w:rsidR="00923A57" w:rsidRPr="00163BF5" w:rsidRDefault="00923A57" w:rsidP="00C0681A">
      <w:pPr>
        <w:spacing w:line="480" w:lineRule="auto"/>
        <w:jc w:val="both"/>
        <w:rPr>
          <w:color w:val="000000" w:themeColor="text1"/>
          <w:lang w:val="en-US"/>
        </w:rPr>
      </w:pPr>
      <w:r w:rsidRPr="00163BF5">
        <w:rPr>
          <w:color w:val="000000" w:themeColor="text1"/>
          <w:lang w:val="en-US"/>
        </w:rPr>
        <w:t>Prior to the issuance of this organic law, the situation of missing persons was classified as a mere administrative act regulated by the “</w:t>
      </w:r>
      <w:proofErr w:type="spellStart"/>
      <w:r w:rsidRPr="00163BF5">
        <w:rPr>
          <w:iCs/>
          <w:color w:val="000000" w:themeColor="text1"/>
          <w:lang w:val="en-US" w:eastAsia="es-ES_tradnl"/>
        </w:rPr>
        <w:t>Estatuto</w:t>
      </w:r>
      <w:proofErr w:type="spellEnd"/>
      <w:r w:rsidRPr="00163BF5">
        <w:rPr>
          <w:color w:val="000000" w:themeColor="text1"/>
          <w:lang w:val="en-US" w:eastAsia="es-ES_tradnl"/>
        </w:rPr>
        <w:t xml:space="preserve"> </w:t>
      </w:r>
      <w:proofErr w:type="spellStart"/>
      <w:r w:rsidRPr="00163BF5">
        <w:rPr>
          <w:color w:val="000000" w:themeColor="text1"/>
          <w:lang w:val="en-US" w:eastAsia="es-ES_tradnl"/>
        </w:rPr>
        <w:t>Orgánico</w:t>
      </w:r>
      <w:proofErr w:type="spellEnd"/>
      <w:r w:rsidRPr="00163BF5">
        <w:rPr>
          <w:color w:val="000000" w:themeColor="text1"/>
          <w:lang w:val="en-US" w:eastAsia="es-ES_tradnl"/>
        </w:rPr>
        <w:t xml:space="preserve"> por </w:t>
      </w:r>
      <w:proofErr w:type="spellStart"/>
      <w:r w:rsidRPr="00163BF5">
        <w:rPr>
          <w:color w:val="000000" w:themeColor="text1"/>
          <w:lang w:val="en-US" w:eastAsia="es-ES_tradnl"/>
        </w:rPr>
        <w:t>Procesos</w:t>
      </w:r>
      <w:proofErr w:type="spellEnd"/>
      <w:r w:rsidRPr="00163BF5">
        <w:rPr>
          <w:color w:val="000000" w:themeColor="text1"/>
          <w:lang w:val="en-US" w:eastAsia="es-ES_tradnl"/>
        </w:rPr>
        <w:t xml:space="preserve"> de la </w:t>
      </w:r>
      <w:proofErr w:type="spellStart"/>
      <w:r w:rsidRPr="00163BF5">
        <w:rPr>
          <w:color w:val="000000" w:themeColor="text1"/>
          <w:lang w:val="en-US" w:eastAsia="es-ES_tradnl"/>
        </w:rPr>
        <w:t>Fiscalía</w:t>
      </w:r>
      <w:proofErr w:type="spellEnd"/>
      <w:r w:rsidRPr="00163BF5">
        <w:rPr>
          <w:color w:val="000000" w:themeColor="text1"/>
          <w:lang w:val="en-US" w:eastAsia="es-ES_tradnl"/>
        </w:rPr>
        <w:t xml:space="preserve"> General del Estado” in the </w:t>
      </w:r>
      <w:r w:rsidR="00C0681A" w:rsidRPr="00163BF5">
        <w:rPr>
          <w:color w:val="000000" w:themeColor="text1"/>
          <w:lang w:val="en-US"/>
        </w:rPr>
        <w:t>a</w:t>
      </w:r>
      <w:r w:rsidRPr="00163BF5">
        <w:rPr>
          <w:color w:val="000000" w:themeColor="text1"/>
          <w:lang w:val="en-US"/>
        </w:rPr>
        <w:t>rticle 5.1.3.4, which resulted in many cases of missing persons not being treated with due diligence.</w:t>
      </w:r>
    </w:p>
    <w:p w14:paraId="44692AC8" w14:textId="6733DCEE" w:rsidR="00923A57" w:rsidRPr="00163BF5" w:rsidRDefault="00923A57" w:rsidP="00C0681A">
      <w:pPr>
        <w:spacing w:line="480" w:lineRule="auto"/>
        <w:rPr>
          <w:color w:val="000000" w:themeColor="text1"/>
          <w:lang w:val="en-US"/>
        </w:rPr>
      </w:pPr>
      <w:r w:rsidRPr="00163BF5">
        <w:rPr>
          <w:color w:val="000000" w:themeColor="text1"/>
          <w:lang w:val="en-US"/>
        </w:rPr>
        <w:t xml:space="preserve">Following the above, this academic research analyses the due diligence standards issued by the </w:t>
      </w:r>
      <w:r w:rsidR="00C0681A" w:rsidRPr="00163BF5">
        <w:rPr>
          <w:color w:val="000000" w:themeColor="text1"/>
          <w:lang w:val="en-US"/>
        </w:rPr>
        <w:t>Inter-American Court of Human Rights a</w:t>
      </w:r>
      <w:r w:rsidRPr="00163BF5">
        <w:rPr>
          <w:color w:val="000000" w:themeColor="text1"/>
          <w:lang w:val="en-US"/>
        </w:rPr>
        <w:t>nd if they themselves are correctly embodied in</w:t>
      </w:r>
      <w:r w:rsidR="00C0681A" w:rsidRPr="00163BF5">
        <w:rPr>
          <w:color w:val="000000" w:themeColor="text1"/>
          <w:lang w:val="en-US"/>
        </w:rPr>
        <w:t xml:space="preserve"> the Ley </w:t>
      </w:r>
      <w:proofErr w:type="spellStart"/>
      <w:r w:rsidR="00C0681A" w:rsidRPr="00163BF5">
        <w:rPr>
          <w:color w:val="000000" w:themeColor="text1"/>
          <w:lang w:val="en-US"/>
        </w:rPr>
        <w:t>Orgánica</w:t>
      </w:r>
      <w:proofErr w:type="spellEnd"/>
      <w:r w:rsidR="00C0681A" w:rsidRPr="00163BF5">
        <w:rPr>
          <w:color w:val="000000" w:themeColor="text1"/>
          <w:lang w:val="en-US"/>
        </w:rPr>
        <w:t xml:space="preserve"> de </w:t>
      </w:r>
      <w:proofErr w:type="spellStart"/>
      <w:r w:rsidR="00C0681A" w:rsidRPr="00163BF5">
        <w:rPr>
          <w:color w:val="000000" w:themeColor="text1"/>
          <w:lang w:val="en-US"/>
        </w:rPr>
        <w:t>Actuación</w:t>
      </w:r>
      <w:proofErr w:type="spellEnd"/>
      <w:r w:rsidR="00C0681A" w:rsidRPr="00163BF5">
        <w:rPr>
          <w:color w:val="000000" w:themeColor="text1"/>
          <w:lang w:val="en-US"/>
        </w:rPr>
        <w:t xml:space="preserve"> </w:t>
      </w:r>
      <w:proofErr w:type="spellStart"/>
      <w:r w:rsidR="00C0681A" w:rsidRPr="00163BF5">
        <w:rPr>
          <w:color w:val="000000" w:themeColor="text1"/>
          <w:lang w:val="en-US"/>
        </w:rPr>
        <w:t>en</w:t>
      </w:r>
      <w:proofErr w:type="spellEnd"/>
      <w:r w:rsidR="00C0681A" w:rsidRPr="00163BF5">
        <w:rPr>
          <w:color w:val="000000" w:themeColor="text1"/>
          <w:lang w:val="en-US"/>
        </w:rPr>
        <w:t xml:space="preserve"> Casos de Personas </w:t>
      </w:r>
      <w:proofErr w:type="spellStart"/>
      <w:r w:rsidR="00C0681A" w:rsidRPr="00163BF5">
        <w:rPr>
          <w:color w:val="000000" w:themeColor="text1"/>
          <w:lang w:val="en-US"/>
        </w:rPr>
        <w:t>Desaparecidas</w:t>
      </w:r>
      <w:proofErr w:type="spellEnd"/>
      <w:r w:rsidR="00C0681A" w:rsidRPr="00163BF5">
        <w:rPr>
          <w:color w:val="000000" w:themeColor="text1"/>
          <w:lang w:val="en-US"/>
        </w:rPr>
        <w:t xml:space="preserve"> y </w:t>
      </w:r>
      <w:proofErr w:type="spellStart"/>
      <w:r w:rsidR="00C0681A" w:rsidRPr="00163BF5">
        <w:rPr>
          <w:color w:val="000000" w:themeColor="text1"/>
          <w:lang w:val="en-US"/>
        </w:rPr>
        <w:t>Extraviadas</w:t>
      </w:r>
      <w:proofErr w:type="spellEnd"/>
      <w:r w:rsidR="00C0681A" w:rsidRPr="00163BF5">
        <w:rPr>
          <w:color w:val="000000" w:themeColor="text1"/>
          <w:lang w:val="en-US"/>
        </w:rPr>
        <w:t xml:space="preserve"> in cases of involuntary disappearance</w:t>
      </w:r>
      <w:r w:rsidR="007E276B" w:rsidRPr="00163BF5">
        <w:rPr>
          <w:color w:val="000000" w:themeColor="text1"/>
          <w:lang w:val="en-US"/>
        </w:rPr>
        <w:t>.</w:t>
      </w:r>
    </w:p>
    <w:p w14:paraId="20F21FA5" w14:textId="03B4CE2B" w:rsidR="00C0681A" w:rsidRPr="00163BF5" w:rsidRDefault="00C0681A" w:rsidP="00C0681A">
      <w:pPr>
        <w:spacing w:line="480" w:lineRule="auto"/>
        <w:rPr>
          <w:color w:val="000000" w:themeColor="text1"/>
          <w:lang w:val="en-US"/>
        </w:rPr>
      </w:pPr>
    </w:p>
    <w:p w14:paraId="1D1969DD" w14:textId="3F1031AE" w:rsidR="00C0681A" w:rsidRPr="00163BF5" w:rsidRDefault="00C0681A" w:rsidP="00C0681A">
      <w:pPr>
        <w:spacing w:line="480" w:lineRule="auto"/>
        <w:jc w:val="both"/>
        <w:rPr>
          <w:iCs/>
          <w:color w:val="000000" w:themeColor="text1"/>
          <w:lang w:val="es-ES_tradnl" w:eastAsia="es-ES_tradnl"/>
        </w:rPr>
      </w:pPr>
      <w:proofErr w:type="spellStart"/>
      <w:r w:rsidRPr="00163BF5">
        <w:rPr>
          <w:b/>
          <w:bCs/>
          <w:color w:val="000000" w:themeColor="text1"/>
        </w:rPr>
        <w:t>Keywords</w:t>
      </w:r>
      <w:proofErr w:type="spellEnd"/>
      <w:r w:rsidRPr="00163BF5">
        <w:rPr>
          <w:b/>
          <w:bCs/>
          <w:color w:val="000000" w:themeColor="text1"/>
        </w:rPr>
        <w:t>:</w:t>
      </w:r>
      <w:r w:rsidRPr="00163BF5">
        <w:rPr>
          <w:color w:val="000000" w:themeColor="text1"/>
        </w:rPr>
        <w:t xml:space="preserve"> </w:t>
      </w:r>
      <w:proofErr w:type="spellStart"/>
      <w:r w:rsidRPr="00163BF5">
        <w:rPr>
          <w:color w:val="000000" w:themeColor="text1"/>
        </w:rPr>
        <w:t>missing</w:t>
      </w:r>
      <w:proofErr w:type="spellEnd"/>
      <w:r w:rsidRPr="00163BF5">
        <w:rPr>
          <w:color w:val="000000" w:themeColor="text1"/>
        </w:rPr>
        <w:t xml:space="preserve">/ </w:t>
      </w:r>
      <w:proofErr w:type="spellStart"/>
      <w:r w:rsidRPr="00163BF5">
        <w:rPr>
          <w:color w:val="000000" w:themeColor="text1"/>
        </w:rPr>
        <w:t>involuntary</w:t>
      </w:r>
      <w:proofErr w:type="spellEnd"/>
      <w:r w:rsidRPr="00163BF5">
        <w:rPr>
          <w:color w:val="000000" w:themeColor="text1"/>
        </w:rPr>
        <w:t xml:space="preserve"> </w:t>
      </w:r>
      <w:proofErr w:type="spellStart"/>
      <w:r w:rsidRPr="00163BF5">
        <w:rPr>
          <w:color w:val="000000" w:themeColor="text1"/>
        </w:rPr>
        <w:t>disappearance</w:t>
      </w:r>
      <w:proofErr w:type="spellEnd"/>
      <w:r w:rsidRPr="00163BF5">
        <w:rPr>
          <w:color w:val="000000" w:themeColor="text1"/>
        </w:rPr>
        <w:t xml:space="preserve">/ Inter-American </w:t>
      </w:r>
      <w:proofErr w:type="spellStart"/>
      <w:r w:rsidRPr="00163BF5">
        <w:rPr>
          <w:color w:val="000000" w:themeColor="text1"/>
        </w:rPr>
        <w:t>Court</w:t>
      </w:r>
      <w:proofErr w:type="spellEnd"/>
      <w:r w:rsidRPr="00163BF5">
        <w:rPr>
          <w:color w:val="000000" w:themeColor="text1"/>
        </w:rPr>
        <w:t xml:space="preserve"> </w:t>
      </w:r>
      <w:proofErr w:type="spellStart"/>
      <w:r w:rsidRPr="00163BF5">
        <w:rPr>
          <w:color w:val="000000" w:themeColor="text1"/>
        </w:rPr>
        <w:t>of</w:t>
      </w:r>
      <w:proofErr w:type="spellEnd"/>
      <w:r w:rsidRPr="00163BF5">
        <w:rPr>
          <w:color w:val="000000" w:themeColor="text1"/>
        </w:rPr>
        <w:t xml:space="preserve"> Human </w:t>
      </w:r>
      <w:proofErr w:type="spellStart"/>
      <w:r w:rsidRPr="00163BF5">
        <w:rPr>
          <w:color w:val="000000" w:themeColor="text1"/>
        </w:rPr>
        <w:t>Rights</w:t>
      </w:r>
      <w:proofErr w:type="spellEnd"/>
      <w:r w:rsidRPr="00163BF5">
        <w:rPr>
          <w:color w:val="000000" w:themeColor="text1"/>
        </w:rPr>
        <w:t xml:space="preserve">/ </w:t>
      </w:r>
      <w:proofErr w:type="spellStart"/>
      <w:r w:rsidRPr="00163BF5">
        <w:rPr>
          <w:color w:val="000000" w:themeColor="text1"/>
        </w:rPr>
        <w:t>due</w:t>
      </w:r>
      <w:proofErr w:type="spellEnd"/>
      <w:r w:rsidRPr="00163BF5">
        <w:rPr>
          <w:color w:val="000000" w:themeColor="text1"/>
        </w:rPr>
        <w:t xml:space="preserve"> </w:t>
      </w:r>
      <w:proofErr w:type="spellStart"/>
      <w:r w:rsidRPr="00163BF5">
        <w:rPr>
          <w:color w:val="000000" w:themeColor="text1"/>
        </w:rPr>
        <w:t>diligence</w:t>
      </w:r>
      <w:proofErr w:type="spellEnd"/>
      <w:r w:rsidRPr="00163BF5">
        <w:rPr>
          <w:color w:val="000000" w:themeColor="text1"/>
        </w:rPr>
        <w:t>/</w:t>
      </w:r>
      <w:r w:rsidRPr="00163BF5">
        <w:rPr>
          <w:iCs/>
          <w:color w:val="000000" w:themeColor="text1"/>
          <w:lang w:val="es-ES_tradnl" w:eastAsia="es-ES_tradnl"/>
        </w:rPr>
        <w:t xml:space="preserve"> Ley Orgánica de Actuación en Casos de Personas Desaparecidas y Extraviadas.</w:t>
      </w:r>
    </w:p>
    <w:p w14:paraId="2A05B587" w14:textId="72FF1687" w:rsidR="00C0681A" w:rsidRPr="00163BF5" w:rsidRDefault="00C0681A" w:rsidP="00C0681A">
      <w:pPr>
        <w:rPr>
          <w:color w:val="000000" w:themeColor="text1"/>
          <w:lang w:val="es-ES_tradnl"/>
        </w:rPr>
      </w:pPr>
    </w:p>
    <w:p w14:paraId="4A55F733" w14:textId="77777777" w:rsidR="00C0681A" w:rsidRPr="00163BF5" w:rsidRDefault="00C0681A" w:rsidP="00C0681A">
      <w:pPr>
        <w:spacing w:line="480" w:lineRule="auto"/>
        <w:rPr>
          <w:b/>
          <w:bCs/>
          <w:color w:val="000000" w:themeColor="text1"/>
        </w:rPr>
      </w:pPr>
    </w:p>
    <w:p w14:paraId="0BFAC745" w14:textId="119B14CC" w:rsidR="00923A57" w:rsidRPr="00163BF5" w:rsidRDefault="00923A57" w:rsidP="00C0681A">
      <w:pPr>
        <w:spacing w:line="480" w:lineRule="auto"/>
        <w:rPr>
          <w:color w:val="000000" w:themeColor="text1"/>
        </w:rPr>
      </w:pPr>
    </w:p>
    <w:p w14:paraId="3BAA58D2" w14:textId="2EBB5252" w:rsidR="00923A57" w:rsidRPr="00163BF5" w:rsidRDefault="00923A57" w:rsidP="00C0681A">
      <w:pPr>
        <w:rPr>
          <w:rFonts w:eastAsiaTheme="majorEastAsia"/>
          <w:color w:val="000000" w:themeColor="text1"/>
        </w:rPr>
      </w:pPr>
    </w:p>
    <w:p w14:paraId="111E487C" w14:textId="1F5CE38A" w:rsidR="00923A57" w:rsidRPr="00163BF5" w:rsidRDefault="00923A57" w:rsidP="00C0681A">
      <w:pPr>
        <w:rPr>
          <w:color w:val="000000" w:themeColor="text1"/>
        </w:rPr>
      </w:pPr>
    </w:p>
    <w:p w14:paraId="0356FF15" w14:textId="51CF6881" w:rsidR="00923A57" w:rsidRPr="00163BF5" w:rsidRDefault="00923A57" w:rsidP="00923A57">
      <w:pPr>
        <w:rPr>
          <w:color w:val="000000" w:themeColor="text1"/>
        </w:rPr>
      </w:pPr>
    </w:p>
    <w:p w14:paraId="2FD63EC0" w14:textId="77777777" w:rsidR="00923A57" w:rsidRPr="00163BF5" w:rsidRDefault="00923A57" w:rsidP="00923A57">
      <w:pPr>
        <w:rPr>
          <w:b/>
          <w:bCs/>
          <w:color w:val="000000" w:themeColor="text1"/>
        </w:rPr>
      </w:pPr>
    </w:p>
    <w:p w14:paraId="1F84967C" w14:textId="5C75CE70" w:rsidR="00923A57" w:rsidRPr="00163BF5" w:rsidRDefault="00923A57" w:rsidP="00923A57">
      <w:pPr>
        <w:rPr>
          <w:color w:val="000000" w:themeColor="text1"/>
        </w:rPr>
      </w:pPr>
    </w:p>
    <w:p w14:paraId="05A0A639" w14:textId="77777777" w:rsidR="00923A57" w:rsidRPr="00163BF5" w:rsidRDefault="00923A57" w:rsidP="00923A57">
      <w:pPr>
        <w:rPr>
          <w:color w:val="000000" w:themeColor="text1"/>
        </w:rPr>
      </w:pPr>
    </w:p>
    <w:p w14:paraId="1A89BB93" w14:textId="4974778A" w:rsidR="00923A57" w:rsidRPr="00163BF5" w:rsidRDefault="00923A57" w:rsidP="00923A57">
      <w:pPr>
        <w:rPr>
          <w:color w:val="000000" w:themeColor="text1"/>
        </w:rPr>
      </w:pPr>
    </w:p>
    <w:p w14:paraId="141AB99C" w14:textId="77777777" w:rsidR="00923A57" w:rsidRPr="00163BF5" w:rsidRDefault="00923A57" w:rsidP="00923A57">
      <w:pPr>
        <w:rPr>
          <w:color w:val="000000" w:themeColor="text1"/>
        </w:rPr>
      </w:pPr>
    </w:p>
    <w:p w14:paraId="7E9E99B5" w14:textId="77777777" w:rsidR="00976446" w:rsidRPr="00163BF5" w:rsidRDefault="00976446" w:rsidP="00C0681A">
      <w:pPr>
        <w:spacing w:line="480" w:lineRule="auto"/>
        <w:rPr>
          <w:i/>
          <w:color w:val="000000" w:themeColor="text1"/>
          <w:sz w:val="28"/>
          <w:szCs w:val="28"/>
          <w:lang w:eastAsia="es-ES_tradnl"/>
        </w:rPr>
      </w:pPr>
    </w:p>
    <w:p w14:paraId="136FA679" w14:textId="3D5236EA" w:rsidR="00AE14F4" w:rsidRPr="00163BF5" w:rsidRDefault="00AE14F4" w:rsidP="0002107B">
      <w:pPr>
        <w:spacing w:line="480" w:lineRule="auto"/>
        <w:ind w:firstLine="709"/>
        <w:jc w:val="right"/>
        <w:rPr>
          <w:i/>
          <w:color w:val="000000" w:themeColor="text1"/>
          <w:sz w:val="28"/>
          <w:szCs w:val="28"/>
          <w:lang w:eastAsia="es-ES_tradnl"/>
        </w:rPr>
      </w:pPr>
    </w:p>
    <w:sdt>
      <w:sdtPr>
        <w:rPr>
          <w:rFonts w:ascii="Times New Roman" w:eastAsiaTheme="minorHAnsi" w:hAnsi="Times New Roman" w:cs="Times New Roman"/>
          <w:color w:val="000000" w:themeColor="text1"/>
          <w:sz w:val="24"/>
          <w:szCs w:val="24"/>
          <w:lang w:val="es-ES" w:eastAsia="en-US"/>
        </w:rPr>
        <w:id w:val="1515418475"/>
        <w:docPartObj>
          <w:docPartGallery w:val="Table of Contents"/>
          <w:docPartUnique/>
        </w:docPartObj>
      </w:sdtPr>
      <w:sdtEndPr>
        <w:rPr>
          <w:rFonts w:eastAsia="Times New Roman"/>
          <w:b/>
          <w:bCs/>
          <w:noProof/>
          <w:lang w:val="es-EC" w:eastAsia="es-MX"/>
        </w:rPr>
      </w:sdtEndPr>
      <w:sdtContent>
        <w:p w14:paraId="1DBFFEE1" w14:textId="38CF6099" w:rsidR="002E65AE" w:rsidRPr="00163BF5" w:rsidRDefault="00C0681A" w:rsidP="00691D4D">
          <w:pPr>
            <w:pStyle w:val="TtuloTDC"/>
            <w:numPr>
              <w:ilvl w:val="0"/>
              <w:numId w:val="0"/>
            </w:numPr>
            <w:spacing w:line="240" w:lineRule="auto"/>
            <w:ind w:left="360"/>
            <w:jc w:val="center"/>
            <w:rPr>
              <w:rFonts w:ascii="Times New Roman" w:hAnsi="Times New Roman" w:cs="Times New Roman"/>
              <w:b/>
              <w:bCs/>
              <w:color w:val="000000" w:themeColor="text1"/>
              <w:sz w:val="24"/>
              <w:szCs w:val="24"/>
            </w:rPr>
          </w:pPr>
          <w:r w:rsidRPr="00163BF5">
            <w:rPr>
              <w:rFonts w:ascii="Times New Roman" w:eastAsiaTheme="minorHAnsi" w:hAnsi="Times New Roman" w:cs="Times New Roman"/>
              <w:b/>
              <w:bCs/>
              <w:color w:val="000000" w:themeColor="text1"/>
              <w:sz w:val="24"/>
              <w:szCs w:val="24"/>
              <w:lang w:val="es-ES" w:eastAsia="en-US"/>
            </w:rPr>
            <w:t>ÍNDICE</w:t>
          </w:r>
        </w:p>
        <w:p w14:paraId="01A5B7A6" w14:textId="32ECFFF2" w:rsidR="00691D4D" w:rsidRPr="00163BF5" w:rsidRDefault="00FD2635" w:rsidP="00691D4D">
          <w:pPr>
            <w:pStyle w:val="TDC1"/>
            <w:tabs>
              <w:tab w:val="right" w:leader="dot" w:pos="9016"/>
            </w:tabs>
            <w:spacing w:line="240" w:lineRule="auto"/>
            <w:rPr>
              <w:rFonts w:ascii="Times New Roman" w:eastAsiaTheme="minorEastAsia" w:hAnsi="Times New Roman" w:cs="Times New Roman"/>
              <w:b w:val="0"/>
              <w:bCs w:val="0"/>
              <w:i w:val="0"/>
              <w:iCs w:val="0"/>
              <w:noProof/>
              <w:color w:val="000000" w:themeColor="text1"/>
              <w:lang w:eastAsia="es-MX"/>
            </w:rPr>
          </w:pPr>
          <w:r w:rsidRPr="00163BF5">
            <w:rPr>
              <w:rFonts w:ascii="Times New Roman" w:hAnsi="Times New Roman" w:cs="Times New Roman"/>
              <w:i w:val="0"/>
              <w:iCs w:val="0"/>
              <w:color w:val="000000" w:themeColor="text1"/>
            </w:rPr>
            <w:fldChar w:fldCharType="begin"/>
          </w:r>
          <w:r w:rsidRPr="00163BF5">
            <w:rPr>
              <w:rFonts w:ascii="Times New Roman" w:hAnsi="Times New Roman" w:cs="Times New Roman"/>
              <w:i w:val="0"/>
              <w:iCs w:val="0"/>
              <w:color w:val="000000" w:themeColor="text1"/>
            </w:rPr>
            <w:instrText xml:space="preserve"> TOC \o "1-7" \h \z \u </w:instrText>
          </w:r>
          <w:r w:rsidRPr="00163BF5">
            <w:rPr>
              <w:rFonts w:ascii="Times New Roman" w:hAnsi="Times New Roman" w:cs="Times New Roman"/>
              <w:i w:val="0"/>
              <w:iCs w:val="0"/>
              <w:color w:val="000000" w:themeColor="text1"/>
            </w:rPr>
            <w:fldChar w:fldCharType="separate"/>
          </w:r>
          <w:hyperlink w:anchor="_Toc67513360" w:history="1">
            <w:r w:rsidR="00691D4D" w:rsidRPr="00163BF5">
              <w:rPr>
                <w:rStyle w:val="Hipervnculo"/>
                <w:rFonts w:ascii="Times New Roman" w:hAnsi="Times New Roman" w:cs="Times New Roman"/>
                <w:noProof/>
                <w:color w:val="000000" w:themeColor="text1"/>
              </w:rPr>
              <w:t>PRIMER CAPÍTULO</w:t>
            </w:r>
            <w:r w:rsidR="00691D4D" w:rsidRPr="00163BF5">
              <w:rPr>
                <w:rFonts w:ascii="Times New Roman" w:hAnsi="Times New Roman" w:cs="Times New Roman"/>
                <w:noProof/>
                <w:webHidden/>
                <w:color w:val="000000" w:themeColor="text1"/>
              </w:rPr>
              <w:tab/>
            </w:r>
            <w:r w:rsidR="00691D4D" w:rsidRPr="00163BF5">
              <w:rPr>
                <w:rFonts w:ascii="Times New Roman" w:hAnsi="Times New Roman" w:cs="Times New Roman"/>
                <w:noProof/>
                <w:webHidden/>
                <w:color w:val="000000" w:themeColor="text1"/>
              </w:rPr>
              <w:fldChar w:fldCharType="begin"/>
            </w:r>
            <w:r w:rsidR="00691D4D" w:rsidRPr="00163BF5">
              <w:rPr>
                <w:rFonts w:ascii="Times New Roman" w:hAnsi="Times New Roman" w:cs="Times New Roman"/>
                <w:noProof/>
                <w:webHidden/>
                <w:color w:val="000000" w:themeColor="text1"/>
              </w:rPr>
              <w:instrText xml:space="preserve"> PAGEREF _Toc67513360 \h </w:instrText>
            </w:r>
            <w:r w:rsidR="00691D4D" w:rsidRPr="00163BF5">
              <w:rPr>
                <w:rFonts w:ascii="Times New Roman" w:hAnsi="Times New Roman" w:cs="Times New Roman"/>
                <w:noProof/>
                <w:webHidden/>
                <w:color w:val="000000" w:themeColor="text1"/>
              </w:rPr>
            </w:r>
            <w:r w:rsidR="00691D4D" w:rsidRPr="00163BF5">
              <w:rPr>
                <w:rFonts w:ascii="Times New Roman" w:hAnsi="Times New Roman" w:cs="Times New Roman"/>
                <w:noProof/>
                <w:webHidden/>
                <w:color w:val="000000" w:themeColor="text1"/>
              </w:rPr>
              <w:fldChar w:fldCharType="separate"/>
            </w:r>
            <w:r w:rsidR="00D933BD" w:rsidRPr="00163BF5">
              <w:rPr>
                <w:rFonts w:ascii="Times New Roman" w:hAnsi="Times New Roman" w:cs="Times New Roman"/>
                <w:noProof/>
                <w:webHidden/>
                <w:color w:val="000000" w:themeColor="text1"/>
              </w:rPr>
              <w:t>10</w:t>
            </w:r>
            <w:r w:rsidR="00691D4D" w:rsidRPr="00163BF5">
              <w:rPr>
                <w:rFonts w:ascii="Times New Roman" w:hAnsi="Times New Roman" w:cs="Times New Roman"/>
                <w:noProof/>
                <w:webHidden/>
                <w:color w:val="000000" w:themeColor="text1"/>
              </w:rPr>
              <w:fldChar w:fldCharType="end"/>
            </w:r>
          </w:hyperlink>
        </w:p>
        <w:p w14:paraId="4D830916" w14:textId="7BDA3B74" w:rsidR="00691D4D" w:rsidRPr="00163BF5" w:rsidRDefault="00AC3DEC" w:rsidP="00691D4D">
          <w:pPr>
            <w:pStyle w:val="TDC2"/>
            <w:tabs>
              <w:tab w:val="left" w:pos="660"/>
              <w:tab w:val="right" w:leader="dot" w:pos="9016"/>
            </w:tabs>
            <w:spacing w:line="240" w:lineRule="auto"/>
            <w:rPr>
              <w:rFonts w:ascii="Times New Roman" w:eastAsiaTheme="minorEastAsia" w:hAnsi="Times New Roman" w:cs="Times New Roman"/>
              <w:b w:val="0"/>
              <w:bCs w:val="0"/>
              <w:noProof/>
              <w:color w:val="000000" w:themeColor="text1"/>
              <w:sz w:val="24"/>
              <w:szCs w:val="24"/>
              <w:lang w:eastAsia="es-MX"/>
            </w:rPr>
          </w:pPr>
          <w:hyperlink w:anchor="_Toc67513361" w:history="1">
            <w:r w:rsidR="00691D4D" w:rsidRPr="00163BF5">
              <w:rPr>
                <w:rStyle w:val="Hipervnculo"/>
                <w:rFonts w:ascii="Times New Roman" w:hAnsi="Times New Roman" w:cs="Times New Roman"/>
                <w:noProof/>
                <w:color w:val="000000" w:themeColor="text1"/>
                <w:sz w:val="24"/>
                <w:szCs w:val="24"/>
              </w:rPr>
              <w:t>1.</w:t>
            </w:r>
            <w:r w:rsidR="00691D4D" w:rsidRPr="00163BF5">
              <w:rPr>
                <w:rFonts w:ascii="Times New Roman" w:eastAsiaTheme="minorEastAsia" w:hAnsi="Times New Roman" w:cs="Times New Roman"/>
                <w:b w:val="0"/>
                <w:bCs w:val="0"/>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LA OBLIGATORIEDAD DE LA OBSERVANCIA DE LA JURISPRUDENCIA DE LA CORTE IDH EN EN LOS ACTOS REALIZADOS POR LAS AUTORIDADES EN EL ECUADOR Y LOS ESTÁNDARES DE DEBIDA DILIGENCIA.</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_Toc67513361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10</w:t>
            </w:r>
            <w:r w:rsidR="00691D4D" w:rsidRPr="00163BF5">
              <w:rPr>
                <w:rFonts w:ascii="Times New Roman" w:hAnsi="Times New Roman" w:cs="Times New Roman"/>
                <w:noProof/>
                <w:webHidden/>
                <w:color w:val="000000" w:themeColor="text1"/>
                <w:sz w:val="24"/>
                <w:szCs w:val="24"/>
              </w:rPr>
              <w:fldChar w:fldCharType="end"/>
            </w:r>
          </w:hyperlink>
        </w:p>
        <w:p w14:paraId="37006A29" w14:textId="58E76B18" w:rsidR="00691D4D" w:rsidRPr="00163BF5" w:rsidRDefault="00AC3DEC" w:rsidP="00691D4D">
          <w:pPr>
            <w:pStyle w:val="TDC5"/>
            <w:tabs>
              <w:tab w:val="left" w:pos="176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62" w:history="1">
            <w:r w:rsidR="00691D4D" w:rsidRPr="00163BF5">
              <w:rPr>
                <w:rStyle w:val="Hipervnculo"/>
                <w:rFonts w:ascii="Times New Roman" w:hAnsi="Times New Roman" w:cs="Times New Roman"/>
                <w:noProof/>
                <w:color w:val="000000" w:themeColor="text1"/>
                <w:sz w:val="24"/>
                <w:szCs w:val="24"/>
              </w:rPr>
              <w:t>1.1.1.</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El control de convencionalidad y el control de constitucionalidad</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_Toc67513362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13</w:t>
            </w:r>
            <w:r w:rsidR="00691D4D" w:rsidRPr="00163BF5">
              <w:rPr>
                <w:rFonts w:ascii="Times New Roman" w:hAnsi="Times New Roman" w:cs="Times New Roman"/>
                <w:noProof/>
                <w:webHidden/>
                <w:color w:val="000000" w:themeColor="text1"/>
                <w:sz w:val="24"/>
                <w:szCs w:val="24"/>
              </w:rPr>
              <w:fldChar w:fldCharType="end"/>
            </w:r>
          </w:hyperlink>
        </w:p>
        <w:p w14:paraId="25F56BAE" w14:textId="5EAB21C2" w:rsidR="00691D4D" w:rsidRPr="00163BF5" w:rsidRDefault="00AC3DEC" w:rsidP="00691D4D">
          <w:pPr>
            <w:pStyle w:val="TDC6"/>
            <w:tabs>
              <w:tab w:val="left" w:pos="19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63" w:history="1">
            <w:r w:rsidR="00691D4D" w:rsidRPr="00163BF5">
              <w:rPr>
                <w:rStyle w:val="Hipervnculo"/>
                <w:rFonts w:ascii="Times New Roman" w:hAnsi="Times New Roman" w:cs="Times New Roman"/>
                <w:noProof/>
                <w:color w:val="000000" w:themeColor="text1"/>
                <w:sz w:val="24"/>
                <w:szCs w:val="24"/>
              </w:rPr>
              <w:t>1.1.1.1.</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El control de convencionalidad</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_Toc67513363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13</w:t>
            </w:r>
            <w:r w:rsidR="00691D4D" w:rsidRPr="00163BF5">
              <w:rPr>
                <w:rFonts w:ascii="Times New Roman" w:hAnsi="Times New Roman" w:cs="Times New Roman"/>
                <w:noProof/>
                <w:webHidden/>
                <w:color w:val="000000" w:themeColor="text1"/>
                <w:sz w:val="24"/>
                <w:szCs w:val="24"/>
              </w:rPr>
              <w:fldChar w:fldCharType="end"/>
            </w:r>
          </w:hyperlink>
        </w:p>
        <w:p w14:paraId="5330C24F" w14:textId="7CE1DC6C" w:rsidR="00691D4D" w:rsidRPr="00163BF5" w:rsidRDefault="00AC3DEC" w:rsidP="00691D4D">
          <w:pPr>
            <w:pStyle w:val="TDC7"/>
            <w:tabs>
              <w:tab w:val="left" w:pos="231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64" w:history="1">
            <w:r w:rsidR="00691D4D" w:rsidRPr="00163BF5">
              <w:rPr>
                <w:rStyle w:val="Hipervnculo"/>
                <w:rFonts w:ascii="Times New Roman" w:eastAsia="Times New Roman" w:hAnsi="Times New Roman" w:cs="Times New Roman"/>
                <w:noProof/>
                <w:color w:val="000000" w:themeColor="text1"/>
                <w:sz w:val="24"/>
                <w:szCs w:val="24"/>
              </w:rPr>
              <w:t>1.1.1.1.1.</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eastAsia="Times New Roman" w:hAnsi="Times New Roman" w:cs="Times New Roman"/>
                <w:noProof/>
                <w:color w:val="000000" w:themeColor="text1"/>
                <w:sz w:val="24"/>
                <w:szCs w:val="24"/>
              </w:rPr>
              <w:t>Antecedentes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_Toc67513364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14</w:t>
            </w:r>
            <w:r w:rsidR="00691D4D" w:rsidRPr="00163BF5">
              <w:rPr>
                <w:rFonts w:ascii="Times New Roman" w:hAnsi="Times New Roman" w:cs="Times New Roman"/>
                <w:noProof/>
                <w:webHidden/>
                <w:color w:val="000000" w:themeColor="text1"/>
                <w:sz w:val="24"/>
                <w:szCs w:val="24"/>
              </w:rPr>
              <w:fldChar w:fldCharType="end"/>
            </w:r>
          </w:hyperlink>
        </w:p>
        <w:p w14:paraId="109B3136" w14:textId="3A006E9C" w:rsidR="00691D4D" w:rsidRPr="00163BF5" w:rsidRDefault="00AC3DEC" w:rsidP="00691D4D">
          <w:pPr>
            <w:pStyle w:val="TDC7"/>
            <w:tabs>
              <w:tab w:val="left" w:pos="231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65" w:history="1">
            <w:r w:rsidR="00691D4D" w:rsidRPr="00163BF5">
              <w:rPr>
                <w:rStyle w:val="Hipervnculo"/>
                <w:rFonts w:ascii="Times New Roman" w:eastAsia="Times New Roman" w:hAnsi="Times New Roman" w:cs="Times New Roman"/>
                <w:noProof/>
                <w:color w:val="000000" w:themeColor="text1"/>
                <w:sz w:val="24"/>
                <w:szCs w:val="24"/>
              </w:rPr>
              <w:t>1.1.1.1.2.</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eastAsia="Times New Roman" w:hAnsi="Times New Roman" w:cs="Times New Roman"/>
                <w:noProof/>
                <w:color w:val="000000" w:themeColor="text1"/>
                <w:sz w:val="24"/>
                <w:szCs w:val="24"/>
              </w:rPr>
              <w:t>Contenido y alcance del control de convencionalidad</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_Toc67513365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15</w:t>
            </w:r>
            <w:r w:rsidR="00691D4D" w:rsidRPr="00163BF5">
              <w:rPr>
                <w:rFonts w:ascii="Times New Roman" w:hAnsi="Times New Roman" w:cs="Times New Roman"/>
                <w:noProof/>
                <w:webHidden/>
                <w:color w:val="000000" w:themeColor="text1"/>
                <w:sz w:val="24"/>
                <w:szCs w:val="24"/>
              </w:rPr>
              <w:fldChar w:fldCharType="end"/>
            </w:r>
          </w:hyperlink>
        </w:p>
        <w:p w14:paraId="2CBB964C" w14:textId="42640670" w:rsidR="00691D4D" w:rsidRPr="00163BF5" w:rsidRDefault="00AC3DEC" w:rsidP="00691D4D">
          <w:pPr>
            <w:pStyle w:val="TDC6"/>
            <w:tabs>
              <w:tab w:val="left" w:pos="19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66" w:history="1">
            <w:r w:rsidR="00691D4D" w:rsidRPr="00163BF5">
              <w:rPr>
                <w:rStyle w:val="Hipervnculo"/>
                <w:rFonts w:ascii="Times New Roman" w:hAnsi="Times New Roman" w:cs="Times New Roman"/>
                <w:noProof/>
                <w:color w:val="000000" w:themeColor="text1"/>
                <w:sz w:val="24"/>
                <w:szCs w:val="24"/>
              </w:rPr>
              <w:t>1.1.1.2.</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Control de Constitucionalidad</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_Toc67513366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18</w:t>
            </w:r>
            <w:r w:rsidR="00691D4D" w:rsidRPr="00163BF5">
              <w:rPr>
                <w:rFonts w:ascii="Times New Roman" w:hAnsi="Times New Roman" w:cs="Times New Roman"/>
                <w:noProof/>
                <w:webHidden/>
                <w:color w:val="000000" w:themeColor="text1"/>
                <w:sz w:val="24"/>
                <w:szCs w:val="24"/>
              </w:rPr>
              <w:fldChar w:fldCharType="end"/>
            </w:r>
          </w:hyperlink>
        </w:p>
        <w:p w14:paraId="3381A57F" w14:textId="4F184F01" w:rsidR="00691D4D" w:rsidRPr="00163BF5" w:rsidRDefault="00AC3DEC" w:rsidP="00691D4D">
          <w:pPr>
            <w:pStyle w:val="TDC7"/>
            <w:tabs>
              <w:tab w:val="left" w:pos="231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67" w:history="1">
            <w:r w:rsidR="00691D4D" w:rsidRPr="00163BF5">
              <w:rPr>
                <w:rStyle w:val="Hipervnculo"/>
                <w:rFonts w:ascii="Times New Roman" w:hAnsi="Times New Roman" w:cs="Times New Roman"/>
                <w:noProof/>
                <w:color w:val="000000" w:themeColor="text1"/>
                <w:sz w:val="24"/>
                <w:szCs w:val="24"/>
                <w:highlight w:val="white"/>
              </w:rPr>
              <w:t>1.1.1.2.1.</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highlight w:val="white"/>
              </w:rPr>
              <w:t>Modalidades del control de constitucionalidad</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_Toc67513367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18</w:t>
            </w:r>
            <w:r w:rsidR="00691D4D" w:rsidRPr="00163BF5">
              <w:rPr>
                <w:rFonts w:ascii="Times New Roman" w:hAnsi="Times New Roman" w:cs="Times New Roman"/>
                <w:noProof/>
                <w:webHidden/>
                <w:color w:val="000000" w:themeColor="text1"/>
                <w:sz w:val="24"/>
                <w:szCs w:val="24"/>
              </w:rPr>
              <w:fldChar w:fldCharType="end"/>
            </w:r>
          </w:hyperlink>
        </w:p>
        <w:p w14:paraId="0FB6C258" w14:textId="5DABFBBB" w:rsidR="00691D4D" w:rsidRPr="00163BF5" w:rsidRDefault="00AC3DEC" w:rsidP="00691D4D">
          <w:pPr>
            <w:pStyle w:val="TDC7"/>
            <w:tabs>
              <w:tab w:val="left" w:pos="231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68" w:history="1">
            <w:r w:rsidR="00691D4D" w:rsidRPr="00163BF5">
              <w:rPr>
                <w:rStyle w:val="Hipervnculo"/>
                <w:rFonts w:ascii="Times New Roman" w:hAnsi="Times New Roman" w:cs="Times New Roman"/>
                <w:noProof/>
                <w:color w:val="000000" w:themeColor="text1"/>
                <w:sz w:val="24"/>
                <w:szCs w:val="24"/>
              </w:rPr>
              <w:t>1.1.1.2.2.</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Efecto Temporal del control de constitucionalidad</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_Toc67513368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21</w:t>
            </w:r>
            <w:r w:rsidR="00691D4D" w:rsidRPr="00163BF5">
              <w:rPr>
                <w:rFonts w:ascii="Times New Roman" w:hAnsi="Times New Roman" w:cs="Times New Roman"/>
                <w:noProof/>
                <w:webHidden/>
                <w:color w:val="000000" w:themeColor="text1"/>
                <w:sz w:val="24"/>
                <w:szCs w:val="24"/>
              </w:rPr>
              <w:fldChar w:fldCharType="end"/>
            </w:r>
          </w:hyperlink>
        </w:p>
        <w:p w14:paraId="714A6F33" w14:textId="52EA99CF" w:rsidR="00691D4D" w:rsidRPr="00163BF5" w:rsidRDefault="00AC3DEC" w:rsidP="00691D4D">
          <w:pPr>
            <w:pStyle w:val="TDC7"/>
            <w:tabs>
              <w:tab w:val="left" w:pos="231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69" w:history="1">
            <w:r w:rsidR="00691D4D" w:rsidRPr="00163BF5">
              <w:rPr>
                <w:rStyle w:val="Hipervnculo"/>
                <w:rFonts w:ascii="Times New Roman" w:hAnsi="Times New Roman" w:cs="Times New Roman"/>
                <w:noProof/>
                <w:color w:val="000000" w:themeColor="text1"/>
                <w:sz w:val="24"/>
                <w:szCs w:val="24"/>
              </w:rPr>
              <w:t>1.1.1.2.3.</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El control de constitucionalidad en el Ecuador.</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_Toc67513369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22</w:t>
            </w:r>
            <w:r w:rsidR="00691D4D" w:rsidRPr="00163BF5">
              <w:rPr>
                <w:rFonts w:ascii="Times New Roman" w:hAnsi="Times New Roman" w:cs="Times New Roman"/>
                <w:noProof/>
                <w:webHidden/>
                <w:color w:val="000000" w:themeColor="text1"/>
                <w:sz w:val="24"/>
                <w:szCs w:val="24"/>
              </w:rPr>
              <w:fldChar w:fldCharType="end"/>
            </w:r>
          </w:hyperlink>
        </w:p>
        <w:p w14:paraId="4F98F16F" w14:textId="72142BBB" w:rsidR="00691D4D" w:rsidRPr="00163BF5" w:rsidRDefault="00AC3DEC" w:rsidP="00691D4D">
          <w:pPr>
            <w:pStyle w:val="TDC3"/>
            <w:tabs>
              <w:tab w:val="left" w:pos="110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70" w:history="1">
            <w:r w:rsidR="00691D4D" w:rsidRPr="00163BF5">
              <w:rPr>
                <w:rStyle w:val="Hipervnculo"/>
                <w:rFonts w:ascii="Times New Roman" w:hAnsi="Times New Roman" w:cs="Times New Roman"/>
                <w:noProof/>
                <w:color w:val="000000" w:themeColor="text1"/>
                <w:sz w:val="24"/>
                <w:szCs w:val="24"/>
                <w:highlight w:val="white"/>
              </w:rPr>
              <w:t>1.2.</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highlight w:val="white"/>
              </w:rPr>
              <w:t>Bloque de constitucionalidad: aplicación directa de los instrumentos internacionales de derechos humanos en el Ecuador</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_Toc67513370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12</w:t>
            </w:r>
            <w:r w:rsidR="00691D4D" w:rsidRPr="00163BF5">
              <w:rPr>
                <w:rFonts w:ascii="Times New Roman" w:hAnsi="Times New Roman" w:cs="Times New Roman"/>
                <w:noProof/>
                <w:webHidden/>
                <w:color w:val="000000" w:themeColor="text1"/>
                <w:sz w:val="24"/>
                <w:szCs w:val="24"/>
              </w:rPr>
              <w:fldChar w:fldCharType="end"/>
            </w:r>
          </w:hyperlink>
        </w:p>
        <w:p w14:paraId="39731D8B" w14:textId="1AAB7EE1" w:rsidR="00691D4D" w:rsidRPr="00163BF5" w:rsidRDefault="00AC3DEC" w:rsidP="00691D4D">
          <w:pPr>
            <w:pStyle w:val="TDC1"/>
            <w:tabs>
              <w:tab w:val="right" w:leader="dot" w:pos="9016"/>
            </w:tabs>
            <w:spacing w:line="240" w:lineRule="auto"/>
            <w:rPr>
              <w:rFonts w:ascii="Times New Roman" w:eastAsiaTheme="minorEastAsia" w:hAnsi="Times New Roman" w:cs="Times New Roman"/>
              <w:b w:val="0"/>
              <w:bCs w:val="0"/>
              <w:i w:val="0"/>
              <w:iCs w:val="0"/>
              <w:noProof/>
              <w:color w:val="000000" w:themeColor="text1"/>
              <w:lang w:eastAsia="es-MX"/>
            </w:rPr>
          </w:pPr>
          <w:hyperlink w:anchor="_Toc67513371" w:history="1">
            <w:r w:rsidR="00691D4D" w:rsidRPr="00163BF5">
              <w:rPr>
                <w:rStyle w:val="Hipervnculo"/>
                <w:rFonts w:ascii="Times New Roman" w:hAnsi="Times New Roman" w:cs="Times New Roman"/>
                <w:noProof/>
                <w:color w:val="000000" w:themeColor="text1"/>
                <w:lang w:val="es-ES_tradnl" w:eastAsia="es-ES_tradnl"/>
              </w:rPr>
              <w:t>SEGUNDO CAPÍTULO</w:t>
            </w:r>
            <w:r w:rsidR="00691D4D" w:rsidRPr="00163BF5">
              <w:rPr>
                <w:rFonts w:ascii="Times New Roman" w:hAnsi="Times New Roman" w:cs="Times New Roman"/>
                <w:noProof/>
                <w:webHidden/>
                <w:color w:val="000000" w:themeColor="text1"/>
              </w:rPr>
              <w:tab/>
            </w:r>
            <w:r w:rsidR="00691D4D" w:rsidRPr="00163BF5">
              <w:rPr>
                <w:rFonts w:ascii="Times New Roman" w:hAnsi="Times New Roman" w:cs="Times New Roman"/>
                <w:noProof/>
                <w:webHidden/>
                <w:color w:val="000000" w:themeColor="text1"/>
              </w:rPr>
              <w:fldChar w:fldCharType="begin"/>
            </w:r>
            <w:r w:rsidR="00691D4D" w:rsidRPr="00163BF5">
              <w:rPr>
                <w:rFonts w:ascii="Times New Roman" w:hAnsi="Times New Roman" w:cs="Times New Roman"/>
                <w:noProof/>
                <w:webHidden/>
                <w:color w:val="000000" w:themeColor="text1"/>
              </w:rPr>
              <w:instrText xml:space="preserve"> PAGEREF _Toc67513371 \h </w:instrText>
            </w:r>
            <w:r w:rsidR="00691D4D" w:rsidRPr="00163BF5">
              <w:rPr>
                <w:rFonts w:ascii="Times New Roman" w:hAnsi="Times New Roman" w:cs="Times New Roman"/>
                <w:noProof/>
                <w:webHidden/>
                <w:color w:val="000000" w:themeColor="text1"/>
              </w:rPr>
            </w:r>
            <w:r w:rsidR="00691D4D" w:rsidRPr="00163BF5">
              <w:rPr>
                <w:rFonts w:ascii="Times New Roman" w:hAnsi="Times New Roman" w:cs="Times New Roman"/>
                <w:noProof/>
                <w:webHidden/>
                <w:color w:val="000000" w:themeColor="text1"/>
              </w:rPr>
              <w:fldChar w:fldCharType="separate"/>
            </w:r>
            <w:r w:rsidR="00D933BD" w:rsidRPr="00163BF5">
              <w:rPr>
                <w:rFonts w:ascii="Times New Roman" w:hAnsi="Times New Roman" w:cs="Times New Roman"/>
                <w:noProof/>
                <w:webHidden/>
                <w:color w:val="000000" w:themeColor="text1"/>
              </w:rPr>
              <w:t>24</w:t>
            </w:r>
            <w:r w:rsidR="00691D4D" w:rsidRPr="00163BF5">
              <w:rPr>
                <w:rFonts w:ascii="Times New Roman" w:hAnsi="Times New Roman" w:cs="Times New Roman"/>
                <w:noProof/>
                <w:webHidden/>
                <w:color w:val="000000" w:themeColor="text1"/>
              </w:rPr>
              <w:fldChar w:fldCharType="end"/>
            </w:r>
          </w:hyperlink>
        </w:p>
        <w:p w14:paraId="10413EC2" w14:textId="6D9F7B3A" w:rsidR="00691D4D" w:rsidRPr="00163BF5" w:rsidRDefault="00AC3DEC" w:rsidP="00691D4D">
          <w:pPr>
            <w:pStyle w:val="TDC2"/>
            <w:tabs>
              <w:tab w:val="left" w:pos="660"/>
              <w:tab w:val="right" w:leader="dot" w:pos="9016"/>
            </w:tabs>
            <w:spacing w:line="240" w:lineRule="auto"/>
            <w:rPr>
              <w:rFonts w:ascii="Times New Roman" w:eastAsiaTheme="minorEastAsia" w:hAnsi="Times New Roman" w:cs="Times New Roman"/>
              <w:b w:val="0"/>
              <w:bCs w:val="0"/>
              <w:noProof/>
              <w:color w:val="000000" w:themeColor="text1"/>
              <w:sz w:val="24"/>
              <w:szCs w:val="24"/>
              <w:lang w:eastAsia="es-MX"/>
            </w:rPr>
          </w:pPr>
          <w:hyperlink w:anchor="_Toc67513372" w:history="1">
            <w:r w:rsidR="00691D4D" w:rsidRPr="00163BF5">
              <w:rPr>
                <w:rStyle w:val="Hipervnculo"/>
                <w:rFonts w:ascii="Times New Roman" w:hAnsi="Times New Roman" w:cs="Times New Roman"/>
                <w:noProof/>
                <w:color w:val="000000" w:themeColor="text1"/>
                <w:sz w:val="24"/>
                <w:szCs w:val="24"/>
                <w:lang w:val="es-ES_tradnl" w:eastAsia="es-ES_tradnl"/>
              </w:rPr>
              <w:t>2.</w:t>
            </w:r>
            <w:r w:rsidR="00691D4D" w:rsidRPr="00163BF5">
              <w:rPr>
                <w:rFonts w:ascii="Times New Roman" w:eastAsiaTheme="minorEastAsia" w:hAnsi="Times New Roman" w:cs="Times New Roman"/>
                <w:b w:val="0"/>
                <w:bCs w:val="0"/>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lang w:val="es-ES_tradnl" w:eastAsia="es-ES_tradnl"/>
              </w:rPr>
              <w:t>PERSONAS DESAPARECIDAS Y EXTRAVIADAS EN BASE A LA DOCTRINA Y LA LEY.</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_Toc67513372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24</w:t>
            </w:r>
            <w:r w:rsidR="00691D4D" w:rsidRPr="00163BF5">
              <w:rPr>
                <w:rFonts w:ascii="Times New Roman" w:hAnsi="Times New Roman" w:cs="Times New Roman"/>
                <w:noProof/>
                <w:webHidden/>
                <w:color w:val="000000" w:themeColor="text1"/>
                <w:sz w:val="24"/>
                <w:szCs w:val="24"/>
              </w:rPr>
              <w:fldChar w:fldCharType="end"/>
            </w:r>
          </w:hyperlink>
        </w:p>
        <w:p w14:paraId="3211431D" w14:textId="3E289BE8" w:rsidR="00691D4D" w:rsidRPr="00163BF5" w:rsidRDefault="00AC3DEC" w:rsidP="00691D4D">
          <w:pPr>
            <w:pStyle w:val="TDC3"/>
            <w:tabs>
              <w:tab w:val="left" w:pos="110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73" w:history="1">
            <w:r w:rsidR="00691D4D" w:rsidRPr="00163BF5">
              <w:rPr>
                <w:rStyle w:val="Hipervnculo"/>
                <w:rFonts w:ascii="Times New Roman" w:eastAsia="Times New Roman" w:hAnsi="Times New Roman" w:cs="Times New Roman"/>
                <w:noProof/>
                <w:color w:val="000000" w:themeColor="text1"/>
                <w:sz w:val="24"/>
                <w:szCs w:val="24"/>
              </w:rPr>
              <w:t>2.1.</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eastAsia="Times New Roman" w:hAnsi="Times New Roman" w:cs="Times New Roman"/>
                <w:noProof/>
                <w:color w:val="000000" w:themeColor="text1"/>
                <w:sz w:val="24"/>
                <w:szCs w:val="24"/>
              </w:rPr>
              <w:t>Personas Desaparecidas, Extraviadas y Perdidas.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_Toc67513373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24</w:t>
            </w:r>
            <w:r w:rsidR="00691D4D" w:rsidRPr="00163BF5">
              <w:rPr>
                <w:rFonts w:ascii="Times New Roman" w:hAnsi="Times New Roman" w:cs="Times New Roman"/>
                <w:noProof/>
                <w:webHidden/>
                <w:color w:val="000000" w:themeColor="text1"/>
                <w:sz w:val="24"/>
                <w:szCs w:val="24"/>
              </w:rPr>
              <w:fldChar w:fldCharType="end"/>
            </w:r>
          </w:hyperlink>
        </w:p>
        <w:p w14:paraId="5B487092" w14:textId="77F7C8E4"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74" w:history="1">
            <w:r w:rsidR="00691D4D" w:rsidRPr="00163BF5">
              <w:rPr>
                <w:rStyle w:val="Hipervnculo"/>
                <w:rFonts w:ascii="Times New Roman" w:hAnsi="Times New Roman" w:cs="Times New Roman"/>
                <w:noProof/>
                <w:color w:val="000000" w:themeColor="text1"/>
                <w:sz w:val="24"/>
                <w:szCs w:val="24"/>
              </w:rPr>
              <w:t>2.1.1.</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Persona desaparecida</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_Toc67513374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25</w:t>
            </w:r>
            <w:r w:rsidR="00691D4D" w:rsidRPr="00163BF5">
              <w:rPr>
                <w:rFonts w:ascii="Times New Roman" w:hAnsi="Times New Roman" w:cs="Times New Roman"/>
                <w:noProof/>
                <w:webHidden/>
                <w:color w:val="000000" w:themeColor="text1"/>
                <w:sz w:val="24"/>
                <w:szCs w:val="24"/>
              </w:rPr>
              <w:fldChar w:fldCharType="end"/>
            </w:r>
          </w:hyperlink>
        </w:p>
        <w:p w14:paraId="0513845C" w14:textId="522B9E12"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75" w:history="1">
            <w:r w:rsidR="00691D4D" w:rsidRPr="00163BF5">
              <w:rPr>
                <w:rStyle w:val="Hipervnculo"/>
                <w:rFonts w:ascii="Times New Roman" w:hAnsi="Times New Roman" w:cs="Times New Roman"/>
                <w:noProof/>
                <w:color w:val="000000" w:themeColor="text1"/>
                <w:sz w:val="24"/>
                <w:szCs w:val="24"/>
              </w:rPr>
              <w:t>2.1.2.</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Persona extraviada</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_Toc67513375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25</w:t>
            </w:r>
            <w:r w:rsidR="00691D4D" w:rsidRPr="00163BF5">
              <w:rPr>
                <w:rFonts w:ascii="Times New Roman" w:hAnsi="Times New Roman" w:cs="Times New Roman"/>
                <w:noProof/>
                <w:webHidden/>
                <w:color w:val="000000" w:themeColor="text1"/>
                <w:sz w:val="24"/>
                <w:szCs w:val="24"/>
              </w:rPr>
              <w:fldChar w:fldCharType="end"/>
            </w:r>
          </w:hyperlink>
        </w:p>
        <w:p w14:paraId="58C95F70" w14:textId="5A73ADA1"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76" w:history="1">
            <w:r w:rsidR="00691D4D" w:rsidRPr="00163BF5">
              <w:rPr>
                <w:rStyle w:val="Hipervnculo"/>
                <w:rFonts w:ascii="Times New Roman" w:hAnsi="Times New Roman" w:cs="Times New Roman"/>
                <w:noProof/>
                <w:color w:val="000000" w:themeColor="text1"/>
                <w:sz w:val="24"/>
                <w:szCs w:val="24"/>
              </w:rPr>
              <w:t>2.1.3.</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shd w:val="clear" w:color="auto" w:fill="FFFFFF"/>
              </w:rPr>
              <w:t>Persona Perdida</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_Toc67513376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26</w:t>
            </w:r>
            <w:r w:rsidR="00691D4D" w:rsidRPr="00163BF5">
              <w:rPr>
                <w:rFonts w:ascii="Times New Roman" w:hAnsi="Times New Roman" w:cs="Times New Roman"/>
                <w:noProof/>
                <w:webHidden/>
                <w:color w:val="000000" w:themeColor="text1"/>
                <w:sz w:val="24"/>
                <w:szCs w:val="24"/>
              </w:rPr>
              <w:fldChar w:fldCharType="end"/>
            </w:r>
          </w:hyperlink>
        </w:p>
        <w:p w14:paraId="405F375C" w14:textId="76F5E3BB" w:rsidR="00691D4D" w:rsidRPr="00163BF5" w:rsidRDefault="00AC3DEC" w:rsidP="00691D4D">
          <w:pPr>
            <w:pStyle w:val="TDC3"/>
            <w:tabs>
              <w:tab w:val="left" w:pos="110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77" w:history="1">
            <w:r w:rsidR="00691D4D" w:rsidRPr="00163BF5">
              <w:rPr>
                <w:rStyle w:val="Hipervnculo"/>
                <w:rFonts w:ascii="Times New Roman" w:hAnsi="Times New Roman" w:cs="Times New Roman"/>
                <w:noProof/>
                <w:color w:val="000000" w:themeColor="text1"/>
                <w:sz w:val="24"/>
                <w:szCs w:val="24"/>
                <w:lang w:val="es-ES_tradnl" w:eastAsia="es-ES_tradnl"/>
              </w:rPr>
              <w:t>2.2.</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lang w:val="es-ES_tradnl" w:eastAsia="es-ES_tradnl"/>
              </w:rPr>
              <w:t>La Desaparición Voluntaria, Involuntaria, y Forzada en la doctrina y la ley.</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_Toc67513377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26</w:t>
            </w:r>
            <w:r w:rsidR="00691D4D" w:rsidRPr="00163BF5">
              <w:rPr>
                <w:rFonts w:ascii="Times New Roman" w:hAnsi="Times New Roman" w:cs="Times New Roman"/>
                <w:noProof/>
                <w:webHidden/>
                <w:color w:val="000000" w:themeColor="text1"/>
                <w:sz w:val="24"/>
                <w:szCs w:val="24"/>
              </w:rPr>
              <w:fldChar w:fldCharType="end"/>
            </w:r>
          </w:hyperlink>
        </w:p>
        <w:p w14:paraId="1FDB9EF0" w14:textId="5BE84072" w:rsidR="00691D4D" w:rsidRPr="00163BF5" w:rsidRDefault="00AC3DEC" w:rsidP="00691D4D">
          <w:pPr>
            <w:pStyle w:val="TDC4"/>
            <w:tabs>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78" w:history="1">
            <w:r w:rsidR="00691D4D" w:rsidRPr="00163BF5">
              <w:rPr>
                <w:rStyle w:val="Hipervnculo"/>
                <w:rFonts w:ascii="Times New Roman" w:hAnsi="Times New Roman" w:cs="Times New Roman"/>
                <w:noProof/>
                <w:color w:val="000000" w:themeColor="text1"/>
                <w:sz w:val="24"/>
                <w:szCs w:val="24"/>
                <w:shd w:val="clear" w:color="auto" w:fill="FFFFFF"/>
              </w:rPr>
              <w:t>2.2.2. Desaparición Involuntaria</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_Toc67513378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27</w:t>
            </w:r>
            <w:r w:rsidR="00691D4D" w:rsidRPr="00163BF5">
              <w:rPr>
                <w:rFonts w:ascii="Times New Roman" w:hAnsi="Times New Roman" w:cs="Times New Roman"/>
                <w:noProof/>
                <w:webHidden/>
                <w:color w:val="000000" w:themeColor="text1"/>
                <w:sz w:val="24"/>
                <w:szCs w:val="24"/>
              </w:rPr>
              <w:fldChar w:fldCharType="end"/>
            </w:r>
          </w:hyperlink>
        </w:p>
        <w:p w14:paraId="476D20D9" w14:textId="46DF843A"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79" w:history="1">
            <w:r w:rsidR="00691D4D" w:rsidRPr="00163BF5">
              <w:rPr>
                <w:rStyle w:val="Hipervnculo"/>
                <w:rFonts w:ascii="Times New Roman" w:hAnsi="Times New Roman" w:cs="Times New Roman"/>
                <w:noProof/>
                <w:color w:val="000000" w:themeColor="text1"/>
                <w:sz w:val="24"/>
                <w:szCs w:val="24"/>
              </w:rPr>
              <w:t>2.2.3.</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Desaparición Forzada</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_Toc67513379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29</w:t>
            </w:r>
            <w:r w:rsidR="00691D4D" w:rsidRPr="00163BF5">
              <w:rPr>
                <w:rFonts w:ascii="Times New Roman" w:hAnsi="Times New Roman" w:cs="Times New Roman"/>
                <w:noProof/>
                <w:webHidden/>
                <w:color w:val="000000" w:themeColor="text1"/>
                <w:sz w:val="24"/>
                <w:szCs w:val="24"/>
              </w:rPr>
              <w:fldChar w:fldCharType="end"/>
            </w:r>
          </w:hyperlink>
        </w:p>
        <w:p w14:paraId="4091FF7F" w14:textId="48271CB3" w:rsidR="00691D4D" w:rsidRPr="00163BF5" w:rsidRDefault="00AC3DEC" w:rsidP="00691D4D">
          <w:pPr>
            <w:pStyle w:val="TDC3"/>
            <w:tabs>
              <w:tab w:val="left" w:pos="110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80" w:history="1">
            <w:r w:rsidR="00691D4D" w:rsidRPr="00163BF5">
              <w:rPr>
                <w:rStyle w:val="Hipervnculo"/>
                <w:rFonts w:ascii="Times New Roman" w:eastAsia="Calibri" w:hAnsi="Times New Roman" w:cs="Times New Roman"/>
                <w:noProof/>
                <w:color w:val="000000" w:themeColor="text1"/>
                <w:sz w:val="24"/>
                <w:szCs w:val="24"/>
                <w:lang w:val="es-ES_tradnl" w:eastAsia="es-ES_tradnl"/>
              </w:rPr>
              <w:t>2.3.</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eastAsia="Calibri" w:hAnsi="Times New Roman" w:cs="Times New Roman"/>
                <w:noProof/>
                <w:color w:val="000000" w:themeColor="text1"/>
                <w:sz w:val="24"/>
                <w:szCs w:val="24"/>
                <w:shd w:val="clear" w:color="auto" w:fill="FFFFFF"/>
                <w:lang w:val="es-ES_tradnl" w:eastAsia="es-ES_tradnl"/>
              </w:rPr>
              <w:t>Elementos semejantes y diferentes de la desaparición forzada y desaparición involuntaria</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_Toc67513380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32</w:t>
            </w:r>
            <w:r w:rsidR="00691D4D" w:rsidRPr="00163BF5">
              <w:rPr>
                <w:rFonts w:ascii="Times New Roman" w:hAnsi="Times New Roman" w:cs="Times New Roman"/>
                <w:noProof/>
                <w:webHidden/>
                <w:color w:val="000000" w:themeColor="text1"/>
                <w:sz w:val="24"/>
                <w:szCs w:val="24"/>
              </w:rPr>
              <w:fldChar w:fldCharType="end"/>
            </w:r>
          </w:hyperlink>
        </w:p>
        <w:p w14:paraId="3C037CBC" w14:textId="45F0D4C9"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81" w:history="1">
            <w:r w:rsidR="00691D4D" w:rsidRPr="00163BF5">
              <w:rPr>
                <w:rStyle w:val="Hipervnculo"/>
                <w:rFonts w:ascii="Times New Roman" w:hAnsi="Times New Roman" w:cs="Times New Roman"/>
                <w:noProof/>
                <w:color w:val="000000" w:themeColor="text1"/>
                <w:sz w:val="24"/>
                <w:szCs w:val="24"/>
              </w:rPr>
              <w:t>2.3.1.</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shd w:val="clear" w:color="auto" w:fill="FFFFFF"/>
              </w:rPr>
              <w:t>Semejanzas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_Toc67513381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32</w:t>
            </w:r>
            <w:r w:rsidR="00691D4D" w:rsidRPr="00163BF5">
              <w:rPr>
                <w:rFonts w:ascii="Times New Roman" w:hAnsi="Times New Roman" w:cs="Times New Roman"/>
                <w:noProof/>
                <w:webHidden/>
                <w:color w:val="000000" w:themeColor="text1"/>
                <w:sz w:val="24"/>
                <w:szCs w:val="24"/>
              </w:rPr>
              <w:fldChar w:fldCharType="end"/>
            </w:r>
          </w:hyperlink>
        </w:p>
        <w:p w14:paraId="6CD50AB7" w14:textId="3F453DCC" w:rsidR="00691D4D" w:rsidRPr="00163BF5" w:rsidRDefault="00AC3DEC" w:rsidP="00691D4D">
          <w:pPr>
            <w:pStyle w:val="TDC5"/>
            <w:tabs>
              <w:tab w:val="left" w:pos="176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82" w:history="1">
            <w:r w:rsidR="00691D4D" w:rsidRPr="00163BF5">
              <w:rPr>
                <w:rStyle w:val="Hipervnculo"/>
                <w:rFonts w:ascii="Times New Roman" w:hAnsi="Times New Roman" w:cs="Times New Roman"/>
                <w:noProof/>
                <w:color w:val="000000" w:themeColor="text1"/>
                <w:sz w:val="24"/>
                <w:szCs w:val="24"/>
              </w:rPr>
              <w:t>2.3.1.1.</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shd w:val="clear" w:color="auto" w:fill="FFFFFF"/>
              </w:rPr>
              <w:t>Privación ilegal de la libertad</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_Toc67513382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32</w:t>
            </w:r>
            <w:r w:rsidR="00691D4D" w:rsidRPr="00163BF5">
              <w:rPr>
                <w:rFonts w:ascii="Times New Roman" w:hAnsi="Times New Roman" w:cs="Times New Roman"/>
                <w:noProof/>
                <w:webHidden/>
                <w:color w:val="000000" w:themeColor="text1"/>
                <w:sz w:val="24"/>
                <w:szCs w:val="24"/>
              </w:rPr>
              <w:fldChar w:fldCharType="end"/>
            </w:r>
          </w:hyperlink>
        </w:p>
        <w:p w14:paraId="44090731" w14:textId="3B86B135" w:rsidR="00691D4D" w:rsidRPr="00163BF5" w:rsidRDefault="00AC3DEC" w:rsidP="00691D4D">
          <w:pPr>
            <w:pStyle w:val="TDC5"/>
            <w:tabs>
              <w:tab w:val="left" w:pos="176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83" w:history="1">
            <w:r w:rsidR="00691D4D" w:rsidRPr="00163BF5">
              <w:rPr>
                <w:rStyle w:val="Hipervnculo"/>
                <w:rFonts w:ascii="Times New Roman" w:hAnsi="Times New Roman" w:cs="Times New Roman"/>
                <w:noProof/>
                <w:color w:val="000000" w:themeColor="text1"/>
                <w:sz w:val="24"/>
                <w:szCs w:val="24"/>
              </w:rPr>
              <w:t>2.3.1.2.</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La denegación de información.</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_Toc67513383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34</w:t>
            </w:r>
            <w:r w:rsidR="00691D4D" w:rsidRPr="00163BF5">
              <w:rPr>
                <w:rFonts w:ascii="Times New Roman" w:hAnsi="Times New Roman" w:cs="Times New Roman"/>
                <w:noProof/>
                <w:webHidden/>
                <w:color w:val="000000" w:themeColor="text1"/>
                <w:sz w:val="24"/>
                <w:szCs w:val="24"/>
              </w:rPr>
              <w:fldChar w:fldCharType="end"/>
            </w:r>
          </w:hyperlink>
        </w:p>
        <w:p w14:paraId="2965AE41" w14:textId="42B2B376"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84" w:history="1">
            <w:r w:rsidR="00691D4D" w:rsidRPr="00163BF5">
              <w:rPr>
                <w:rStyle w:val="Hipervnculo"/>
                <w:rFonts w:ascii="Times New Roman" w:hAnsi="Times New Roman" w:cs="Times New Roman"/>
                <w:noProof/>
                <w:color w:val="000000" w:themeColor="text1"/>
                <w:sz w:val="24"/>
                <w:szCs w:val="24"/>
              </w:rPr>
              <w:t>2.3.2.</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Diferencias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_Toc67513384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36</w:t>
            </w:r>
            <w:r w:rsidR="00691D4D" w:rsidRPr="00163BF5">
              <w:rPr>
                <w:rFonts w:ascii="Times New Roman" w:hAnsi="Times New Roman" w:cs="Times New Roman"/>
                <w:noProof/>
                <w:webHidden/>
                <w:color w:val="000000" w:themeColor="text1"/>
                <w:sz w:val="24"/>
                <w:szCs w:val="24"/>
              </w:rPr>
              <w:fldChar w:fldCharType="end"/>
            </w:r>
          </w:hyperlink>
        </w:p>
        <w:p w14:paraId="3CDACA15" w14:textId="57DC194D" w:rsidR="00691D4D" w:rsidRPr="00163BF5" w:rsidRDefault="00AC3DEC" w:rsidP="00691D4D">
          <w:pPr>
            <w:pStyle w:val="TDC5"/>
            <w:tabs>
              <w:tab w:val="left" w:pos="176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85" w:history="1">
            <w:r w:rsidR="00691D4D" w:rsidRPr="00163BF5">
              <w:rPr>
                <w:rStyle w:val="Hipervnculo"/>
                <w:rFonts w:ascii="Times New Roman" w:hAnsi="Times New Roman" w:cs="Times New Roman"/>
                <w:noProof/>
                <w:color w:val="000000" w:themeColor="text1"/>
                <w:sz w:val="24"/>
                <w:szCs w:val="24"/>
              </w:rPr>
              <w:t>2.3.2.1.</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El sujeto activo que realiza la privación de la libertad</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_Toc67513385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36</w:t>
            </w:r>
            <w:r w:rsidR="00691D4D" w:rsidRPr="00163BF5">
              <w:rPr>
                <w:rFonts w:ascii="Times New Roman" w:hAnsi="Times New Roman" w:cs="Times New Roman"/>
                <w:noProof/>
                <w:webHidden/>
                <w:color w:val="000000" w:themeColor="text1"/>
                <w:sz w:val="24"/>
                <w:szCs w:val="24"/>
              </w:rPr>
              <w:fldChar w:fldCharType="end"/>
            </w:r>
          </w:hyperlink>
        </w:p>
        <w:p w14:paraId="308752A2" w14:textId="374E6393" w:rsidR="00691D4D" w:rsidRPr="00163BF5" w:rsidRDefault="00AC3DEC" w:rsidP="00691D4D">
          <w:pPr>
            <w:pStyle w:val="TDC6"/>
            <w:tabs>
              <w:tab w:val="left" w:pos="209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86" w:history="1">
            <w:r w:rsidR="00691D4D" w:rsidRPr="00163BF5">
              <w:rPr>
                <w:rStyle w:val="Hipervnculo"/>
                <w:rFonts w:ascii="Times New Roman" w:hAnsi="Times New Roman" w:cs="Times New Roman"/>
                <w:noProof/>
                <w:color w:val="000000" w:themeColor="text1"/>
                <w:sz w:val="24"/>
                <w:szCs w:val="24"/>
              </w:rPr>
              <w:t>2.3.2.1.1.</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Desaparición Forzada</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_Toc67513386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36</w:t>
            </w:r>
            <w:r w:rsidR="00691D4D" w:rsidRPr="00163BF5">
              <w:rPr>
                <w:rFonts w:ascii="Times New Roman" w:hAnsi="Times New Roman" w:cs="Times New Roman"/>
                <w:noProof/>
                <w:webHidden/>
                <w:color w:val="000000" w:themeColor="text1"/>
                <w:sz w:val="24"/>
                <w:szCs w:val="24"/>
              </w:rPr>
              <w:fldChar w:fldCharType="end"/>
            </w:r>
          </w:hyperlink>
        </w:p>
        <w:p w14:paraId="5279E3DF" w14:textId="4B496586" w:rsidR="00691D4D" w:rsidRPr="00163BF5" w:rsidRDefault="00AC3DEC" w:rsidP="00691D4D">
          <w:pPr>
            <w:pStyle w:val="TDC6"/>
            <w:tabs>
              <w:tab w:val="left" w:pos="209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87" w:history="1">
            <w:r w:rsidR="00691D4D" w:rsidRPr="00163BF5">
              <w:rPr>
                <w:rStyle w:val="Hipervnculo"/>
                <w:rFonts w:ascii="Times New Roman" w:hAnsi="Times New Roman" w:cs="Times New Roman"/>
                <w:noProof/>
                <w:color w:val="000000" w:themeColor="text1"/>
                <w:sz w:val="24"/>
                <w:szCs w:val="24"/>
              </w:rPr>
              <w:t>2.3.2.1.2.</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Desaparición Involuntaria</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_Toc67513387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37</w:t>
            </w:r>
            <w:r w:rsidR="00691D4D" w:rsidRPr="00163BF5">
              <w:rPr>
                <w:rFonts w:ascii="Times New Roman" w:hAnsi="Times New Roman" w:cs="Times New Roman"/>
                <w:noProof/>
                <w:webHidden/>
                <w:color w:val="000000" w:themeColor="text1"/>
                <w:sz w:val="24"/>
                <w:szCs w:val="24"/>
              </w:rPr>
              <w:fldChar w:fldCharType="end"/>
            </w:r>
          </w:hyperlink>
        </w:p>
        <w:p w14:paraId="2927C5BE" w14:textId="02CFE9A5" w:rsidR="00691D4D" w:rsidRPr="00163BF5" w:rsidRDefault="00AC3DEC" w:rsidP="00691D4D">
          <w:pPr>
            <w:pStyle w:val="TDC5"/>
            <w:tabs>
              <w:tab w:val="left" w:pos="176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88" w:history="1">
            <w:r w:rsidR="00691D4D" w:rsidRPr="00163BF5">
              <w:rPr>
                <w:rStyle w:val="Hipervnculo"/>
                <w:rFonts w:ascii="Times New Roman" w:hAnsi="Times New Roman" w:cs="Times New Roman"/>
                <w:noProof/>
                <w:color w:val="000000" w:themeColor="text1"/>
                <w:sz w:val="24"/>
                <w:szCs w:val="24"/>
              </w:rPr>
              <w:t>2.3.2.2.</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La inexistencia de una solicitud de rescate o dinero por la víctima</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_Toc67513388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39</w:t>
            </w:r>
            <w:r w:rsidR="00691D4D" w:rsidRPr="00163BF5">
              <w:rPr>
                <w:rFonts w:ascii="Times New Roman" w:hAnsi="Times New Roman" w:cs="Times New Roman"/>
                <w:noProof/>
                <w:webHidden/>
                <w:color w:val="000000" w:themeColor="text1"/>
                <w:sz w:val="24"/>
                <w:szCs w:val="24"/>
              </w:rPr>
              <w:fldChar w:fldCharType="end"/>
            </w:r>
          </w:hyperlink>
        </w:p>
        <w:p w14:paraId="75D9DACB" w14:textId="10C4A8F2" w:rsidR="00691D4D" w:rsidRPr="00163BF5" w:rsidRDefault="00AC3DEC" w:rsidP="00691D4D">
          <w:pPr>
            <w:pStyle w:val="TDC5"/>
            <w:tabs>
              <w:tab w:val="left" w:pos="176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89" w:history="1">
            <w:r w:rsidR="00691D4D" w:rsidRPr="00163BF5">
              <w:rPr>
                <w:rStyle w:val="Hipervnculo"/>
                <w:rFonts w:ascii="Times New Roman" w:hAnsi="Times New Roman" w:cs="Times New Roman"/>
                <w:noProof/>
                <w:color w:val="000000" w:themeColor="text1"/>
                <w:sz w:val="24"/>
                <w:szCs w:val="24"/>
              </w:rPr>
              <w:t>2.3.2.3.</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Cuadro comparativo entre la desaparición forzada y desaparición involuntaria</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_Toc67513389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40</w:t>
            </w:r>
            <w:r w:rsidR="00691D4D" w:rsidRPr="00163BF5">
              <w:rPr>
                <w:rFonts w:ascii="Times New Roman" w:hAnsi="Times New Roman" w:cs="Times New Roman"/>
                <w:noProof/>
                <w:webHidden/>
                <w:color w:val="000000" w:themeColor="text1"/>
                <w:sz w:val="24"/>
                <w:szCs w:val="24"/>
              </w:rPr>
              <w:fldChar w:fldCharType="end"/>
            </w:r>
          </w:hyperlink>
        </w:p>
        <w:p w14:paraId="41AB969B" w14:textId="7463E0F6" w:rsidR="00691D4D" w:rsidRPr="00163BF5" w:rsidRDefault="00AC3DEC" w:rsidP="00691D4D">
          <w:pPr>
            <w:pStyle w:val="TDC3"/>
            <w:tabs>
              <w:tab w:val="left" w:pos="110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90" w:history="1">
            <w:r w:rsidR="00691D4D" w:rsidRPr="00163BF5">
              <w:rPr>
                <w:rStyle w:val="Hipervnculo"/>
                <w:rFonts w:ascii="Times New Roman" w:eastAsia="Calibri" w:hAnsi="Times New Roman" w:cs="Times New Roman"/>
                <w:noProof/>
                <w:color w:val="000000" w:themeColor="text1"/>
                <w:sz w:val="24"/>
                <w:szCs w:val="24"/>
                <w:lang w:val="es-ES_tradnl" w:eastAsia="es-ES_tradnl"/>
              </w:rPr>
              <w:t>2.4.</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eastAsia="Calibri" w:hAnsi="Times New Roman" w:cs="Times New Roman"/>
                <w:noProof/>
                <w:color w:val="000000" w:themeColor="text1"/>
                <w:sz w:val="24"/>
                <w:szCs w:val="24"/>
                <w:lang w:val="es-ES_tradnl" w:eastAsia="es-ES_tradnl"/>
              </w:rPr>
              <w:t>Víctimas indirectas de las desapariciones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_Toc67513390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41</w:t>
            </w:r>
            <w:r w:rsidR="00691D4D" w:rsidRPr="00163BF5">
              <w:rPr>
                <w:rFonts w:ascii="Times New Roman" w:hAnsi="Times New Roman" w:cs="Times New Roman"/>
                <w:noProof/>
                <w:webHidden/>
                <w:color w:val="000000" w:themeColor="text1"/>
                <w:sz w:val="24"/>
                <w:szCs w:val="24"/>
              </w:rPr>
              <w:fldChar w:fldCharType="end"/>
            </w:r>
          </w:hyperlink>
        </w:p>
        <w:p w14:paraId="6EBD91B2" w14:textId="1FF031C6" w:rsidR="00691D4D" w:rsidRPr="00163BF5" w:rsidRDefault="00AC3DEC" w:rsidP="00691D4D">
          <w:pPr>
            <w:pStyle w:val="TDC1"/>
            <w:tabs>
              <w:tab w:val="right" w:leader="dot" w:pos="9016"/>
            </w:tabs>
            <w:spacing w:line="240" w:lineRule="auto"/>
            <w:rPr>
              <w:rFonts w:ascii="Times New Roman" w:eastAsiaTheme="minorEastAsia" w:hAnsi="Times New Roman" w:cs="Times New Roman"/>
              <w:b w:val="0"/>
              <w:bCs w:val="0"/>
              <w:i w:val="0"/>
              <w:iCs w:val="0"/>
              <w:noProof/>
              <w:color w:val="000000" w:themeColor="text1"/>
              <w:lang w:eastAsia="es-MX"/>
            </w:rPr>
          </w:pPr>
          <w:hyperlink w:anchor="_Toc67513391" w:history="1">
            <w:r w:rsidR="00691D4D" w:rsidRPr="00163BF5">
              <w:rPr>
                <w:rStyle w:val="Hipervnculo"/>
                <w:rFonts w:ascii="Times New Roman" w:eastAsia="Times New Roman" w:hAnsi="Times New Roman" w:cs="Times New Roman"/>
                <w:noProof/>
                <w:color w:val="000000" w:themeColor="text1"/>
              </w:rPr>
              <w:t>TERCER CAPÍTULO</w:t>
            </w:r>
            <w:r w:rsidR="00691D4D" w:rsidRPr="00163BF5">
              <w:rPr>
                <w:rFonts w:ascii="Times New Roman" w:hAnsi="Times New Roman" w:cs="Times New Roman"/>
                <w:noProof/>
                <w:webHidden/>
                <w:color w:val="000000" w:themeColor="text1"/>
              </w:rPr>
              <w:tab/>
            </w:r>
            <w:r w:rsidR="00691D4D" w:rsidRPr="00163BF5">
              <w:rPr>
                <w:rFonts w:ascii="Times New Roman" w:hAnsi="Times New Roman" w:cs="Times New Roman"/>
                <w:noProof/>
                <w:webHidden/>
                <w:color w:val="000000" w:themeColor="text1"/>
              </w:rPr>
              <w:fldChar w:fldCharType="begin"/>
            </w:r>
            <w:r w:rsidR="00691D4D" w:rsidRPr="00163BF5">
              <w:rPr>
                <w:rFonts w:ascii="Times New Roman" w:hAnsi="Times New Roman" w:cs="Times New Roman"/>
                <w:noProof/>
                <w:webHidden/>
                <w:color w:val="000000" w:themeColor="text1"/>
              </w:rPr>
              <w:instrText xml:space="preserve"> PAGEREF _Toc67513391 \h </w:instrText>
            </w:r>
            <w:r w:rsidR="00691D4D" w:rsidRPr="00163BF5">
              <w:rPr>
                <w:rFonts w:ascii="Times New Roman" w:hAnsi="Times New Roman" w:cs="Times New Roman"/>
                <w:noProof/>
                <w:webHidden/>
                <w:color w:val="000000" w:themeColor="text1"/>
              </w:rPr>
            </w:r>
            <w:r w:rsidR="00691D4D" w:rsidRPr="00163BF5">
              <w:rPr>
                <w:rFonts w:ascii="Times New Roman" w:hAnsi="Times New Roman" w:cs="Times New Roman"/>
                <w:noProof/>
                <w:webHidden/>
                <w:color w:val="000000" w:themeColor="text1"/>
              </w:rPr>
              <w:fldChar w:fldCharType="separate"/>
            </w:r>
            <w:r w:rsidR="00D933BD" w:rsidRPr="00163BF5">
              <w:rPr>
                <w:rFonts w:ascii="Times New Roman" w:hAnsi="Times New Roman" w:cs="Times New Roman"/>
                <w:noProof/>
                <w:webHidden/>
                <w:color w:val="000000" w:themeColor="text1"/>
              </w:rPr>
              <w:t>43</w:t>
            </w:r>
            <w:r w:rsidR="00691D4D" w:rsidRPr="00163BF5">
              <w:rPr>
                <w:rFonts w:ascii="Times New Roman" w:hAnsi="Times New Roman" w:cs="Times New Roman"/>
                <w:noProof/>
                <w:webHidden/>
                <w:color w:val="000000" w:themeColor="text1"/>
              </w:rPr>
              <w:fldChar w:fldCharType="end"/>
            </w:r>
          </w:hyperlink>
        </w:p>
        <w:p w14:paraId="798B4E40" w14:textId="3CD9A6DF" w:rsidR="00691D4D" w:rsidRPr="00163BF5" w:rsidRDefault="00AC3DEC" w:rsidP="00691D4D">
          <w:pPr>
            <w:pStyle w:val="TDC2"/>
            <w:tabs>
              <w:tab w:val="left" w:pos="660"/>
              <w:tab w:val="right" w:leader="dot" w:pos="9016"/>
            </w:tabs>
            <w:spacing w:line="240" w:lineRule="auto"/>
            <w:rPr>
              <w:rFonts w:ascii="Times New Roman" w:eastAsiaTheme="minorEastAsia" w:hAnsi="Times New Roman" w:cs="Times New Roman"/>
              <w:b w:val="0"/>
              <w:bCs w:val="0"/>
              <w:noProof/>
              <w:color w:val="000000" w:themeColor="text1"/>
              <w:sz w:val="24"/>
              <w:szCs w:val="24"/>
              <w:lang w:eastAsia="es-MX"/>
            </w:rPr>
          </w:pPr>
          <w:hyperlink w:anchor="_Toc67513392" w:history="1">
            <w:r w:rsidR="00691D4D" w:rsidRPr="00163BF5">
              <w:rPr>
                <w:rStyle w:val="Hipervnculo"/>
                <w:rFonts w:ascii="Times New Roman" w:hAnsi="Times New Roman" w:cs="Times New Roman"/>
                <w:noProof/>
                <w:color w:val="000000" w:themeColor="text1"/>
                <w:sz w:val="24"/>
                <w:szCs w:val="24"/>
              </w:rPr>
              <w:t>3.</w:t>
            </w:r>
            <w:r w:rsidR="00691D4D" w:rsidRPr="00163BF5">
              <w:rPr>
                <w:rFonts w:ascii="Times New Roman" w:eastAsiaTheme="minorEastAsia" w:hAnsi="Times New Roman" w:cs="Times New Roman"/>
                <w:b w:val="0"/>
                <w:bCs w:val="0"/>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Los estándares de debida diligencia de la Corte Interamericana de Derechos Humanos en la Ley de Personas Desaparecidas y Extraviadas en el caso de desaparición involuntaria.</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_Toc67513392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43</w:t>
            </w:r>
            <w:r w:rsidR="00691D4D" w:rsidRPr="00163BF5">
              <w:rPr>
                <w:rFonts w:ascii="Times New Roman" w:hAnsi="Times New Roman" w:cs="Times New Roman"/>
                <w:noProof/>
                <w:webHidden/>
                <w:color w:val="000000" w:themeColor="text1"/>
                <w:sz w:val="24"/>
                <w:szCs w:val="24"/>
              </w:rPr>
              <w:fldChar w:fldCharType="end"/>
            </w:r>
          </w:hyperlink>
        </w:p>
        <w:p w14:paraId="7045DF5D" w14:textId="2AF29672" w:rsidR="00691D4D" w:rsidRPr="00163BF5" w:rsidRDefault="00AC3DEC" w:rsidP="00691D4D">
          <w:pPr>
            <w:pStyle w:val="TDC3"/>
            <w:tabs>
              <w:tab w:val="left" w:pos="110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93" w:history="1">
            <w:r w:rsidR="00691D4D" w:rsidRPr="00163BF5">
              <w:rPr>
                <w:rStyle w:val="Hipervnculo"/>
                <w:rFonts w:ascii="Times New Roman" w:hAnsi="Times New Roman" w:cs="Times New Roman"/>
                <w:noProof/>
                <w:color w:val="000000" w:themeColor="text1"/>
                <w:sz w:val="24"/>
                <w:szCs w:val="24"/>
              </w:rPr>
              <w:t>3.1.</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Obligatoriedad del Estado de investigar las violaciones a los derechos humanos.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_Toc67513393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43</w:t>
            </w:r>
            <w:r w:rsidR="00691D4D" w:rsidRPr="00163BF5">
              <w:rPr>
                <w:rFonts w:ascii="Times New Roman" w:hAnsi="Times New Roman" w:cs="Times New Roman"/>
                <w:noProof/>
                <w:webHidden/>
                <w:color w:val="000000" w:themeColor="text1"/>
                <w:sz w:val="24"/>
                <w:szCs w:val="24"/>
              </w:rPr>
              <w:fldChar w:fldCharType="end"/>
            </w:r>
          </w:hyperlink>
        </w:p>
        <w:p w14:paraId="4396E533" w14:textId="1DE3339D" w:rsidR="00691D4D" w:rsidRPr="00163BF5" w:rsidRDefault="00AC3DEC" w:rsidP="00691D4D">
          <w:pPr>
            <w:pStyle w:val="TDC3"/>
            <w:tabs>
              <w:tab w:val="left" w:pos="110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94" w:history="1">
            <w:r w:rsidR="00691D4D" w:rsidRPr="00163BF5">
              <w:rPr>
                <w:rStyle w:val="Hipervnculo"/>
                <w:rFonts w:ascii="Times New Roman" w:eastAsia="Times New Roman" w:hAnsi="Times New Roman" w:cs="Times New Roman"/>
                <w:noProof/>
                <w:color w:val="000000" w:themeColor="text1"/>
                <w:sz w:val="24"/>
                <w:szCs w:val="24"/>
              </w:rPr>
              <w:t>3.2.</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eastAsia="Times New Roman" w:hAnsi="Times New Roman" w:cs="Times New Roman"/>
                <w:noProof/>
                <w:color w:val="000000" w:themeColor="text1"/>
                <w:sz w:val="24"/>
                <w:szCs w:val="24"/>
              </w:rPr>
              <w:t>Presupuestos básicos en toda investigación relacionada con graves violaciones de derechos humanos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_Toc67513394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45</w:t>
            </w:r>
            <w:r w:rsidR="00691D4D" w:rsidRPr="00163BF5">
              <w:rPr>
                <w:rFonts w:ascii="Times New Roman" w:hAnsi="Times New Roman" w:cs="Times New Roman"/>
                <w:noProof/>
                <w:webHidden/>
                <w:color w:val="000000" w:themeColor="text1"/>
                <w:sz w:val="24"/>
                <w:szCs w:val="24"/>
              </w:rPr>
              <w:fldChar w:fldCharType="end"/>
            </w:r>
          </w:hyperlink>
        </w:p>
        <w:p w14:paraId="0EE3BD75" w14:textId="18CA31F2"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95" w:history="1">
            <w:r w:rsidR="00691D4D" w:rsidRPr="00163BF5">
              <w:rPr>
                <w:rStyle w:val="Hipervnculo"/>
                <w:rFonts w:ascii="Times New Roman" w:hAnsi="Times New Roman" w:cs="Times New Roman"/>
                <w:noProof/>
                <w:color w:val="000000" w:themeColor="text1"/>
                <w:sz w:val="24"/>
                <w:szCs w:val="24"/>
              </w:rPr>
              <w:t>3.2.1.</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La investigación debe estar destinada en localizar a la víctima o de ser el caso los restos de no conocer el paradero.</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_Toc67513395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46</w:t>
            </w:r>
            <w:r w:rsidR="00691D4D" w:rsidRPr="00163BF5">
              <w:rPr>
                <w:rFonts w:ascii="Times New Roman" w:hAnsi="Times New Roman" w:cs="Times New Roman"/>
                <w:noProof/>
                <w:webHidden/>
                <w:color w:val="000000" w:themeColor="text1"/>
                <w:sz w:val="24"/>
                <w:szCs w:val="24"/>
              </w:rPr>
              <w:fldChar w:fldCharType="end"/>
            </w:r>
          </w:hyperlink>
        </w:p>
        <w:p w14:paraId="51E7E282" w14:textId="0EB34887"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96" w:history="1">
            <w:r w:rsidR="00691D4D" w:rsidRPr="00163BF5">
              <w:rPr>
                <w:rStyle w:val="Hipervnculo"/>
                <w:rFonts w:ascii="Times New Roman" w:hAnsi="Times New Roman" w:cs="Times New Roman"/>
                <w:noProof/>
                <w:color w:val="000000" w:themeColor="text1"/>
                <w:sz w:val="24"/>
                <w:szCs w:val="24"/>
              </w:rPr>
              <w:t>3.2.2.</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La investigación debe ser dirigida a establecer la identidad de la víctima o víctimas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_Toc67513396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47</w:t>
            </w:r>
            <w:r w:rsidR="00691D4D" w:rsidRPr="00163BF5">
              <w:rPr>
                <w:rFonts w:ascii="Times New Roman" w:hAnsi="Times New Roman" w:cs="Times New Roman"/>
                <w:noProof/>
                <w:webHidden/>
                <w:color w:val="000000" w:themeColor="text1"/>
                <w:sz w:val="24"/>
                <w:szCs w:val="24"/>
              </w:rPr>
              <w:fldChar w:fldCharType="end"/>
            </w:r>
          </w:hyperlink>
        </w:p>
        <w:p w14:paraId="47E9671F" w14:textId="7756E97F"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97" w:history="1">
            <w:r w:rsidR="00691D4D" w:rsidRPr="00163BF5">
              <w:rPr>
                <w:rStyle w:val="Hipervnculo"/>
                <w:rFonts w:ascii="Times New Roman" w:hAnsi="Times New Roman" w:cs="Times New Roman"/>
                <w:noProof/>
                <w:color w:val="000000" w:themeColor="text1"/>
                <w:sz w:val="24"/>
                <w:szCs w:val="24"/>
              </w:rPr>
              <w:t>3.2.3.</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La investigación debe estar dirigida a sancionar a todos los responsables de las violaciones a los derechos humanos.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_Toc67513397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48</w:t>
            </w:r>
            <w:r w:rsidR="00691D4D" w:rsidRPr="00163BF5">
              <w:rPr>
                <w:rFonts w:ascii="Times New Roman" w:hAnsi="Times New Roman" w:cs="Times New Roman"/>
                <w:noProof/>
                <w:webHidden/>
                <w:color w:val="000000" w:themeColor="text1"/>
                <w:sz w:val="24"/>
                <w:szCs w:val="24"/>
              </w:rPr>
              <w:fldChar w:fldCharType="end"/>
            </w:r>
          </w:hyperlink>
        </w:p>
        <w:p w14:paraId="6025FE8E" w14:textId="6896B226"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98" w:history="1">
            <w:r w:rsidR="00691D4D" w:rsidRPr="00163BF5">
              <w:rPr>
                <w:rStyle w:val="Hipervnculo"/>
                <w:rFonts w:ascii="Times New Roman" w:hAnsi="Times New Roman" w:cs="Times New Roman"/>
                <w:noProof/>
                <w:color w:val="000000" w:themeColor="text1"/>
                <w:sz w:val="24"/>
                <w:szCs w:val="24"/>
              </w:rPr>
              <w:t>3.2.4.</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La investigación debe abarcar todos los hechos que hayan violado a los derechos humanos.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_Toc67513398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49</w:t>
            </w:r>
            <w:r w:rsidR="00691D4D" w:rsidRPr="00163BF5">
              <w:rPr>
                <w:rFonts w:ascii="Times New Roman" w:hAnsi="Times New Roman" w:cs="Times New Roman"/>
                <w:noProof/>
                <w:webHidden/>
                <w:color w:val="000000" w:themeColor="text1"/>
                <w:sz w:val="24"/>
                <w:szCs w:val="24"/>
              </w:rPr>
              <w:fldChar w:fldCharType="end"/>
            </w:r>
          </w:hyperlink>
        </w:p>
        <w:p w14:paraId="2CA375D0" w14:textId="63DD3775"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399" w:history="1">
            <w:r w:rsidR="00691D4D" w:rsidRPr="00163BF5">
              <w:rPr>
                <w:rStyle w:val="Hipervnculo"/>
                <w:rFonts w:ascii="Times New Roman" w:hAnsi="Times New Roman" w:cs="Times New Roman"/>
                <w:noProof/>
                <w:color w:val="000000" w:themeColor="text1"/>
                <w:sz w:val="24"/>
                <w:szCs w:val="24"/>
              </w:rPr>
              <w:t>3.2.5.</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Ejecución de decisiones judiciales y ordenes de capturas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_Toc67513399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50</w:t>
            </w:r>
            <w:r w:rsidR="00691D4D" w:rsidRPr="00163BF5">
              <w:rPr>
                <w:rFonts w:ascii="Times New Roman" w:hAnsi="Times New Roman" w:cs="Times New Roman"/>
                <w:noProof/>
                <w:webHidden/>
                <w:color w:val="000000" w:themeColor="text1"/>
                <w:sz w:val="24"/>
                <w:szCs w:val="24"/>
              </w:rPr>
              <w:fldChar w:fldCharType="end"/>
            </w:r>
          </w:hyperlink>
        </w:p>
        <w:p w14:paraId="15EB7971" w14:textId="3FCED308"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00" w:history="1">
            <w:r w:rsidR="00691D4D" w:rsidRPr="00163BF5">
              <w:rPr>
                <w:rStyle w:val="Hipervnculo"/>
                <w:rFonts w:ascii="Times New Roman" w:hAnsi="Times New Roman" w:cs="Times New Roman"/>
                <w:noProof/>
                <w:color w:val="000000" w:themeColor="text1"/>
                <w:sz w:val="24"/>
                <w:szCs w:val="24"/>
              </w:rPr>
              <w:t>3.2.6.</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En el transcurso de la investigación debe utilizarse todos los medios posibles para la obtención de pruebas relevantes en el caso</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_Toc67513400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51</w:t>
            </w:r>
            <w:r w:rsidR="00691D4D" w:rsidRPr="00163BF5">
              <w:rPr>
                <w:rFonts w:ascii="Times New Roman" w:hAnsi="Times New Roman" w:cs="Times New Roman"/>
                <w:noProof/>
                <w:webHidden/>
                <w:color w:val="000000" w:themeColor="text1"/>
                <w:sz w:val="24"/>
                <w:szCs w:val="24"/>
              </w:rPr>
              <w:fldChar w:fldCharType="end"/>
            </w:r>
          </w:hyperlink>
        </w:p>
        <w:p w14:paraId="059EA578" w14:textId="3C0B8582"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01" w:history="1">
            <w:r w:rsidR="00691D4D" w:rsidRPr="00163BF5">
              <w:rPr>
                <w:rStyle w:val="Hipervnculo"/>
                <w:rFonts w:ascii="Times New Roman" w:hAnsi="Times New Roman" w:cs="Times New Roman"/>
                <w:noProof/>
                <w:color w:val="000000" w:themeColor="text1"/>
                <w:sz w:val="24"/>
                <w:szCs w:val="24"/>
              </w:rPr>
              <w:t>3.2.7.</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La investigación debe contar con el apoyo de expertos/ peritos especializados para dar con veracidad de los hechos.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_Toc67513401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54</w:t>
            </w:r>
            <w:r w:rsidR="00691D4D" w:rsidRPr="00163BF5">
              <w:rPr>
                <w:rFonts w:ascii="Times New Roman" w:hAnsi="Times New Roman" w:cs="Times New Roman"/>
                <w:noProof/>
                <w:webHidden/>
                <w:color w:val="000000" w:themeColor="text1"/>
                <w:sz w:val="24"/>
                <w:szCs w:val="24"/>
              </w:rPr>
              <w:fldChar w:fldCharType="end"/>
            </w:r>
          </w:hyperlink>
        </w:p>
        <w:p w14:paraId="323E8FA9" w14:textId="249A20FC"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02" w:history="1">
            <w:r w:rsidR="00691D4D" w:rsidRPr="00163BF5">
              <w:rPr>
                <w:rStyle w:val="Hipervnculo"/>
                <w:rFonts w:ascii="Times New Roman" w:hAnsi="Times New Roman" w:cs="Times New Roman"/>
                <w:noProof/>
                <w:color w:val="000000" w:themeColor="text1"/>
                <w:sz w:val="24"/>
                <w:szCs w:val="24"/>
              </w:rPr>
              <w:t>3.2.8.</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La investigación debe tener en cuenta el contexto y las particularidades del caso o del tipo de vulneración a los derechos humanos que se está investigando.</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_Toc67513402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55</w:t>
            </w:r>
            <w:r w:rsidR="00691D4D" w:rsidRPr="00163BF5">
              <w:rPr>
                <w:rFonts w:ascii="Times New Roman" w:hAnsi="Times New Roman" w:cs="Times New Roman"/>
                <w:noProof/>
                <w:webHidden/>
                <w:color w:val="000000" w:themeColor="text1"/>
                <w:sz w:val="24"/>
                <w:szCs w:val="24"/>
              </w:rPr>
              <w:fldChar w:fldCharType="end"/>
            </w:r>
          </w:hyperlink>
        </w:p>
        <w:p w14:paraId="251A2089" w14:textId="663C12F6"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03" w:history="1">
            <w:r w:rsidR="00691D4D" w:rsidRPr="00163BF5">
              <w:rPr>
                <w:rStyle w:val="Hipervnculo"/>
                <w:rFonts w:ascii="Times New Roman" w:hAnsi="Times New Roman" w:cs="Times New Roman"/>
                <w:noProof/>
                <w:color w:val="000000" w:themeColor="text1"/>
                <w:sz w:val="24"/>
                <w:szCs w:val="24"/>
              </w:rPr>
              <w:t>3.2.9.</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Los investigadores deben considerar distintas hipótesis y contar una metodología.</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_Toc67513403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56</w:t>
            </w:r>
            <w:r w:rsidR="00691D4D" w:rsidRPr="00163BF5">
              <w:rPr>
                <w:rFonts w:ascii="Times New Roman" w:hAnsi="Times New Roman" w:cs="Times New Roman"/>
                <w:noProof/>
                <w:webHidden/>
                <w:color w:val="000000" w:themeColor="text1"/>
                <w:sz w:val="24"/>
                <w:szCs w:val="24"/>
              </w:rPr>
              <w:fldChar w:fldCharType="end"/>
            </w:r>
          </w:hyperlink>
        </w:p>
        <w:p w14:paraId="765EEEF3" w14:textId="6F0F22E2" w:rsidR="00691D4D" w:rsidRPr="00163BF5" w:rsidRDefault="00AC3DEC" w:rsidP="00691D4D">
          <w:pPr>
            <w:pStyle w:val="TDC3"/>
            <w:tabs>
              <w:tab w:val="left" w:pos="110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04" w:history="1">
            <w:r w:rsidR="00691D4D" w:rsidRPr="00163BF5">
              <w:rPr>
                <w:rStyle w:val="Hipervnculo"/>
                <w:rFonts w:ascii="Times New Roman" w:eastAsia="Times New Roman" w:hAnsi="Times New Roman" w:cs="Times New Roman"/>
                <w:noProof/>
                <w:color w:val="000000" w:themeColor="text1"/>
                <w:sz w:val="24"/>
                <w:szCs w:val="24"/>
                <w:lang w:eastAsia="es-ES_tradnl"/>
              </w:rPr>
              <w:t>3.3.</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eastAsia="Times New Roman" w:hAnsi="Times New Roman" w:cs="Times New Roman"/>
                <w:noProof/>
                <w:color w:val="000000" w:themeColor="text1"/>
                <w:sz w:val="24"/>
                <w:szCs w:val="24"/>
                <w:lang w:eastAsia="es-ES_tradnl"/>
              </w:rPr>
              <w:t>Los estándares de debida diligencia para la investigación de graves violaciones de derechos humanos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_Toc67513404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57</w:t>
            </w:r>
            <w:r w:rsidR="00691D4D" w:rsidRPr="00163BF5">
              <w:rPr>
                <w:rFonts w:ascii="Times New Roman" w:hAnsi="Times New Roman" w:cs="Times New Roman"/>
                <w:noProof/>
                <w:webHidden/>
                <w:color w:val="000000" w:themeColor="text1"/>
                <w:sz w:val="24"/>
                <w:szCs w:val="24"/>
              </w:rPr>
              <w:fldChar w:fldCharType="end"/>
            </w:r>
          </w:hyperlink>
        </w:p>
        <w:p w14:paraId="3301CF8C" w14:textId="28F2C96B"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05" w:history="1">
            <w:r w:rsidR="00691D4D" w:rsidRPr="00163BF5">
              <w:rPr>
                <w:rStyle w:val="Hipervnculo"/>
                <w:rFonts w:ascii="Times New Roman" w:hAnsi="Times New Roman" w:cs="Times New Roman"/>
                <w:noProof/>
                <w:color w:val="000000" w:themeColor="text1"/>
                <w:sz w:val="24"/>
                <w:szCs w:val="24"/>
              </w:rPr>
              <w:t>3.3.1.</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Estándar de oficiosidad</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_Toc67513405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58</w:t>
            </w:r>
            <w:r w:rsidR="00691D4D" w:rsidRPr="00163BF5">
              <w:rPr>
                <w:rFonts w:ascii="Times New Roman" w:hAnsi="Times New Roman" w:cs="Times New Roman"/>
                <w:noProof/>
                <w:webHidden/>
                <w:color w:val="000000" w:themeColor="text1"/>
                <w:sz w:val="24"/>
                <w:szCs w:val="24"/>
              </w:rPr>
              <w:fldChar w:fldCharType="end"/>
            </w:r>
          </w:hyperlink>
        </w:p>
        <w:p w14:paraId="6783FDA8" w14:textId="174304CE"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06" w:history="1">
            <w:r w:rsidR="00691D4D" w:rsidRPr="00163BF5">
              <w:rPr>
                <w:rStyle w:val="Hipervnculo"/>
                <w:rFonts w:ascii="Times New Roman" w:hAnsi="Times New Roman" w:cs="Times New Roman"/>
                <w:noProof/>
                <w:color w:val="000000" w:themeColor="text1"/>
                <w:sz w:val="24"/>
                <w:szCs w:val="24"/>
              </w:rPr>
              <w:t>3.3.2.</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Estándar de oportunidad</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_Toc67513406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59</w:t>
            </w:r>
            <w:r w:rsidR="00691D4D" w:rsidRPr="00163BF5">
              <w:rPr>
                <w:rFonts w:ascii="Times New Roman" w:hAnsi="Times New Roman" w:cs="Times New Roman"/>
                <w:noProof/>
                <w:webHidden/>
                <w:color w:val="000000" w:themeColor="text1"/>
                <w:sz w:val="24"/>
                <w:szCs w:val="24"/>
              </w:rPr>
              <w:fldChar w:fldCharType="end"/>
            </w:r>
          </w:hyperlink>
        </w:p>
        <w:p w14:paraId="4DA70107" w14:textId="2C8C8CD4"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07" w:history="1">
            <w:r w:rsidR="00691D4D" w:rsidRPr="00163BF5">
              <w:rPr>
                <w:rStyle w:val="Hipervnculo"/>
                <w:rFonts w:ascii="Times New Roman" w:hAnsi="Times New Roman" w:cs="Times New Roman"/>
                <w:noProof/>
                <w:color w:val="000000" w:themeColor="text1"/>
                <w:sz w:val="24"/>
                <w:szCs w:val="24"/>
              </w:rPr>
              <w:t>3.3.3.</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Estándar de competencia</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_Toc67513407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64</w:t>
            </w:r>
            <w:r w:rsidR="00691D4D" w:rsidRPr="00163BF5">
              <w:rPr>
                <w:rFonts w:ascii="Times New Roman" w:hAnsi="Times New Roman" w:cs="Times New Roman"/>
                <w:noProof/>
                <w:webHidden/>
                <w:color w:val="000000" w:themeColor="text1"/>
                <w:sz w:val="24"/>
                <w:szCs w:val="24"/>
              </w:rPr>
              <w:fldChar w:fldCharType="end"/>
            </w:r>
          </w:hyperlink>
        </w:p>
        <w:p w14:paraId="1ADF5212" w14:textId="4A426F9B"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08" w:history="1">
            <w:r w:rsidR="00691D4D" w:rsidRPr="00163BF5">
              <w:rPr>
                <w:rStyle w:val="Hipervnculo"/>
                <w:rFonts w:ascii="Times New Roman" w:hAnsi="Times New Roman" w:cs="Times New Roman"/>
                <w:noProof/>
                <w:color w:val="000000" w:themeColor="text1"/>
                <w:sz w:val="24"/>
                <w:szCs w:val="24"/>
              </w:rPr>
              <w:t>3.3.4.</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Estándar de independencia e imparcialidad de las autoridades a cargo de la investigación.</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_Toc67513408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65</w:t>
            </w:r>
            <w:r w:rsidR="00691D4D" w:rsidRPr="00163BF5">
              <w:rPr>
                <w:rFonts w:ascii="Times New Roman" w:hAnsi="Times New Roman" w:cs="Times New Roman"/>
                <w:noProof/>
                <w:webHidden/>
                <w:color w:val="000000" w:themeColor="text1"/>
                <w:sz w:val="24"/>
                <w:szCs w:val="24"/>
              </w:rPr>
              <w:fldChar w:fldCharType="end"/>
            </w:r>
          </w:hyperlink>
        </w:p>
        <w:p w14:paraId="045C3EEE" w14:textId="7BAB30BC"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09" w:history="1">
            <w:r w:rsidR="00691D4D" w:rsidRPr="00163BF5">
              <w:rPr>
                <w:rStyle w:val="Hipervnculo"/>
                <w:rFonts w:ascii="Times New Roman" w:hAnsi="Times New Roman" w:cs="Times New Roman"/>
                <w:noProof/>
                <w:color w:val="000000" w:themeColor="text1"/>
                <w:sz w:val="24"/>
                <w:szCs w:val="24"/>
              </w:rPr>
              <w:t>3.3.5.</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Estándar de exhaustividad</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_Toc67513409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66</w:t>
            </w:r>
            <w:r w:rsidR="00691D4D" w:rsidRPr="00163BF5">
              <w:rPr>
                <w:rFonts w:ascii="Times New Roman" w:hAnsi="Times New Roman" w:cs="Times New Roman"/>
                <w:noProof/>
                <w:webHidden/>
                <w:color w:val="000000" w:themeColor="text1"/>
                <w:sz w:val="24"/>
                <w:szCs w:val="24"/>
              </w:rPr>
              <w:fldChar w:fldCharType="end"/>
            </w:r>
          </w:hyperlink>
        </w:p>
        <w:p w14:paraId="61E6E163" w14:textId="620B2585"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10" w:history="1">
            <w:r w:rsidR="00691D4D" w:rsidRPr="00163BF5">
              <w:rPr>
                <w:rStyle w:val="Hipervnculo"/>
                <w:rFonts w:ascii="Times New Roman" w:hAnsi="Times New Roman" w:cs="Times New Roman"/>
                <w:noProof/>
                <w:color w:val="000000" w:themeColor="text1"/>
                <w:sz w:val="24"/>
                <w:szCs w:val="24"/>
              </w:rPr>
              <w:t>3.3.6.</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Estándar de participación de las víctimas y sus familiares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_Toc67513410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67</w:t>
            </w:r>
            <w:r w:rsidR="00691D4D" w:rsidRPr="00163BF5">
              <w:rPr>
                <w:rFonts w:ascii="Times New Roman" w:hAnsi="Times New Roman" w:cs="Times New Roman"/>
                <w:noProof/>
                <w:webHidden/>
                <w:color w:val="000000" w:themeColor="text1"/>
                <w:sz w:val="24"/>
                <w:szCs w:val="24"/>
              </w:rPr>
              <w:fldChar w:fldCharType="end"/>
            </w:r>
          </w:hyperlink>
        </w:p>
        <w:p w14:paraId="71618441" w14:textId="271ADE68" w:rsidR="00691D4D" w:rsidRPr="00163BF5" w:rsidRDefault="00AC3DEC" w:rsidP="00691D4D">
          <w:pPr>
            <w:pStyle w:val="TDC3"/>
            <w:tabs>
              <w:tab w:val="left" w:pos="110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11" w:history="1">
            <w:r w:rsidR="00691D4D" w:rsidRPr="00163BF5">
              <w:rPr>
                <w:rStyle w:val="Hipervnculo"/>
                <w:rFonts w:ascii="Times New Roman" w:eastAsia="Times New Roman" w:hAnsi="Times New Roman" w:cs="Times New Roman"/>
                <w:noProof/>
                <w:color w:val="000000" w:themeColor="text1"/>
                <w:sz w:val="24"/>
                <w:szCs w:val="24"/>
              </w:rPr>
              <w:t>3.4.</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eastAsia="Times New Roman" w:hAnsi="Times New Roman" w:cs="Times New Roman"/>
                <w:noProof/>
                <w:color w:val="000000" w:themeColor="text1"/>
                <w:sz w:val="24"/>
                <w:szCs w:val="24"/>
              </w:rPr>
              <w:t>La Ley Orgánica de Actuación en Casos de Personas Desaparecidas y Extraviadas y el estándar de Debida Diligencia</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_Toc67513411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68</w:t>
            </w:r>
            <w:r w:rsidR="00691D4D" w:rsidRPr="00163BF5">
              <w:rPr>
                <w:rFonts w:ascii="Times New Roman" w:hAnsi="Times New Roman" w:cs="Times New Roman"/>
                <w:noProof/>
                <w:webHidden/>
                <w:color w:val="000000" w:themeColor="text1"/>
                <w:sz w:val="24"/>
                <w:szCs w:val="24"/>
              </w:rPr>
              <w:fldChar w:fldCharType="end"/>
            </w:r>
          </w:hyperlink>
        </w:p>
        <w:p w14:paraId="451BA407" w14:textId="57929636"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12" w:history="1">
            <w:r w:rsidR="00691D4D" w:rsidRPr="00163BF5">
              <w:rPr>
                <w:rStyle w:val="Hipervnculo"/>
                <w:rFonts w:ascii="Times New Roman" w:hAnsi="Times New Roman" w:cs="Times New Roman"/>
                <w:noProof/>
                <w:color w:val="000000" w:themeColor="text1"/>
                <w:sz w:val="24"/>
                <w:szCs w:val="24"/>
              </w:rPr>
              <w:t>3.4.1.</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Antecedentes de la Ley Orgánica de Actuación en Casos de Personas Desaparecidas y Extraviadas.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_Toc67513412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69</w:t>
            </w:r>
            <w:r w:rsidR="00691D4D" w:rsidRPr="00163BF5">
              <w:rPr>
                <w:rFonts w:ascii="Times New Roman" w:hAnsi="Times New Roman" w:cs="Times New Roman"/>
                <w:noProof/>
                <w:webHidden/>
                <w:color w:val="000000" w:themeColor="text1"/>
                <w:sz w:val="24"/>
                <w:szCs w:val="24"/>
              </w:rPr>
              <w:fldChar w:fldCharType="end"/>
            </w:r>
          </w:hyperlink>
        </w:p>
        <w:p w14:paraId="50708878" w14:textId="72DFA6F7"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13" w:history="1">
            <w:r w:rsidR="00691D4D" w:rsidRPr="00163BF5">
              <w:rPr>
                <w:rStyle w:val="Hipervnculo"/>
                <w:rFonts w:ascii="Times New Roman" w:hAnsi="Times New Roman" w:cs="Times New Roman"/>
                <w:noProof/>
                <w:color w:val="000000" w:themeColor="text1"/>
                <w:sz w:val="24"/>
                <w:szCs w:val="24"/>
              </w:rPr>
              <w:t>3.4.2.</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El Estándar de debida diligencia en la Ley Orgánica de Actuación en Casos de Personas Desaparecidas y Extraviadas en casos de desaparición involuntaria.</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_Toc67513413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71</w:t>
            </w:r>
            <w:r w:rsidR="00691D4D" w:rsidRPr="00163BF5">
              <w:rPr>
                <w:rFonts w:ascii="Times New Roman" w:hAnsi="Times New Roman" w:cs="Times New Roman"/>
                <w:noProof/>
                <w:webHidden/>
                <w:color w:val="000000" w:themeColor="text1"/>
                <w:sz w:val="24"/>
                <w:szCs w:val="24"/>
              </w:rPr>
              <w:fldChar w:fldCharType="end"/>
            </w:r>
          </w:hyperlink>
        </w:p>
        <w:p w14:paraId="08303AF7" w14:textId="10FDDAB2"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14" w:history="1">
            <w:r w:rsidR="00691D4D" w:rsidRPr="00163BF5">
              <w:rPr>
                <w:rStyle w:val="Hipervnculo"/>
                <w:rFonts w:ascii="Times New Roman" w:hAnsi="Times New Roman" w:cs="Times New Roman"/>
                <w:noProof/>
                <w:color w:val="000000" w:themeColor="text1"/>
                <w:sz w:val="24"/>
                <w:szCs w:val="24"/>
              </w:rPr>
              <w:t>3.4.2.1.</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Estándar de oficiosidad de la Corte Interamericana de Derechos Humanos en la Ley Orgánica de Actuación en casos de Personas Desaparecidas y Extraviadas.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_Toc67513414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71</w:t>
            </w:r>
            <w:r w:rsidR="00691D4D" w:rsidRPr="00163BF5">
              <w:rPr>
                <w:rFonts w:ascii="Times New Roman" w:hAnsi="Times New Roman" w:cs="Times New Roman"/>
                <w:noProof/>
                <w:webHidden/>
                <w:color w:val="000000" w:themeColor="text1"/>
                <w:sz w:val="24"/>
                <w:szCs w:val="24"/>
              </w:rPr>
              <w:fldChar w:fldCharType="end"/>
            </w:r>
          </w:hyperlink>
        </w:p>
        <w:p w14:paraId="3D52C144" w14:textId="3A3B05B9"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15" w:history="1">
            <w:r w:rsidR="00691D4D" w:rsidRPr="00163BF5">
              <w:rPr>
                <w:rStyle w:val="Hipervnculo"/>
                <w:rFonts w:ascii="Times New Roman" w:hAnsi="Times New Roman" w:cs="Times New Roman"/>
                <w:noProof/>
                <w:color w:val="000000" w:themeColor="text1"/>
                <w:sz w:val="24"/>
                <w:szCs w:val="24"/>
              </w:rPr>
              <w:t>3.4.2.2.</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Estándar de oportunidad de la Corte Interamericana de Derechos Humanos en la Ley Orgánica de Personas Desaparecidas y Extraviadas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_Toc67513415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72</w:t>
            </w:r>
            <w:r w:rsidR="00691D4D" w:rsidRPr="00163BF5">
              <w:rPr>
                <w:rFonts w:ascii="Times New Roman" w:hAnsi="Times New Roman" w:cs="Times New Roman"/>
                <w:noProof/>
                <w:webHidden/>
                <w:color w:val="000000" w:themeColor="text1"/>
                <w:sz w:val="24"/>
                <w:szCs w:val="24"/>
              </w:rPr>
              <w:fldChar w:fldCharType="end"/>
            </w:r>
          </w:hyperlink>
        </w:p>
        <w:p w14:paraId="2ACD15A3" w14:textId="01FF908E"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16" w:history="1">
            <w:r w:rsidR="00691D4D" w:rsidRPr="00163BF5">
              <w:rPr>
                <w:rStyle w:val="Hipervnculo"/>
                <w:rFonts w:ascii="Times New Roman" w:hAnsi="Times New Roman" w:cs="Times New Roman"/>
                <w:noProof/>
                <w:color w:val="000000" w:themeColor="text1"/>
                <w:sz w:val="24"/>
                <w:szCs w:val="24"/>
              </w:rPr>
              <w:t>3.4.2.3.</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Estándar de competencia de la Corte Interamericana de Derechos Humanos en la Ley Orgánica de Actuación en casos de Personas Desaparecidas y Extraviadas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_Toc67513416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75</w:t>
            </w:r>
            <w:r w:rsidR="00691D4D" w:rsidRPr="00163BF5">
              <w:rPr>
                <w:rFonts w:ascii="Times New Roman" w:hAnsi="Times New Roman" w:cs="Times New Roman"/>
                <w:noProof/>
                <w:webHidden/>
                <w:color w:val="000000" w:themeColor="text1"/>
                <w:sz w:val="24"/>
                <w:szCs w:val="24"/>
              </w:rPr>
              <w:fldChar w:fldCharType="end"/>
            </w:r>
          </w:hyperlink>
        </w:p>
        <w:p w14:paraId="18C3D014" w14:textId="32959FFC"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17" w:history="1">
            <w:r w:rsidR="00691D4D" w:rsidRPr="00163BF5">
              <w:rPr>
                <w:rStyle w:val="Hipervnculo"/>
                <w:rFonts w:ascii="Times New Roman" w:hAnsi="Times New Roman" w:cs="Times New Roman"/>
                <w:noProof/>
                <w:color w:val="000000" w:themeColor="text1"/>
                <w:sz w:val="24"/>
                <w:szCs w:val="24"/>
              </w:rPr>
              <w:t>3.4.2.4.</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Estándar de independencia e imparcialidad de las autoridades a cargo de la investigación de la Corte Interamericana de Derechos Humanos en la Ley Orgánica de Actuación en casos de Personas Desaparecidas y Extraviadas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_Toc67513417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76</w:t>
            </w:r>
            <w:r w:rsidR="00691D4D" w:rsidRPr="00163BF5">
              <w:rPr>
                <w:rFonts w:ascii="Times New Roman" w:hAnsi="Times New Roman" w:cs="Times New Roman"/>
                <w:noProof/>
                <w:webHidden/>
                <w:color w:val="000000" w:themeColor="text1"/>
                <w:sz w:val="24"/>
                <w:szCs w:val="24"/>
              </w:rPr>
              <w:fldChar w:fldCharType="end"/>
            </w:r>
          </w:hyperlink>
        </w:p>
        <w:p w14:paraId="2B125C25" w14:textId="4E112E7E"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18" w:history="1">
            <w:r w:rsidR="00691D4D" w:rsidRPr="00163BF5">
              <w:rPr>
                <w:rStyle w:val="Hipervnculo"/>
                <w:rFonts w:ascii="Times New Roman" w:hAnsi="Times New Roman" w:cs="Times New Roman"/>
                <w:noProof/>
                <w:color w:val="000000" w:themeColor="text1"/>
                <w:sz w:val="24"/>
                <w:szCs w:val="24"/>
              </w:rPr>
              <w:t>3.4.2.5.</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Estándar de exhaustividad de la Corte Interamericana de Derechos Humanos en la Ley Orgánica de Actuación en casos de Personas Desaparecidas y Extraviadas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_Toc67513418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78</w:t>
            </w:r>
            <w:r w:rsidR="00691D4D" w:rsidRPr="00163BF5">
              <w:rPr>
                <w:rFonts w:ascii="Times New Roman" w:hAnsi="Times New Roman" w:cs="Times New Roman"/>
                <w:noProof/>
                <w:webHidden/>
                <w:color w:val="000000" w:themeColor="text1"/>
                <w:sz w:val="24"/>
                <w:szCs w:val="24"/>
              </w:rPr>
              <w:fldChar w:fldCharType="end"/>
            </w:r>
          </w:hyperlink>
        </w:p>
        <w:p w14:paraId="7A65B8DA" w14:textId="760BDAC9" w:rsidR="00691D4D" w:rsidRPr="00163BF5" w:rsidRDefault="00AC3DEC" w:rsidP="00691D4D">
          <w:pPr>
            <w:pStyle w:val="TDC4"/>
            <w:tabs>
              <w:tab w:val="left" w:pos="1540"/>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19" w:history="1">
            <w:r w:rsidR="00691D4D" w:rsidRPr="00163BF5">
              <w:rPr>
                <w:rStyle w:val="Hipervnculo"/>
                <w:rFonts w:ascii="Times New Roman" w:hAnsi="Times New Roman" w:cs="Times New Roman"/>
                <w:noProof/>
                <w:color w:val="000000" w:themeColor="text1"/>
                <w:sz w:val="24"/>
                <w:szCs w:val="24"/>
              </w:rPr>
              <w:t>3.4.2.6.</w:t>
            </w:r>
            <w:r w:rsidR="00691D4D" w:rsidRPr="00163BF5">
              <w:rPr>
                <w:rFonts w:ascii="Times New Roman" w:eastAsiaTheme="minorEastAsia" w:hAnsi="Times New Roman" w:cs="Times New Roman"/>
                <w:noProof/>
                <w:color w:val="000000" w:themeColor="text1"/>
                <w:sz w:val="24"/>
                <w:szCs w:val="24"/>
                <w:lang w:eastAsia="es-MX"/>
              </w:rPr>
              <w:tab/>
            </w:r>
            <w:r w:rsidR="00691D4D" w:rsidRPr="00163BF5">
              <w:rPr>
                <w:rStyle w:val="Hipervnculo"/>
                <w:rFonts w:ascii="Times New Roman" w:hAnsi="Times New Roman" w:cs="Times New Roman"/>
                <w:noProof/>
                <w:color w:val="000000" w:themeColor="text1"/>
                <w:sz w:val="24"/>
                <w:szCs w:val="24"/>
              </w:rPr>
              <w:t>Estándar de participación de las víctimas y sus familiares de la Corte Interamericana de Derechos Humanos en la Ley Orgánica de Actuación en casos de Personas Desaparecidas y Extraviadas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_Toc67513419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78</w:t>
            </w:r>
            <w:r w:rsidR="00691D4D" w:rsidRPr="00163BF5">
              <w:rPr>
                <w:rFonts w:ascii="Times New Roman" w:hAnsi="Times New Roman" w:cs="Times New Roman"/>
                <w:noProof/>
                <w:webHidden/>
                <w:color w:val="000000" w:themeColor="text1"/>
                <w:sz w:val="24"/>
                <w:szCs w:val="24"/>
              </w:rPr>
              <w:fldChar w:fldCharType="end"/>
            </w:r>
          </w:hyperlink>
        </w:p>
        <w:p w14:paraId="2B7172FD" w14:textId="72B70AC3" w:rsidR="00691D4D" w:rsidRPr="00163BF5" w:rsidRDefault="00AC3DEC" w:rsidP="00691D4D">
          <w:pPr>
            <w:pStyle w:val="TDC1"/>
            <w:tabs>
              <w:tab w:val="right" w:leader="dot" w:pos="9016"/>
            </w:tabs>
            <w:spacing w:line="240" w:lineRule="auto"/>
            <w:rPr>
              <w:rFonts w:ascii="Times New Roman" w:eastAsiaTheme="minorEastAsia" w:hAnsi="Times New Roman" w:cs="Times New Roman"/>
              <w:b w:val="0"/>
              <w:bCs w:val="0"/>
              <w:i w:val="0"/>
              <w:iCs w:val="0"/>
              <w:noProof/>
              <w:color w:val="000000" w:themeColor="text1"/>
              <w:lang w:eastAsia="es-MX"/>
            </w:rPr>
          </w:pPr>
          <w:hyperlink w:anchor="_Toc67513420" w:history="1">
            <w:r w:rsidR="00691D4D" w:rsidRPr="00163BF5">
              <w:rPr>
                <w:rStyle w:val="Hipervnculo"/>
                <w:rFonts w:ascii="Times New Roman" w:eastAsia="Times New Roman" w:hAnsi="Times New Roman" w:cs="Times New Roman"/>
                <w:noProof/>
                <w:color w:val="000000" w:themeColor="text1"/>
                <w:lang w:eastAsia="es-ES_tradnl"/>
              </w:rPr>
              <w:t>CONCLUSIONES Y RECOMENDACIONES</w:t>
            </w:r>
            <w:r w:rsidR="00691D4D" w:rsidRPr="00163BF5">
              <w:rPr>
                <w:rFonts w:ascii="Times New Roman" w:hAnsi="Times New Roman" w:cs="Times New Roman"/>
                <w:noProof/>
                <w:webHidden/>
                <w:color w:val="000000" w:themeColor="text1"/>
              </w:rPr>
              <w:tab/>
            </w:r>
            <w:r w:rsidR="00691D4D" w:rsidRPr="00163BF5">
              <w:rPr>
                <w:rFonts w:ascii="Times New Roman" w:hAnsi="Times New Roman" w:cs="Times New Roman"/>
                <w:noProof/>
                <w:webHidden/>
                <w:color w:val="000000" w:themeColor="text1"/>
              </w:rPr>
              <w:fldChar w:fldCharType="begin"/>
            </w:r>
            <w:r w:rsidR="00691D4D" w:rsidRPr="00163BF5">
              <w:rPr>
                <w:rFonts w:ascii="Times New Roman" w:hAnsi="Times New Roman" w:cs="Times New Roman"/>
                <w:noProof/>
                <w:webHidden/>
                <w:color w:val="000000" w:themeColor="text1"/>
              </w:rPr>
              <w:instrText xml:space="preserve"> PAGEREF _Toc67513420 \h </w:instrText>
            </w:r>
            <w:r w:rsidR="00691D4D" w:rsidRPr="00163BF5">
              <w:rPr>
                <w:rFonts w:ascii="Times New Roman" w:hAnsi="Times New Roman" w:cs="Times New Roman"/>
                <w:noProof/>
                <w:webHidden/>
                <w:color w:val="000000" w:themeColor="text1"/>
              </w:rPr>
            </w:r>
            <w:r w:rsidR="00691D4D" w:rsidRPr="00163BF5">
              <w:rPr>
                <w:rFonts w:ascii="Times New Roman" w:hAnsi="Times New Roman" w:cs="Times New Roman"/>
                <w:noProof/>
                <w:webHidden/>
                <w:color w:val="000000" w:themeColor="text1"/>
              </w:rPr>
              <w:fldChar w:fldCharType="separate"/>
            </w:r>
            <w:r w:rsidR="00D933BD" w:rsidRPr="00163BF5">
              <w:rPr>
                <w:rFonts w:ascii="Times New Roman" w:hAnsi="Times New Roman" w:cs="Times New Roman"/>
                <w:noProof/>
                <w:webHidden/>
                <w:color w:val="000000" w:themeColor="text1"/>
              </w:rPr>
              <w:t>81</w:t>
            </w:r>
            <w:r w:rsidR="00691D4D" w:rsidRPr="00163BF5">
              <w:rPr>
                <w:rFonts w:ascii="Times New Roman" w:hAnsi="Times New Roman" w:cs="Times New Roman"/>
                <w:noProof/>
                <w:webHidden/>
                <w:color w:val="000000" w:themeColor="text1"/>
              </w:rPr>
              <w:fldChar w:fldCharType="end"/>
            </w:r>
          </w:hyperlink>
        </w:p>
        <w:p w14:paraId="3A552E0D" w14:textId="67B7A988" w:rsidR="00691D4D" w:rsidRPr="00163BF5" w:rsidRDefault="00AC3DEC" w:rsidP="00691D4D">
          <w:pPr>
            <w:pStyle w:val="TDC2"/>
            <w:tabs>
              <w:tab w:val="right" w:leader="dot" w:pos="9016"/>
            </w:tabs>
            <w:spacing w:line="240" w:lineRule="auto"/>
            <w:rPr>
              <w:rFonts w:ascii="Times New Roman" w:eastAsiaTheme="minorEastAsia" w:hAnsi="Times New Roman" w:cs="Times New Roman"/>
              <w:b w:val="0"/>
              <w:bCs w:val="0"/>
              <w:noProof/>
              <w:color w:val="000000" w:themeColor="text1"/>
              <w:sz w:val="24"/>
              <w:szCs w:val="24"/>
              <w:lang w:eastAsia="es-MX"/>
            </w:rPr>
          </w:pPr>
          <w:hyperlink w:anchor="_Toc67513421" w:history="1">
            <w:r w:rsidR="00691D4D" w:rsidRPr="00163BF5">
              <w:rPr>
                <w:rStyle w:val="Hipervnculo"/>
                <w:rFonts w:ascii="Times New Roman" w:eastAsia="Times New Roman" w:hAnsi="Times New Roman" w:cs="Times New Roman"/>
                <w:noProof/>
                <w:color w:val="000000" w:themeColor="text1"/>
                <w:sz w:val="24"/>
                <w:szCs w:val="24"/>
                <w:lang w:eastAsia="es-ES_tradnl"/>
              </w:rPr>
              <w:t>CONCLUSIONES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_Toc67513421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81</w:t>
            </w:r>
            <w:r w:rsidR="00691D4D" w:rsidRPr="00163BF5">
              <w:rPr>
                <w:rFonts w:ascii="Times New Roman" w:hAnsi="Times New Roman" w:cs="Times New Roman"/>
                <w:noProof/>
                <w:webHidden/>
                <w:color w:val="000000" w:themeColor="text1"/>
                <w:sz w:val="24"/>
                <w:szCs w:val="24"/>
              </w:rPr>
              <w:fldChar w:fldCharType="end"/>
            </w:r>
          </w:hyperlink>
        </w:p>
        <w:p w14:paraId="70D46FE7" w14:textId="06643A36" w:rsidR="00691D4D" w:rsidRPr="00163BF5" w:rsidRDefault="00AC3DEC" w:rsidP="00691D4D">
          <w:pPr>
            <w:pStyle w:val="TDC2"/>
            <w:tabs>
              <w:tab w:val="right" w:leader="dot" w:pos="9016"/>
            </w:tabs>
            <w:spacing w:line="240" w:lineRule="auto"/>
            <w:rPr>
              <w:rFonts w:ascii="Times New Roman" w:eastAsiaTheme="minorEastAsia" w:hAnsi="Times New Roman" w:cs="Times New Roman"/>
              <w:b w:val="0"/>
              <w:bCs w:val="0"/>
              <w:noProof/>
              <w:color w:val="000000" w:themeColor="text1"/>
              <w:sz w:val="24"/>
              <w:szCs w:val="24"/>
              <w:lang w:eastAsia="es-MX"/>
            </w:rPr>
          </w:pPr>
          <w:hyperlink w:anchor="_Toc67513422" w:history="1">
            <w:r w:rsidR="00691D4D" w:rsidRPr="00163BF5">
              <w:rPr>
                <w:rStyle w:val="Hipervnculo"/>
                <w:rFonts w:ascii="Times New Roman" w:eastAsia="Times New Roman" w:hAnsi="Times New Roman" w:cs="Times New Roman"/>
                <w:noProof/>
                <w:color w:val="000000" w:themeColor="text1"/>
                <w:sz w:val="24"/>
                <w:szCs w:val="24"/>
                <w:lang w:eastAsia="es-ES_tradnl"/>
              </w:rPr>
              <w:t>RECOMENDACIONES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_Toc67513422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84</w:t>
            </w:r>
            <w:r w:rsidR="00691D4D" w:rsidRPr="00163BF5">
              <w:rPr>
                <w:rFonts w:ascii="Times New Roman" w:hAnsi="Times New Roman" w:cs="Times New Roman"/>
                <w:noProof/>
                <w:webHidden/>
                <w:color w:val="000000" w:themeColor="text1"/>
                <w:sz w:val="24"/>
                <w:szCs w:val="24"/>
              </w:rPr>
              <w:fldChar w:fldCharType="end"/>
            </w:r>
          </w:hyperlink>
        </w:p>
        <w:p w14:paraId="20D5E030" w14:textId="53FB5418" w:rsidR="00691D4D" w:rsidRPr="00163BF5" w:rsidRDefault="00AC3DEC" w:rsidP="00691D4D">
          <w:pPr>
            <w:pStyle w:val="TDC1"/>
            <w:tabs>
              <w:tab w:val="right" w:leader="dot" w:pos="9016"/>
            </w:tabs>
            <w:spacing w:line="240" w:lineRule="auto"/>
            <w:rPr>
              <w:rFonts w:ascii="Times New Roman" w:eastAsiaTheme="minorEastAsia" w:hAnsi="Times New Roman" w:cs="Times New Roman"/>
              <w:b w:val="0"/>
              <w:bCs w:val="0"/>
              <w:i w:val="0"/>
              <w:iCs w:val="0"/>
              <w:noProof/>
              <w:color w:val="000000" w:themeColor="text1"/>
              <w:lang w:eastAsia="es-MX"/>
            </w:rPr>
          </w:pPr>
          <w:hyperlink w:anchor="_Toc67513423" w:history="1">
            <w:r w:rsidR="00691D4D" w:rsidRPr="00163BF5">
              <w:rPr>
                <w:rStyle w:val="Hipervnculo"/>
                <w:rFonts w:ascii="Times New Roman" w:hAnsi="Times New Roman" w:cs="Times New Roman"/>
                <w:noProof/>
                <w:color w:val="000000" w:themeColor="text1"/>
              </w:rPr>
              <w:t>BIBLIOGRAFÍA:</w:t>
            </w:r>
            <w:r w:rsidR="00691D4D" w:rsidRPr="00163BF5">
              <w:rPr>
                <w:rFonts w:ascii="Times New Roman" w:hAnsi="Times New Roman" w:cs="Times New Roman"/>
                <w:noProof/>
                <w:webHidden/>
                <w:color w:val="000000" w:themeColor="text1"/>
              </w:rPr>
              <w:tab/>
            </w:r>
            <w:r w:rsidR="00691D4D" w:rsidRPr="00163BF5">
              <w:rPr>
                <w:rFonts w:ascii="Times New Roman" w:hAnsi="Times New Roman" w:cs="Times New Roman"/>
                <w:noProof/>
                <w:webHidden/>
                <w:color w:val="000000" w:themeColor="text1"/>
              </w:rPr>
              <w:fldChar w:fldCharType="begin"/>
            </w:r>
            <w:r w:rsidR="00691D4D" w:rsidRPr="00163BF5">
              <w:rPr>
                <w:rFonts w:ascii="Times New Roman" w:hAnsi="Times New Roman" w:cs="Times New Roman"/>
                <w:noProof/>
                <w:webHidden/>
                <w:color w:val="000000" w:themeColor="text1"/>
              </w:rPr>
              <w:instrText xml:space="preserve"> PAGEREF _Toc67513423 \h </w:instrText>
            </w:r>
            <w:r w:rsidR="00691D4D" w:rsidRPr="00163BF5">
              <w:rPr>
                <w:rFonts w:ascii="Times New Roman" w:hAnsi="Times New Roman" w:cs="Times New Roman"/>
                <w:noProof/>
                <w:webHidden/>
                <w:color w:val="000000" w:themeColor="text1"/>
              </w:rPr>
            </w:r>
            <w:r w:rsidR="00691D4D" w:rsidRPr="00163BF5">
              <w:rPr>
                <w:rFonts w:ascii="Times New Roman" w:hAnsi="Times New Roman" w:cs="Times New Roman"/>
                <w:noProof/>
                <w:webHidden/>
                <w:color w:val="000000" w:themeColor="text1"/>
              </w:rPr>
              <w:fldChar w:fldCharType="separate"/>
            </w:r>
            <w:r w:rsidR="00D933BD" w:rsidRPr="00163BF5">
              <w:rPr>
                <w:rFonts w:ascii="Times New Roman" w:hAnsi="Times New Roman" w:cs="Times New Roman"/>
                <w:noProof/>
                <w:webHidden/>
                <w:color w:val="000000" w:themeColor="text1"/>
              </w:rPr>
              <w:t>85</w:t>
            </w:r>
            <w:r w:rsidR="00691D4D" w:rsidRPr="00163BF5">
              <w:rPr>
                <w:rFonts w:ascii="Times New Roman" w:hAnsi="Times New Roman" w:cs="Times New Roman"/>
                <w:noProof/>
                <w:webHidden/>
                <w:color w:val="000000" w:themeColor="text1"/>
              </w:rPr>
              <w:fldChar w:fldCharType="end"/>
            </w:r>
          </w:hyperlink>
        </w:p>
        <w:p w14:paraId="4806613C" w14:textId="0A551E24" w:rsidR="00691D4D" w:rsidRPr="00163BF5" w:rsidRDefault="00AC3DEC" w:rsidP="00691D4D">
          <w:pPr>
            <w:pStyle w:val="TDC2"/>
            <w:tabs>
              <w:tab w:val="right" w:leader="dot" w:pos="9016"/>
            </w:tabs>
            <w:spacing w:line="240" w:lineRule="auto"/>
            <w:rPr>
              <w:rFonts w:ascii="Times New Roman" w:eastAsiaTheme="minorEastAsia" w:hAnsi="Times New Roman" w:cs="Times New Roman"/>
              <w:b w:val="0"/>
              <w:bCs w:val="0"/>
              <w:noProof/>
              <w:color w:val="000000" w:themeColor="text1"/>
              <w:sz w:val="24"/>
              <w:szCs w:val="24"/>
              <w:lang w:eastAsia="es-MX"/>
            </w:rPr>
          </w:pPr>
          <w:hyperlink w:anchor="_Toc67513424" w:history="1">
            <w:r w:rsidR="00691D4D" w:rsidRPr="00163BF5">
              <w:rPr>
                <w:rStyle w:val="Hipervnculo"/>
                <w:rFonts w:ascii="Times New Roman" w:hAnsi="Times New Roman" w:cs="Times New Roman"/>
                <w:noProof/>
                <w:color w:val="000000" w:themeColor="text1"/>
                <w:sz w:val="24"/>
                <w:szCs w:val="24"/>
                <w:lang w:val="es-ES_tradnl"/>
              </w:rPr>
              <w:t>ANEXOS</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_Toc67513424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94</w:t>
            </w:r>
            <w:r w:rsidR="00691D4D" w:rsidRPr="00163BF5">
              <w:rPr>
                <w:rFonts w:ascii="Times New Roman" w:hAnsi="Times New Roman" w:cs="Times New Roman"/>
                <w:noProof/>
                <w:webHidden/>
                <w:color w:val="000000" w:themeColor="text1"/>
                <w:sz w:val="24"/>
                <w:szCs w:val="24"/>
              </w:rPr>
              <w:fldChar w:fldCharType="end"/>
            </w:r>
          </w:hyperlink>
        </w:p>
        <w:p w14:paraId="37CD25CC" w14:textId="78AC4352" w:rsidR="00691D4D" w:rsidRPr="00163BF5" w:rsidRDefault="00AC3DEC" w:rsidP="00691D4D">
          <w:pPr>
            <w:pStyle w:val="TDC3"/>
            <w:tabs>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25" w:history="1">
            <w:r w:rsidR="00691D4D" w:rsidRPr="00163BF5">
              <w:rPr>
                <w:rStyle w:val="Hipervnculo"/>
                <w:rFonts w:ascii="Times New Roman" w:hAnsi="Times New Roman" w:cs="Times New Roman"/>
                <w:noProof/>
                <w:color w:val="000000" w:themeColor="text1"/>
                <w:sz w:val="24"/>
                <w:szCs w:val="24"/>
                <w:lang w:val="es-ES_tradnl"/>
              </w:rPr>
              <w:t>Anexo 1</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_Toc67513425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94</w:t>
            </w:r>
            <w:r w:rsidR="00691D4D" w:rsidRPr="00163BF5">
              <w:rPr>
                <w:rFonts w:ascii="Times New Roman" w:hAnsi="Times New Roman" w:cs="Times New Roman"/>
                <w:noProof/>
                <w:webHidden/>
                <w:color w:val="000000" w:themeColor="text1"/>
                <w:sz w:val="24"/>
                <w:szCs w:val="24"/>
              </w:rPr>
              <w:fldChar w:fldCharType="end"/>
            </w:r>
          </w:hyperlink>
        </w:p>
        <w:p w14:paraId="542FC545" w14:textId="1CB98FFD" w:rsidR="00691D4D" w:rsidRPr="00163BF5" w:rsidRDefault="00AC3DEC" w:rsidP="00691D4D">
          <w:pPr>
            <w:pStyle w:val="TDC3"/>
            <w:tabs>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26" w:history="1">
            <w:r w:rsidR="00691D4D" w:rsidRPr="00163BF5">
              <w:rPr>
                <w:rStyle w:val="Hipervnculo"/>
                <w:rFonts w:ascii="Times New Roman" w:hAnsi="Times New Roman" w:cs="Times New Roman"/>
                <w:noProof/>
                <w:color w:val="000000" w:themeColor="text1"/>
                <w:sz w:val="24"/>
                <w:szCs w:val="24"/>
                <w:lang w:val="es-ES"/>
              </w:rPr>
              <w:t>Anexo 2</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_Toc67513426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95</w:t>
            </w:r>
            <w:r w:rsidR="00691D4D" w:rsidRPr="00163BF5">
              <w:rPr>
                <w:rFonts w:ascii="Times New Roman" w:hAnsi="Times New Roman" w:cs="Times New Roman"/>
                <w:noProof/>
                <w:webHidden/>
                <w:color w:val="000000" w:themeColor="text1"/>
                <w:sz w:val="24"/>
                <w:szCs w:val="24"/>
              </w:rPr>
              <w:fldChar w:fldCharType="end"/>
            </w:r>
          </w:hyperlink>
        </w:p>
        <w:p w14:paraId="47AFD0D1" w14:textId="4180648E" w:rsidR="00691D4D" w:rsidRPr="00163BF5" w:rsidRDefault="00AC3DEC" w:rsidP="00691D4D">
          <w:pPr>
            <w:pStyle w:val="TDC3"/>
            <w:tabs>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27" w:history="1">
            <w:r w:rsidR="00691D4D" w:rsidRPr="00163BF5">
              <w:rPr>
                <w:rStyle w:val="Hipervnculo"/>
                <w:rFonts w:ascii="Times New Roman" w:hAnsi="Times New Roman" w:cs="Times New Roman"/>
                <w:noProof/>
                <w:color w:val="000000" w:themeColor="text1"/>
                <w:sz w:val="24"/>
                <w:szCs w:val="24"/>
                <w:lang w:val="es-ES"/>
              </w:rPr>
              <w:t>Anexo 3</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_Toc67513427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98</w:t>
            </w:r>
            <w:r w:rsidR="00691D4D" w:rsidRPr="00163BF5">
              <w:rPr>
                <w:rFonts w:ascii="Times New Roman" w:hAnsi="Times New Roman" w:cs="Times New Roman"/>
                <w:noProof/>
                <w:webHidden/>
                <w:color w:val="000000" w:themeColor="text1"/>
                <w:sz w:val="24"/>
                <w:szCs w:val="24"/>
              </w:rPr>
              <w:fldChar w:fldCharType="end"/>
            </w:r>
          </w:hyperlink>
        </w:p>
        <w:p w14:paraId="3EEAB938" w14:textId="587F25A0" w:rsidR="00691D4D" w:rsidRPr="00163BF5" w:rsidRDefault="00AC3DEC" w:rsidP="00691D4D">
          <w:pPr>
            <w:pStyle w:val="TDC3"/>
            <w:tabs>
              <w:tab w:val="right" w:leader="dot" w:pos="9016"/>
            </w:tabs>
            <w:spacing w:line="240" w:lineRule="auto"/>
            <w:rPr>
              <w:rFonts w:ascii="Times New Roman" w:eastAsiaTheme="minorEastAsia" w:hAnsi="Times New Roman" w:cs="Times New Roman"/>
              <w:noProof/>
              <w:color w:val="000000" w:themeColor="text1"/>
              <w:sz w:val="24"/>
              <w:szCs w:val="24"/>
              <w:lang w:eastAsia="es-MX"/>
            </w:rPr>
          </w:pPr>
          <w:hyperlink w:anchor="_Toc67513428" w:history="1">
            <w:r w:rsidR="00691D4D" w:rsidRPr="00163BF5">
              <w:rPr>
                <w:rStyle w:val="Hipervnculo"/>
                <w:rFonts w:ascii="Times New Roman" w:hAnsi="Times New Roman" w:cs="Times New Roman"/>
                <w:noProof/>
                <w:color w:val="000000" w:themeColor="text1"/>
                <w:sz w:val="24"/>
                <w:szCs w:val="24"/>
                <w:lang w:val="es-ES"/>
              </w:rPr>
              <w:t>Anexo 4</w:t>
            </w:r>
            <w:r w:rsidR="00691D4D" w:rsidRPr="00163BF5">
              <w:rPr>
                <w:rFonts w:ascii="Times New Roman" w:hAnsi="Times New Roman" w:cs="Times New Roman"/>
                <w:noProof/>
                <w:webHidden/>
                <w:color w:val="000000" w:themeColor="text1"/>
                <w:sz w:val="24"/>
                <w:szCs w:val="24"/>
              </w:rPr>
              <w:tab/>
            </w:r>
            <w:r w:rsidR="00691D4D" w:rsidRPr="00163BF5">
              <w:rPr>
                <w:rFonts w:ascii="Times New Roman" w:hAnsi="Times New Roman" w:cs="Times New Roman"/>
                <w:noProof/>
                <w:webHidden/>
                <w:color w:val="000000" w:themeColor="text1"/>
                <w:sz w:val="24"/>
                <w:szCs w:val="24"/>
              </w:rPr>
              <w:fldChar w:fldCharType="begin"/>
            </w:r>
            <w:r w:rsidR="00691D4D" w:rsidRPr="00163BF5">
              <w:rPr>
                <w:rFonts w:ascii="Times New Roman" w:hAnsi="Times New Roman" w:cs="Times New Roman"/>
                <w:noProof/>
                <w:webHidden/>
                <w:color w:val="000000" w:themeColor="text1"/>
                <w:sz w:val="24"/>
                <w:szCs w:val="24"/>
              </w:rPr>
              <w:instrText xml:space="preserve"> PAGEREF _Toc67513428 \h </w:instrText>
            </w:r>
            <w:r w:rsidR="00691D4D" w:rsidRPr="00163BF5">
              <w:rPr>
                <w:rFonts w:ascii="Times New Roman" w:hAnsi="Times New Roman" w:cs="Times New Roman"/>
                <w:noProof/>
                <w:webHidden/>
                <w:color w:val="000000" w:themeColor="text1"/>
                <w:sz w:val="24"/>
                <w:szCs w:val="24"/>
              </w:rPr>
            </w:r>
            <w:r w:rsidR="00691D4D" w:rsidRPr="00163BF5">
              <w:rPr>
                <w:rFonts w:ascii="Times New Roman" w:hAnsi="Times New Roman" w:cs="Times New Roman"/>
                <w:noProof/>
                <w:webHidden/>
                <w:color w:val="000000" w:themeColor="text1"/>
                <w:sz w:val="24"/>
                <w:szCs w:val="24"/>
              </w:rPr>
              <w:fldChar w:fldCharType="separate"/>
            </w:r>
            <w:r w:rsidR="00D933BD" w:rsidRPr="00163BF5">
              <w:rPr>
                <w:rFonts w:ascii="Times New Roman" w:hAnsi="Times New Roman" w:cs="Times New Roman"/>
                <w:noProof/>
                <w:webHidden/>
                <w:color w:val="000000" w:themeColor="text1"/>
                <w:sz w:val="24"/>
                <w:szCs w:val="24"/>
              </w:rPr>
              <w:t>100</w:t>
            </w:r>
            <w:r w:rsidR="00691D4D" w:rsidRPr="00163BF5">
              <w:rPr>
                <w:rFonts w:ascii="Times New Roman" w:hAnsi="Times New Roman" w:cs="Times New Roman"/>
                <w:noProof/>
                <w:webHidden/>
                <w:color w:val="000000" w:themeColor="text1"/>
                <w:sz w:val="24"/>
                <w:szCs w:val="24"/>
              </w:rPr>
              <w:fldChar w:fldCharType="end"/>
            </w:r>
          </w:hyperlink>
        </w:p>
        <w:p w14:paraId="4E2082EA" w14:textId="4DD06446" w:rsidR="0048338D" w:rsidRPr="00163BF5" w:rsidRDefault="00FD2635" w:rsidP="00691D4D">
          <w:pPr>
            <w:rPr>
              <w:color w:val="000000" w:themeColor="text1"/>
            </w:rPr>
          </w:pPr>
          <w:r w:rsidRPr="00163BF5">
            <w:rPr>
              <w:i/>
              <w:iCs/>
              <w:color w:val="000000" w:themeColor="text1"/>
            </w:rPr>
            <w:fldChar w:fldCharType="end"/>
          </w:r>
        </w:p>
      </w:sdtContent>
    </w:sdt>
    <w:p w14:paraId="464C60DA" w14:textId="77777777" w:rsidR="00EF2246" w:rsidRPr="00163BF5" w:rsidRDefault="00EF2246" w:rsidP="00691D4D">
      <w:pPr>
        <w:ind w:firstLine="709"/>
        <w:jc w:val="center"/>
        <w:rPr>
          <w:b/>
          <w:color w:val="000000" w:themeColor="text1"/>
          <w:lang w:val="es-ES_tradnl" w:eastAsia="es-ES_tradnl"/>
        </w:rPr>
      </w:pPr>
    </w:p>
    <w:p w14:paraId="6FCE2BB7" w14:textId="77777777" w:rsidR="00EF2246" w:rsidRPr="00163BF5" w:rsidRDefault="00EF2246" w:rsidP="00625A09">
      <w:pPr>
        <w:spacing w:line="480" w:lineRule="auto"/>
        <w:ind w:firstLine="709"/>
        <w:jc w:val="center"/>
        <w:rPr>
          <w:b/>
          <w:color w:val="000000" w:themeColor="text1"/>
          <w:lang w:val="es-ES_tradnl" w:eastAsia="es-ES_tradnl"/>
        </w:rPr>
      </w:pPr>
    </w:p>
    <w:p w14:paraId="0D07041E" w14:textId="77777777" w:rsidR="00EF2246" w:rsidRPr="00163BF5" w:rsidRDefault="00EF2246" w:rsidP="00625A09">
      <w:pPr>
        <w:spacing w:line="480" w:lineRule="auto"/>
        <w:ind w:firstLine="709"/>
        <w:jc w:val="center"/>
        <w:rPr>
          <w:b/>
          <w:color w:val="000000" w:themeColor="text1"/>
          <w:lang w:val="es-ES_tradnl" w:eastAsia="es-ES_tradnl"/>
        </w:rPr>
      </w:pPr>
    </w:p>
    <w:p w14:paraId="6250A1A4" w14:textId="77777777" w:rsidR="00EF2246" w:rsidRPr="00163BF5" w:rsidRDefault="00EF2246" w:rsidP="00625A09">
      <w:pPr>
        <w:spacing w:line="480" w:lineRule="auto"/>
        <w:ind w:firstLine="709"/>
        <w:jc w:val="center"/>
        <w:rPr>
          <w:b/>
          <w:color w:val="000000" w:themeColor="text1"/>
          <w:lang w:val="es-ES_tradnl" w:eastAsia="es-ES_tradnl"/>
        </w:rPr>
      </w:pPr>
    </w:p>
    <w:p w14:paraId="5E6AACE5" w14:textId="77777777" w:rsidR="00EF2246" w:rsidRPr="00163BF5" w:rsidRDefault="00EF2246" w:rsidP="00625A09">
      <w:pPr>
        <w:spacing w:line="480" w:lineRule="auto"/>
        <w:ind w:firstLine="709"/>
        <w:jc w:val="center"/>
        <w:rPr>
          <w:b/>
          <w:color w:val="000000" w:themeColor="text1"/>
          <w:lang w:val="es-ES_tradnl" w:eastAsia="es-ES_tradnl"/>
        </w:rPr>
      </w:pPr>
    </w:p>
    <w:p w14:paraId="3241503A" w14:textId="77777777" w:rsidR="00EF2246" w:rsidRPr="00163BF5" w:rsidRDefault="00EF2246" w:rsidP="00625A09">
      <w:pPr>
        <w:spacing w:line="480" w:lineRule="auto"/>
        <w:ind w:firstLine="709"/>
        <w:jc w:val="center"/>
        <w:rPr>
          <w:b/>
          <w:color w:val="000000" w:themeColor="text1"/>
          <w:lang w:val="es-ES_tradnl" w:eastAsia="es-ES_tradnl"/>
        </w:rPr>
      </w:pPr>
    </w:p>
    <w:p w14:paraId="7F1C2DBD" w14:textId="77777777" w:rsidR="00EF2246" w:rsidRPr="00163BF5" w:rsidRDefault="00EF2246" w:rsidP="00625A09">
      <w:pPr>
        <w:spacing w:line="480" w:lineRule="auto"/>
        <w:ind w:firstLine="709"/>
        <w:jc w:val="center"/>
        <w:rPr>
          <w:b/>
          <w:color w:val="000000" w:themeColor="text1"/>
          <w:lang w:val="es-ES_tradnl" w:eastAsia="es-ES_tradnl"/>
        </w:rPr>
      </w:pPr>
    </w:p>
    <w:p w14:paraId="493C2907" w14:textId="77777777" w:rsidR="00EF2246" w:rsidRPr="00163BF5" w:rsidRDefault="00EF2246" w:rsidP="00625A09">
      <w:pPr>
        <w:spacing w:line="480" w:lineRule="auto"/>
        <w:ind w:firstLine="709"/>
        <w:jc w:val="center"/>
        <w:rPr>
          <w:b/>
          <w:color w:val="000000" w:themeColor="text1"/>
          <w:lang w:val="es-ES_tradnl" w:eastAsia="es-ES_tradnl"/>
        </w:rPr>
      </w:pPr>
    </w:p>
    <w:p w14:paraId="028DAC1A" w14:textId="77777777" w:rsidR="00EF2246" w:rsidRPr="00163BF5" w:rsidRDefault="00EF2246" w:rsidP="00625A09">
      <w:pPr>
        <w:spacing w:line="480" w:lineRule="auto"/>
        <w:ind w:firstLine="709"/>
        <w:jc w:val="center"/>
        <w:rPr>
          <w:b/>
          <w:color w:val="000000" w:themeColor="text1"/>
          <w:lang w:val="es-ES_tradnl" w:eastAsia="es-ES_tradnl"/>
        </w:rPr>
      </w:pPr>
    </w:p>
    <w:p w14:paraId="5552A426" w14:textId="77777777" w:rsidR="00EF2246" w:rsidRPr="00163BF5" w:rsidRDefault="00EF2246" w:rsidP="00625A09">
      <w:pPr>
        <w:spacing w:line="480" w:lineRule="auto"/>
        <w:ind w:firstLine="709"/>
        <w:jc w:val="center"/>
        <w:rPr>
          <w:b/>
          <w:color w:val="000000" w:themeColor="text1"/>
          <w:lang w:val="es-ES_tradnl" w:eastAsia="es-ES_tradnl"/>
        </w:rPr>
      </w:pPr>
    </w:p>
    <w:p w14:paraId="0DF97470" w14:textId="77777777" w:rsidR="00EF2246" w:rsidRPr="00163BF5" w:rsidRDefault="00EF2246" w:rsidP="00625A09">
      <w:pPr>
        <w:spacing w:line="480" w:lineRule="auto"/>
        <w:ind w:firstLine="709"/>
        <w:jc w:val="center"/>
        <w:rPr>
          <w:b/>
          <w:color w:val="000000" w:themeColor="text1"/>
          <w:lang w:val="es-ES_tradnl" w:eastAsia="es-ES_tradnl"/>
        </w:rPr>
      </w:pPr>
    </w:p>
    <w:p w14:paraId="03ABA8B4" w14:textId="77777777" w:rsidR="00EF2246" w:rsidRPr="00163BF5" w:rsidRDefault="00EF2246" w:rsidP="00625A09">
      <w:pPr>
        <w:spacing w:line="480" w:lineRule="auto"/>
        <w:ind w:firstLine="709"/>
        <w:jc w:val="center"/>
        <w:rPr>
          <w:b/>
          <w:color w:val="000000" w:themeColor="text1"/>
          <w:lang w:val="es-ES_tradnl" w:eastAsia="es-ES_tradnl"/>
        </w:rPr>
      </w:pPr>
    </w:p>
    <w:p w14:paraId="4F92A9F8" w14:textId="017364E1" w:rsidR="00EF2246" w:rsidRPr="00163BF5" w:rsidRDefault="00EF2246" w:rsidP="00625A09">
      <w:pPr>
        <w:spacing w:line="480" w:lineRule="auto"/>
        <w:ind w:firstLine="709"/>
        <w:jc w:val="center"/>
        <w:rPr>
          <w:b/>
          <w:color w:val="000000" w:themeColor="text1"/>
          <w:lang w:val="es-ES_tradnl" w:eastAsia="es-ES_tradnl"/>
        </w:rPr>
      </w:pPr>
    </w:p>
    <w:p w14:paraId="42F1AD75" w14:textId="77777777" w:rsidR="00465DEB" w:rsidRPr="00163BF5" w:rsidRDefault="00465DEB" w:rsidP="00625A09">
      <w:pPr>
        <w:spacing w:line="480" w:lineRule="auto"/>
        <w:ind w:firstLine="709"/>
        <w:jc w:val="center"/>
        <w:rPr>
          <w:b/>
          <w:color w:val="000000" w:themeColor="text1"/>
          <w:lang w:val="es-ES_tradnl" w:eastAsia="es-ES_tradnl"/>
        </w:rPr>
      </w:pPr>
    </w:p>
    <w:p w14:paraId="40A82B46" w14:textId="3C4428BF" w:rsidR="00EF2246" w:rsidRPr="00163BF5" w:rsidRDefault="00EF2246" w:rsidP="00625A09">
      <w:pPr>
        <w:spacing w:line="480" w:lineRule="auto"/>
        <w:ind w:firstLine="709"/>
        <w:jc w:val="center"/>
        <w:rPr>
          <w:b/>
          <w:color w:val="000000" w:themeColor="text1"/>
          <w:lang w:val="es-ES_tradnl" w:eastAsia="es-ES_tradnl"/>
        </w:rPr>
      </w:pPr>
    </w:p>
    <w:p w14:paraId="1DDBEBA6" w14:textId="18EC04FE" w:rsidR="00F92151" w:rsidRPr="00163BF5" w:rsidRDefault="00F92151" w:rsidP="00625A09">
      <w:pPr>
        <w:spacing w:line="480" w:lineRule="auto"/>
        <w:ind w:firstLine="709"/>
        <w:jc w:val="center"/>
        <w:rPr>
          <w:b/>
          <w:color w:val="000000" w:themeColor="text1"/>
          <w:lang w:val="es-ES_tradnl" w:eastAsia="es-ES_tradnl"/>
        </w:rPr>
      </w:pPr>
    </w:p>
    <w:p w14:paraId="318834E7" w14:textId="51625756" w:rsidR="00F92151" w:rsidRPr="00163BF5" w:rsidRDefault="00F92151" w:rsidP="00625A09">
      <w:pPr>
        <w:spacing w:line="480" w:lineRule="auto"/>
        <w:ind w:firstLine="709"/>
        <w:jc w:val="center"/>
        <w:rPr>
          <w:b/>
          <w:color w:val="000000" w:themeColor="text1"/>
          <w:lang w:val="es-ES_tradnl" w:eastAsia="es-ES_tradnl"/>
        </w:rPr>
      </w:pPr>
    </w:p>
    <w:p w14:paraId="44BD5AC7" w14:textId="2F506AA5" w:rsidR="00F92151" w:rsidRPr="00163BF5" w:rsidRDefault="00F92151" w:rsidP="00625A09">
      <w:pPr>
        <w:spacing w:line="480" w:lineRule="auto"/>
        <w:ind w:firstLine="709"/>
        <w:jc w:val="center"/>
        <w:rPr>
          <w:b/>
          <w:color w:val="000000" w:themeColor="text1"/>
          <w:lang w:val="es-ES_tradnl" w:eastAsia="es-ES_tradnl"/>
        </w:rPr>
      </w:pPr>
    </w:p>
    <w:p w14:paraId="3B181A6D" w14:textId="0E8B22A6" w:rsidR="00F92151" w:rsidRPr="00163BF5" w:rsidRDefault="00F92151" w:rsidP="00625A09">
      <w:pPr>
        <w:spacing w:line="480" w:lineRule="auto"/>
        <w:ind w:firstLine="709"/>
        <w:jc w:val="center"/>
        <w:rPr>
          <w:b/>
          <w:color w:val="000000" w:themeColor="text1"/>
          <w:lang w:val="es-ES_tradnl" w:eastAsia="es-ES_tradnl"/>
        </w:rPr>
      </w:pPr>
    </w:p>
    <w:p w14:paraId="0ABCF02F" w14:textId="0D56DF31" w:rsidR="00691D4D" w:rsidRPr="00163BF5" w:rsidRDefault="00691D4D" w:rsidP="00625A09">
      <w:pPr>
        <w:spacing w:line="480" w:lineRule="auto"/>
        <w:ind w:firstLine="709"/>
        <w:jc w:val="center"/>
        <w:rPr>
          <w:b/>
          <w:color w:val="000000" w:themeColor="text1"/>
          <w:lang w:val="es-ES_tradnl" w:eastAsia="es-ES_tradnl"/>
        </w:rPr>
      </w:pPr>
    </w:p>
    <w:p w14:paraId="58BD2368" w14:textId="77777777" w:rsidR="00691D4D" w:rsidRPr="00163BF5" w:rsidRDefault="00691D4D" w:rsidP="00625A09">
      <w:pPr>
        <w:spacing w:line="480" w:lineRule="auto"/>
        <w:ind w:firstLine="709"/>
        <w:jc w:val="center"/>
        <w:rPr>
          <w:b/>
          <w:color w:val="000000" w:themeColor="text1"/>
          <w:lang w:val="es-ES_tradnl" w:eastAsia="es-ES_tradnl"/>
        </w:rPr>
      </w:pPr>
    </w:p>
    <w:p w14:paraId="6117F420" w14:textId="77777777" w:rsidR="00F92151" w:rsidRPr="00163BF5" w:rsidRDefault="00F92151" w:rsidP="00625A09">
      <w:pPr>
        <w:spacing w:line="480" w:lineRule="auto"/>
        <w:ind w:firstLine="709"/>
        <w:jc w:val="center"/>
        <w:rPr>
          <w:b/>
          <w:color w:val="000000" w:themeColor="text1"/>
          <w:lang w:val="es-ES_tradnl" w:eastAsia="es-ES_tradnl"/>
        </w:rPr>
      </w:pPr>
    </w:p>
    <w:p w14:paraId="67A6D3C5" w14:textId="488F687C" w:rsidR="00625A09" w:rsidRPr="00163BF5" w:rsidRDefault="00625A09" w:rsidP="00625A09">
      <w:pPr>
        <w:spacing w:line="480" w:lineRule="auto"/>
        <w:ind w:firstLine="709"/>
        <w:jc w:val="center"/>
        <w:rPr>
          <w:b/>
          <w:color w:val="000000" w:themeColor="text1"/>
          <w:lang w:val="es-ES_tradnl" w:eastAsia="es-ES_tradnl"/>
        </w:rPr>
      </w:pPr>
      <w:r w:rsidRPr="00163BF5">
        <w:rPr>
          <w:b/>
          <w:color w:val="000000" w:themeColor="text1"/>
          <w:lang w:val="es-ES_tradnl" w:eastAsia="es-ES_tradnl"/>
        </w:rPr>
        <w:t>INTRODUCCIÓN</w:t>
      </w:r>
    </w:p>
    <w:p w14:paraId="06171B9D" w14:textId="77777777" w:rsidR="00625A09" w:rsidRPr="00163BF5" w:rsidRDefault="00625A09" w:rsidP="00625A09">
      <w:pPr>
        <w:spacing w:line="480" w:lineRule="auto"/>
        <w:jc w:val="both"/>
        <w:rPr>
          <w:color w:val="000000" w:themeColor="text1"/>
          <w:lang w:val="es-ES_tradnl" w:eastAsia="es-ES_tradnl"/>
        </w:rPr>
      </w:pPr>
      <w:r w:rsidRPr="00163BF5">
        <w:rPr>
          <w:color w:val="000000" w:themeColor="text1"/>
          <w:lang w:val="es-ES_tradnl" w:eastAsia="es-ES_tradnl"/>
        </w:rPr>
        <w:t xml:space="preserve">La necesidad de realizar el presente estudio nació cuando me encontraba cursando quinto semestre de la Facultad y comencé a trabajar en la Fundación Regional de Asesoría en Derechos Humanos (INREDH), donde colaboré en la asesoría de varios casos de personas desaparecidas de manera involuntaria en el Ecuador. </w:t>
      </w:r>
    </w:p>
    <w:p w14:paraId="3F8B10DB" w14:textId="6D63431B" w:rsidR="00625A09" w:rsidRPr="00163BF5" w:rsidRDefault="00625A09" w:rsidP="00625A09">
      <w:pPr>
        <w:spacing w:line="480" w:lineRule="auto"/>
        <w:jc w:val="both"/>
        <w:rPr>
          <w:color w:val="000000" w:themeColor="text1"/>
          <w:lang w:val="es-ES_tradnl" w:eastAsia="es-ES_tradnl"/>
        </w:rPr>
      </w:pPr>
      <w:r w:rsidRPr="00163BF5">
        <w:rPr>
          <w:color w:val="000000" w:themeColor="text1"/>
          <w:lang w:val="es-ES_tradnl" w:eastAsia="es-ES_tradnl"/>
        </w:rPr>
        <w:t xml:space="preserve">En ese momento, la investigación de los casos de personas desaparecidas estaba regulados por el Estatuto Orgánico por Procesos de la Fiscalía General del Estado del Ecuador, en donde en un único artículo (5.1.3.4) </w:t>
      </w:r>
      <w:r w:rsidR="00A70F07" w:rsidRPr="00163BF5">
        <w:rPr>
          <w:color w:val="000000" w:themeColor="text1"/>
          <w:lang w:val="es-ES_tradnl" w:eastAsia="es-ES_tradnl"/>
        </w:rPr>
        <w:t xml:space="preserve">se regulaba el trámite respecto </w:t>
      </w:r>
      <w:r w:rsidR="00A14F18" w:rsidRPr="00163BF5">
        <w:rPr>
          <w:color w:val="000000" w:themeColor="text1"/>
          <w:lang w:val="es-ES_tradnl" w:eastAsia="es-ES_tradnl"/>
        </w:rPr>
        <w:t>a la</w:t>
      </w:r>
      <w:r w:rsidRPr="00163BF5">
        <w:rPr>
          <w:color w:val="000000" w:themeColor="text1"/>
          <w:lang w:val="es-ES_tradnl" w:eastAsia="es-ES_tradnl"/>
        </w:rPr>
        <w:t xml:space="preserve"> desaparición de personas como una actuación </w:t>
      </w:r>
      <w:r w:rsidR="00A14F18" w:rsidRPr="00163BF5">
        <w:rPr>
          <w:color w:val="000000" w:themeColor="text1"/>
          <w:lang w:val="es-ES_tradnl" w:eastAsia="es-ES_tradnl"/>
        </w:rPr>
        <w:t>administrativa.</w:t>
      </w:r>
      <w:r w:rsidRPr="00163BF5">
        <w:rPr>
          <w:color w:val="000000" w:themeColor="text1"/>
          <w:lang w:val="es-ES_tradnl" w:eastAsia="es-ES_tradnl"/>
        </w:rPr>
        <w:t xml:space="preserve">  </w:t>
      </w:r>
    </w:p>
    <w:p w14:paraId="55126B96" w14:textId="7F8D3260" w:rsidR="00625A09" w:rsidRPr="00163BF5" w:rsidRDefault="00625A09" w:rsidP="00625A09">
      <w:pPr>
        <w:spacing w:line="480" w:lineRule="auto"/>
        <w:jc w:val="both"/>
        <w:rPr>
          <w:color w:val="000000" w:themeColor="text1"/>
          <w:lang w:val="es-ES_tradnl" w:eastAsia="es-ES_tradnl"/>
        </w:rPr>
      </w:pPr>
      <w:r w:rsidRPr="00163BF5">
        <w:rPr>
          <w:color w:val="000000" w:themeColor="text1"/>
          <w:lang w:val="es-ES_tradnl" w:eastAsia="es-ES_tradnl"/>
        </w:rPr>
        <w:t xml:space="preserve">A raíz de las demandas de personas con familiares desaparecidos y organizaciones de derechos humanos, es publicada en el registro oficial suplemento 130 del 28 de enero de 2020 Ley Orgánica de Actuación en Casos de Personas Desaparecidas y Extraviadas, que busca un mejor amparo de los derechos tutelados por la Constitución de la República del Ecuador. Sin embargo, a lo largo de la ley antes señalada, se encuentra que </w:t>
      </w:r>
      <w:r w:rsidR="008026DA" w:rsidRPr="00163BF5">
        <w:rPr>
          <w:color w:val="000000" w:themeColor="text1"/>
          <w:lang w:val="es-ES_tradnl" w:eastAsia="es-ES_tradnl"/>
        </w:rPr>
        <w:t xml:space="preserve">algunos de </w:t>
      </w:r>
      <w:r w:rsidRPr="00163BF5">
        <w:rPr>
          <w:color w:val="000000" w:themeColor="text1"/>
          <w:lang w:val="es-ES_tradnl" w:eastAsia="es-ES_tradnl"/>
        </w:rPr>
        <w:t xml:space="preserve">los estándares de debida diligencia emitidos por la Corte Interamericana de Derechos Humanos </w:t>
      </w:r>
      <w:r w:rsidR="00A70F07" w:rsidRPr="00163BF5">
        <w:rPr>
          <w:color w:val="000000" w:themeColor="text1"/>
          <w:lang w:val="es-ES_tradnl" w:eastAsia="es-ES_tradnl"/>
        </w:rPr>
        <w:t>no han sido</w:t>
      </w:r>
      <w:r w:rsidRPr="00163BF5">
        <w:rPr>
          <w:color w:val="000000" w:themeColor="text1"/>
          <w:lang w:val="es-ES_tradnl" w:eastAsia="es-ES_tradnl"/>
        </w:rPr>
        <w:t xml:space="preserve"> plasmados de la manera correcta. </w:t>
      </w:r>
    </w:p>
    <w:p w14:paraId="3EB64504" w14:textId="4B10510A" w:rsidR="00625A09" w:rsidRPr="00163BF5" w:rsidRDefault="00625A09" w:rsidP="00625A09">
      <w:pPr>
        <w:spacing w:line="480" w:lineRule="auto"/>
        <w:jc w:val="both"/>
        <w:rPr>
          <w:color w:val="000000" w:themeColor="text1"/>
          <w:lang w:val="es-ES_tradnl" w:eastAsia="es-ES_tradnl"/>
        </w:rPr>
      </w:pPr>
      <w:r w:rsidRPr="00163BF5">
        <w:rPr>
          <w:color w:val="000000" w:themeColor="text1"/>
          <w:lang w:val="es-ES_tradnl" w:eastAsia="es-ES_tradnl"/>
        </w:rPr>
        <w:t xml:space="preserve">Es así como surge esta investigación académica que tiene como objetivo contrastar los estándares de debida diligencia emitidos por la Corte Interamericana de Derechos Humanos con la Ley Orgánica de Actuación en Casos de Personas Desaparecidas y Extraviadas. Lo que conllevaría a la respuesta de la hipótesis que versa sobre la incorrecta aplicación de estos estándares </w:t>
      </w:r>
      <w:r w:rsidR="007E276B" w:rsidRPr="00163BF5">
        <w:rPr>
          <w:color w:val="000000" w:themeColor="text1"/>
          <w:lang w:val="es-ES_tradnl" w:eastAsia="es-ES_tradnl"/>
        </w:rPr>
        <w:t xml:space="preserve">en </w:t>
      </w:r>
      <w:r w:rsidRPr="00163BF5">
        <w:rPr>
          <w:color w:val="000000" w:themeColor="text1"/>
          <w:lang w:val="es-ES_tradnl" w:eastAsia="es-ES_tradnl"/>
        </w:rPr>
        <w:t xml:space="preserve">la ya antes mencionada ley. </w:t>
      </w:r>
    </w:p>
    <w:p w14:paraId="71827707" w14:textId="1E3D6A41" w:rsidR="00625A09" w:rsidRPr="00163BF5" w:rsidRDefault="00625A09" w:rsidP="00625A09">
      <w:pPr>
        <w:spacing w:line="480" w:lineRule="auto"/>
        <w:jc w:val="both"/>
        <w:rPr>
          <w:color w:val="000000" w:themeColor="text1"/>
          <w:lang w:val="es-ES_tradnl" w:eastAsia="es-ES_tradnl"/>
        </w:rPr>
      </w:pPr>
      <w:r w:rsidRPr="00163BF5">
        <w:rPr>
          <w:color w:val="000000" w:themeColor="text1"/>
          <w:lang w:val="es-ES_tradnl" w:eastAsia="es-ES_tradnl"/>
        </w:rPr>
        <w:t xml:space="preserve">Para ello, la presente tesis se encuentra dividida en tres </w:t>
      </w:r>
      <w:r w:rsidR="00931CA6" w:rsidRPr="00163BF5">
        <w:rPr>
          <w:color w:val="000000" w:themeColor="text1"/>
          <w:lang w:val="es-ES_tradnl" w:eastAsia="es-ES_tradnl"/>
        </w:rPr>
        <w:t>secciones; la</w:t>
      </w:r>
      <w:r w:rsidRPr="00163BF5">
        <w:rPr>
          <w:color w:val="000000" w:themeColor="text1"/>
          <w:lang w:val="es-ES_tradnl" w:eastAsia="es-ES_tradnl"/>
        </w:rPr>
        <w:t xml:space="preserve"> primera sección se centra en la obligatoriedad de observancia de los instrumentos internacionales por parte de las autoridades en el Ecuador</w:t>
      </w:r>
      <w:r w:rsidR="000048F8" w:rsidRPr="00163BF5">
        <w:rPr>
          <w:color w:val="000000" w:themeColor="text1"/>
          <w:lang w:val="es-ES_tradnl" w:eastAsia="es-ES_tradnl"/>
        </w:rPr>
        <w:t xml:space="preserve">, </w:t>
      </w:r>
      <w:r w:rsidRPr="00163BF5">
        <w:rPr>
          <w:color w:val="000000" w:themeColor="text1"/>
          <w:lang w:val="es-ES_tradnl" w:eastAsia="es-ES_tradnl"/>
        </w:rPr>
        <w:t>donde se realiza el estudio</w:t>
      </w:r>
      <w:r w:rsidR="00A70F07" w:rsidRPr="00163BF5">
        <w:rPr>
          <w:color w:val="000000" w:themeColor="text1"/>
          <w:lang w:val="es-ES_tradnl" w:eastAsia="es-ES_tradnl"/>
        </w:rPr>
        <w:t xml:space="preserve"> de los siguientes temas</w:t>
      </w:r>
      <w:r w:rsidRPr="00163BF5">
        <w:rPr>
          <w:color w:val="000000" w:themeColor="text1"/>
          <w:lang w:val="es-ES_tradnl" w:eastAsia="es-ES_tradnl"/>
        </w:rPr>
        <w:t xml:space="preserve">: control de </w:t>
      </w:r>
      <w:r w:rsidR="00931CA6" w:rsidRPr="00163BF5">
        <w:rPr>
          <w:color w:val="000000" w:themeColor="text1"/>
          <w:lang w:val="es-ES_tradnl" w:eastAsia="es-ES_tradnl"/>
        </w:rPr>
        <w:t>convencionalidad y</w:t>
      </w:r>
      <w:r w:rsidRPr="00163BF5">
        <w:rPr>
          <w:color w:val="000000" w:themeColor="text1"/>
          <w:lang w:val="es-ES_tradnl" w:eastAsia="es-ES_tradnl"/>
        </w:rPr>
        <w:t xml:space="preserve"> constitucionalidad, obligatoriedad de los precedentes de la Corte Interamericana de Derechos Humanos.  El segundo capítulo, se centra en el análisis dogmático y normativo del término “personas desaparecidas” con el fin de establecer la diferencia de los distintos tipos de desaparición con la desaparición involuntaria materia de análisis en la presente investigación académica. En el tercer y último capítulo, se realiza un </w:t>
      </w:r>
      <w:r w:rsidR="000048F8" w:rsidRPr="00163BF5">
        <w:rPr>
          <w:color w:val="000000" w:themeColor="text1"/>
          <w:lang w:val="es-ES_tradnl" w:eastAsia="es-ES_tradnl"/>
        </w:rPr>
        <w:t xml:space="preserve">estudio de los estándares de debida diligencia </w:t>
      </w:r>
      <w:r w:rsidRPr="00163BF5">
        <w:rPr>
          <w:color w:val="000000" w:themeColor="text1"/>
          <w:lang w:val="es-ES_tradnl" w:eastAsia="es-ES_tradnl"/>
        </w:rPr>
        <w:t xml:space="preserve">emitidos por la Corte Interamericana de Derechos Humanos; </w:t>
      </w:r>
      <w:r w:rsidR="000048F8" w:rsidRPr="00163BF5">
        <w:rPr>
          <w:color w:val="000000" w:themeColor="text1"/>
          <w:lang w:val="es-ES_tradnl" w:eastAsia="es-ES_tradnl"/>
        </w:rPr>
        <w:t xml:space="preserve">y se contrasta dichos estándares con los encontrados en la </w:t>
      </w:r>
      <w:r w:rsidRPr="00163BF5">
        <w:rPr>
          <w:color w:val="000000" w:themeColor="text1"/>
          <w:lang w:val="es-ES_tradnl" w:eastAsia="es-ES_tradnl"/>
        </w:rPr>
        <w:t xml:space="preserve">Ley Orgánica de Actuación en Casos de Personas Desaparecidas y Extraviadas. Además, </w:t>
      </w:r>
      <w:r w:rsidR="00A70F07" w:rsidRPr="00163BF5">
        <w:rPr>
          <w:color w:val="000000" w:themeColor="text1"/>
          <w:lang w:val="es-ES_tradnl" w:eastAsia="es-ES_tradnl"/>
        </w:rPr>
        <w:t xml:space="preserve">realizamos un </w:t>
      </w:r>
      <w:r w:rsidRPr="00163BF5">
        <w:rPr>
          <w:color w:val="000000" w:themeColor="text1"/>
          <w:lang w:val="es-ES_tradnl" w:eastAsia="es-ES_tradnl"/>
        </w:rPr>
        <w:t xml:space="preserve">estudio de la actuación del Estado frente a los casos de desaparición involuntaria. </w:t>
      </w:r>
    </w:p>
    <w:p w14:paraId="5F77E238" w14:textId="77777777" w:rsidR="0002107B" w:rsidRPr="00163BF5" w:rsidRDefault="0002107B" w:rsidP="0002107B">
      <w:pPr>
        <w:shd w:val="clear" w:color="auto" w:fill="FFFFFF"/>
        <w:spacing w:after="200" w:line="480" w:lineRule="auto"/>
        <w:ind w:firstLine="709"/>
        <w:jc w:val="both"/>
        <w:rPr>
          <w:color w:val="000000" w:themeColor="text1"/>
          <w:lang w:val="es-ES_tradnl" w:eastAsia="es-ES_tradnl"/>
        </w:rPr>
      </w:pPr>
    </w:p>
    <w:p w14:paraId="152E5C9B" w14:textId="77777777" w:rsidR="0002107B" w:rsidRPr="00163BF5" w:rsidRDefault="0002107B" w:rsidP="0002107B">
      <w:pPr>
        <w:shd w:val="clear" w:color="auto" w:fill="FFFFFF"/>
        <w:spacing w:after="200" w:line="480" w:lineRule="auto"/>
        <w:ind w:firstLine="709"/>
        <w:jc w:val="both"/>
        <w:rPr>
          <w:color w:val="000000" w:themeColor="text1"/>
          <w:lang w:val="es-ES_tradnl" w:eastAsia="es-ES_tradnl"/>
        </w:rPr>
      </w:pPr>
    </w:p>
    <w:p w14:paraId="07331DF4" w14:textId="1D3979C3" w:rsidR="00C62DB3" w:rsidRPr="00163BF5" w:rsidRDefault="00C62DB3" w:rsidP="0002107B">
      <w:pPr>
        <w:shd w:val="clear" w:color="auto" w:fill="FFFFFF"/>
        <w:spacing w:after="200" w:line="480" w:lineRule="auto"/>
        <w:jc w:val="both"/>
        <w:rPr>
          <w:b/>
          <w:bCs/>
          <w:color w:val="000000" w:themeColor="text1"/>
          <w:lang w:val="es-ES_tradnl" w:eastAsia="es-ES_tradnl"/>
        </w:rPr>
        <w:sectPr w:rsidR="00C62DB3" w:rsidRPr="00163BF5" w:rsidSect="0048338D">
          <w:footerReference w:type="default" r:id="rId10"/>
          <w:footerReference w:type="first" r:id="rId11"/>
          <w:pgSz w:w="11906" w:h="16838"/>
          <w:pgMar w:top="1440" w:right="1440" w:bottom="1440" w:left="1440" w:header="709" w:footer="709" w:gutter="0"/>
          <w:pgNumType w:fmt="upperRoman" w:start="1"/>
          <w:cols w:space="720"/>
          <w:titlePg/>
        </w:sectPr>
      </w:pPr>
    </w:p>
    <w:p w14:paraId="1C85D8D2" w14:textId="2B9031A4" w:rsidR="00C62DB3" w:rsidRPr="00163BF5" w:rsidRDefault="00C62DB3" w:rsidP="00540F87">
      <w:pPr>
        <w:pStyle w:val="Ttulo1"/>
        <w:numPr>
          <w:ilvl w:val="0"/>
          <w:numId w:val="0"/>
        </w:numPr>
        <w:ind w:left="720" w:hanging="360"/>
        <w:jc w:val="center"/>
      </w:pPr>
      <w:bookmarkStart w:id="0" w:name="_heading=h.30j0zll" w:colFirst="0" w:colLast="0"/>
      <w:bookmarkStart w:id="1" w:name="_Toc67513360"/>
      <w:bookmarkStart w:id="2" w:name="_Toc63689878"/>
      <w:bookmarkStart w:id="3" w:name="_Toc63690042"/>
      <w:bookmarkEnd w:id="0"/>
      <w:r w:rsidRPr="00163BF5">
        <w:t>PRIMER CAPÍTULO</w:t>
      </w:r>
      <w:bookmarkEnd w:id="1"/>
    </w:p>
    <w:p w14:paraId="4F10C4B9" w14:textId="1FEF209A" w:rsidR="0002107B" w:rsidRPr="00163BF5" w:rsidRDefault="00D53EC2" w:rsidP="005732D8">
      <w:pPr>
        <w:pStyle w:val="Ttulo2"/>
        <w:numPr>
          <w:ilvl w:val="0"/>
          <w:numId w:val="17"/>
        </w:numPr>
      </w:pPr>
      <w:bookmarkStart w:id="4" w:name="_Toc67513361"/>
      <w:r w:rsidRPr="00163BF5">
        <w:t xml:space="preserve">LA </w:t>
      </w:r>
      <w:r w:rsidR="0002107B" w:rsidRPr="00163BF5">
        <w:t>OBLIGATORIEDAD DE LA OBSERVANCIA DE LA JURISPRUDENCIA DE LA CORTE</w:t>
      </w:r>
      <w:bookmarkEnd w:id="2"/>
      <w:bookmarkEnd w:id="3"/>
      <w:r w:rsidRPr="00163BF5">
        <w:t xml:space="preserve"> IDH </w:t>
      </w:r>
      <w:r w:rsidR="00625A09" w:rsidRPr="00163BF5">
        <w:t xml:space="preserve">EN </w:t>
      </w:r>
      <w:r w:rsidR="005732D8" w:rsidRPr="00163BF5">
        <w:t xml:space="preserve">LOS ACTOS REALIZADOS POR LAS AUTORIDADES EN EL ECUADOR </w:t>
      </w:r>
      <w:r w:rsidRPr="00163BF5">
        <w:t>Y LOS EST</w:t>
      </w:r>
      <w:r w:rsidR="009A27C4" w:rsidRPr="00163BF5">
        <w:t>Á</w:t>
      </w:r>
      <w:r w:rsidRPr="00163BF5">
        <w:t>NDARES DE DEBIDA DILIGENCIA.</w:t>
      </w:r>
      <w:bookmarkEnd w:id="4"/>
      <w:r w:rsidRPr="00163BF5">
        <w:t xml:space="preserve"> </w:t>
      </w:r>
    </w:p>
    <w:p w14:paraId="7D1DDA6A" w14:textId="3DADE0DA" w:rsidR="005732D8" w:rsidRPr="00163BF5" w:rsidRDefault="005732D8" w:rsidP="00B82C21">
      <w:pPr>
        <w:spacing w:line="480" w:lineRule="auto"/>
        <w:ind w:firstLine="708"/>
        <w:jc w:val="both"/>
        <w:rPr>
          <w:color w:val="000000" w:themeColor="text1"/>
        </w:rPr>
      </w:pPr>
      <w:r w:rsidRPr="00163BF5">
        <w:rPr>
          <w:color w:val="000000" w:themeColor="text1"/>
        </w:rPr>
        <w:t>Con la finalidad de comprender</w:t>
      </w:r>
      <w:r w:rsidR="002D5852" w:rsidRPr="00163BF5">
        <w:rPr>
          <w:color w:val="000000" w:themeColor="text1"/>
        </w:rPr>
        <w:t xml:space="preserve"> la razón por la que </w:t>
      </w:r>
      <w:r w:rsidRPr="00163BF5">
        <w:rPr>
          <w:color w:val="000000" w:themeColor="text1"/>
        </w:rPr>
        <w:t xml:space="preserve">la jurisprudencia de la Corte Interamericana de Derechos Humanos </w:t>
      </w:r>
      <w:r w:rsidR="00D53EC2" w:rsidRPr="00163BF5">
        <w:rPr>
          <w:color w:val="000000" w:themeColor="text1"/>
        </w:rPr>
        <w:t>debe ser observada</w:t>
      </w:r>
      <w:r w:rsidRPr="00163BF5">
        <w:rPr>
          <w:color w:val="000000" w:themeColor="text1"/>
        </w:rPr>
        <w:t xml:space="preserve"> obligatoria</w:t>
      </w:r>
      <w:r w:rsidR="00D53EC2" w:rsidRPr="00163BF5">
        <w:rPr>
          <w:color w:val="000000" w:themeColor="text1"/>
        </w:rPr>
        <w:t>mente</w:t>
      </w:r>
      <w:r w:rsidRPr="00163BF5">
        <w:rPr>
          <w:color w:val="000000" w:themeColor="text1"/>
        </w:rPr>
        <w:t xml:space="preserve"> </w:t>
      </w:r>
      <w:r w:rsidR="00D53EC2" w:rsidRPr="00163BF5">
        <w:rPr>
          <w:color w:val="000000" w:themeColor="text1"/>
        </w:rPr>
        <w:t>por las autoridades estatales ecuatorianas cuando estos realicen sus actuaciones</w:t>
      </w:r>
      <w:r w:rsidRPr="00163BF5">
        <w:rPr>
          <w:color w:val="000000" w:themeColor="text1"/>
        </w:rPr>
        <w:t xml:space="preserve">, </w:t>
      </w:r>
      <w:r w:rsidR="008730CF" w:rsidRPr="00163BF5">
        <w:rPr>
          <w:color w:val="000000" w:themeColor="text1"/>
        </w:rPr>
        <w:t>en</w:t>
      </w:r>
      <w:r w:rsidRPr="00163BF5">
        <w:rPr>
          <w:color w:val="000000" w:themeColor="text1"/>
        </w:rPr>
        <w:t xml:space="preserve"> el presente capítulo</w:t>
      </w:r>
      <w:r w:rsidR="008730CF" w:rsidRPr="00163BF5">
        <w:rPr>
          <w:color w:val="000000" w:themeColor="text1"/>
        </w:rPr>
        <w:t xml:space="preserve"> </w:t>
      </w:r>
      <w:r w:rsidRPr="00163BF5">
        <w:rPr>
          <w:color w:val="000000" w:themeColor="text1"/>
        </w:rPr>
        <w:t>se realiza el estudio de</w:t>
      </w:r>
      <w:r w:rsidR="00F92151" w:rsidRPr="00163BF5">
        <w:rPr>
          <w:color w:val="000000" w:themeColor="text1"/>
        </w:rPr>
        <w:t xml:space="preserve"> la aplicación de los </w:t>
      </w:r>
      <w:proofErr w:type="spellStart"/>
      <w:r w:rsidR="00F92151" w:rsidRPr="00163BF5">
        <w:rPr>
          <w:color w:val="000000" w:themeColor="text1"/>
        </w:rPr>
        <w:t>intrumentos</w:t>
      </w:r>
      <w:proofErr w:type="spellEnd"/>
      <w:r w:rsidR="00F92151" w:rsidRPr="00163BF5">
        <w:rPr>
          <w:color w:val="000000" w:themeColor="text1"/>
        </w:rPr>
        <w:t xml:space="preserve"> internacionales en el Ecuador, </w:t>
      </w:r>
      <w:r w:rsidRPr="00163BF5">
        <w:rPr>
          <w:color w:val="000000" w:themeColor="text1"/>
        </w:rPr>
        <w:t xml:space="preserve">los controles de convencionalidad y constitucionalidad, </w:t>
      </w:r>
      <w:r w:rsidR="00F92151" w:rsidRPr="00163BF5">
        <w:rPr>
          <w:color w:val="000000" w:themeColor="text1"/>
        </w:rPr>
        <w:t xml:space="preserve">y el </w:t>
      </w:r>
      <w:r w:rsidRPr="00163BF5">
        <w:rPr>
          <w:color w:val="000000" w:themeColor="text1"/>
        </w:rPr>
        <w:t>análisis d</w:t>
      </w:r>
      <w:r w:rsidR="00D53EC2" w:rsidRPr="00163BF5">
        <w:rPr>
          <w:color w:val="000000" w:themeColor="text1"/>
        </w:rPr>
        <w:t>e</w:t>
      </w:r>
      <w:r w:rsidR="00F92151" w:rsidRPr="00163BF5">
        <w:rPr>
          <w:color w:val="000000" w:themeColor="text1"/>
        </w:rPr>
        <w:t>l bloque de constitucionalidad en el Ecuador.</w:t>
      </w:r>
    </w:p>
    <w:p w14:paraId="299CB2C5" w14:textId="42FEEEC7" w:rsidR="0070544D" w:rsidRPr="00163BF5" w:rsidRDefault="0070544D" w:rsidP="0070544D">
      <w:pPr>
        <w:pStyle w:val="Prrafodelista"/>
        <w:numPr>
          <w:ilvl w:val="1"/>
          <w:numId w:val="17"/>
        </w:numPr>
        <w:rPr>
          <w:rFonts w:ascii="Times New Roman" w:hAnsi="Times New Roman" w:cs="Times New Roman"/>
          <w:b/>
          <w:bCs/>
          <w:color w:val="000000" w:themeColor="text1"/>
          <w:sz w:val="24"/>
          <w:szCs w:val="24"/>
        </w:rPr>
      </w:pPr>
      <w:r w:rsidRPr="00163BF5">
        <w:rPr>
          <w:rFonts w:ascii="Times New Roman" w:hAnsi="Times New Roman" w:cs="Times New Roman"/>
          <w:b/>
          <w:bCs/>
          <w:color w:val="000000" w:themeColor="text1"/>
          <w:sz w:val="24"/>
          <w:szCs w:val="24"/>
        </w:rPr>
        <w:t xml:space="preserve"> </w:t>
      </w:r>
      <w:r w:rsidR="0063750F" w:rsidRPr="00163BF5">
        <w:rPr>
          <w:rFonts w:ascii="Times New Roman" w:hAnsi="Times New Roman" w:cs="Times New Roman"/>
          <w:b/>
          <w:bCs/>
          <w:color w:val="000000" w:themeColor="text1"/>
          <w:sz w:val="24"/>
          <w:szCs w:val="24"/>
        </w:rPr>
        <w:t xml:space="preserve">La Corte Interamericana de Derechos Humanos como </w:t>
      </w:r>
      <w:proofErr w:type="spellStart"/>
      <w:r w:rsidR="0063750F" w:rsidRPr="00163BF5">
        <w:rPr>
          <w:rFonts w:ascii="Times New Roman" w:hAnsi="Times New Roman" w:cs="Times New Roman"/>
          <w:b/>
          <w:bCs/>
          <w:color w:val="000000" w:themeColor="text1"/>
          <w:sz w:val="24"/>
          <w:szCs w:val="24"/>
        </w:rPr>
        <w:t>interprete</w:t>
      </w:r>
      <w:proofErr w:type="spellEnd"/>
      <w:r w:rsidR="0063750F" w:rsidRPr="00163BF5">
        <w:rPr>
          <w:rFonts w:ascii="Times New Roman" w:hAnsi="Times New Roman" w:cs="Times New Roman"/>
          <w:b/>
          <w:bCs/>
          <w:color w:val="000000" w:themeColor="text1"/>
          <w:sz w:val="24"/>
          <w:szCs w:val="24"/>
        </w:rPr>
        <w:t xml:space="preserve"> de la Convención Americana sobre Derechos Humanos </w:t>
      </w:r>
    </w:p>
    <w:p w14:paraId="04DD8839" w14:textId="77777777" w:rsidR="0070544D" w:rsidRPr="00163BF5" w:rsidRDefault="0070544D" w:rsidP="0070544D">
      <w:pPr>
        <w:pStyle w:val="Prrafodelista"/>
        <w:numPr>
          <w:ilvl w:val="2"/>
          <w:numId w:val="17"/>
        </w:numPr>
        <w:rPr>
          <w:rFonts w:ascii="Times New Roman" w:hAnsi="Times New Roman" w:cs="Times New Roman"/>
          <w:b/>
          <w:bCs/>
          <w:color w:val="000000" w:themeColor="text1"/>
          <w:sz w:val="24"/>
          <w:szCs w:val="24"/>
        </w:rPr>
      </w:pPr>
      <w:r w:rsidRPr="00163BF5">
        <w:rPr>
          <w:rFonts w:ascii="Times New Roman" w:hAnsi="Times New Roman" w:cs="Times New Roman"/>
          <w:b/>
          <w:bCs/>
          <w:color w:val="000000" w:themeColor="text1"/>
          <w:sz w:val="24"/>
          <w:szCs w:val="24"/>
        </w:rPr>
        <w:t>El Principio “pro homine” como fundamento de los Derechos Humanos</w:t>
      </w:r>
    </w:p>
    <w:p w14:paraId="4BDF24C6" w14:textId="3F371954" w:rsidR="0070544D" w:rsidRPr="00163BF5" w:rsidRDefault="0070544D" w:rsidP="00656CF6">
      <w:pPr>
        <w:spacing w:line="480" w:lineRule="auto"/>
        <w:ind w:firstLine="708"/>
        <w:jc w:val="both"/>
        <w:rPr>
          <w:b/>
          <w:bCs/>
          <w:color w:val="000000" w:themeColor="text1"/>
          <w:lang w:eastAsia="es-ES_tradnl"/>
        </w:rPr>
      </w:pPr>
      <w:r w:rsidRPr="00163BF5">
        <w:rPr>
          <w:color w:val="000000" w:themeColor="text1"/>
          <w:lang w:val="es-ES_tradnl"/>
        </w:rPr>
        <w:t>El Derecho Internacional de Derechos Humanos</w:t>
      </w:r>
      <w:r w:rsidRPr="00163BF5">
        <w:rPr>
          <w:color w:val="000000" w:themeColor="text1"/>
        </w:rPr>
        <w:t xml:space="preserve"> “está compuesto por principios universalmente aceptados </w:t>
      </w:r>
      <w:r w:rsidR="009A6130" w:rsidRPr="00163BF5">
        <w:rPr>
          <w:color w:val="000000" w:themeColor="text1"/>
        </w:rPr>
        <w:t>q</w:t>
      </w:r>
      <w:r w:rsidRPr="00163BF5">
        <w:rPr>
          <w:color w:val="000000" w:themeColor="text1"/>
        </w:rPr>
        <w:t xml:space="preserve">ue desde un plano </w:t>
      </w:r>
      <w:proofErr w:type="spellStart"/>
      <w:r w:rsidRPr="00163BF5">
        <w:rPr>
          <w:color w:val="000000" w:themeColor="text1"/>
        </w:rPr>
        <w:t>ético</w:t>
      </w:r>
      <w:proofErr w:type="spellEnd"/>
      <w:r w:rsidRPr="00163BF5">
        <w:rPr>
          <w:color w:val="000000" w:themeColor="text1"/>
        </w:rPr>
        <w:t xml:space="preserve"> y </w:t>
      </w:r>
      <w:r w:rsidR="006257E1" w:rsidRPr="00163BF5">
        <w:rPr>
          <w:color w:val="000000" w:themeColor="text1"/>
        </w:rPr>
        <w:t>m</w:t>
      </w:r>
      <w:r w:rsidRPr="00163BF5">
        <w:rPr>
          <w:color w:val="000000" w:themeColor="text1"/>
        </w:rPr>
        <w:t xml:space="preserve">oral, informan los derechos que cada ser humano tiene por su </w:t>
      </w:r>
      <w:proofErr w:type="spellStart"/>
      <w:r w:rsidRPr="00163BF5">
        <w:rPr>
          <w:color w:val="000000" w:themeColor="text1"/>
        </w:rPr>
        <w:t>condición</w:t>
      </w:r>
      <w:proofErr w:type="spellEnd"/>
      <w:r w:rsidRPr="00163BF5">
        <w:rPr>
          <w:color w:val="000000" w:themeColor="text1"/>
        </w:rPr>
        <w:t xml:space="preserve"> de tal” (</w:t>
      </w:r>
      <w:proofErr w:type="spellStart"/>
      <w:r w:rsidRPr="00163BF5">
        <w:rPr>
          <w:color w:val="000000" w:themeColor="text1"/>
        </w:rPr>
        <w:t>Lludgar</w:t>
      </w:r>
      <w:proofErr w:type="spellEnd"/>
      <w:r w:rsidRPr="00163BF5">
        <w:rPr>
          <w:color w:val="000000" w:themeColor="text1"/>
        </w:rPr>
        <w:t xml:space="preserve">, 2016, </w:t>
      </w:r>
      <w:r w:rsidR="00651EBA" w:rsidRPr="00163BF5">
        <w:rPr>
          <w:color w:val="000000" w:themeColor="text1"/>
        </w:rPr>
        <w:t>p.</w:t>
      </w:r>
      <w:r w:rsidRPr="00163BF5">
        <w:rPr>
          <w:color w:val="000000" w:themeColor="text1"/>
        </w:rPr>
        <w:t xml:space="preserve"> 6)</w:t>
      </w:r>
      <w:r w:rsidR="00CF4658" w:rsidRPr="00163BF5">
        <w:rPr>
          <w:color w:val="000000" w:themeColor="text1"/>
        </w:rPr>
        <w:t>.</w:t>
      </w:r>
    </w:p>
    <w:p w14:paraId="1F256DE1" w14:textId="36B1D87B" w:rsidR="0070544D" w:rsidRPr="00163BF5" w:rsidRDefault="0070544D" w:rsidP="00FB0B73">
      <w:pPr>
        <w:spacing w:line="480" w:lineRule="auto"/>
        <w:jc w:val="both"/>
        <w:rPr>
          <w:color w:val="000000" w:themeColor="text1"/>
        </w:rPr>
      </w:pPr>
      <w:r w:rsidRPr="00163BF5">
        <w:rPr>
          <w:color w:val="000000" w:themeColor="text1"/>
        </w:rPr>
        <w:t>Entre estos principios se encuentran el “</w:t>
      </w:r>
      <w:r w:rsidRPr="00163BF5">
        <w:rPr>
          <w:i/>
          <w:iCs/>
          <w:color w:val="000000" w:themeColor="text1"/>
        </w:rPr>
        <w:t>pro homine</w:t>
      </w:r>
      <w:r w:rsidRPr="00163BF5">
        <w:rPr>
          <w:color w:val="000000" w:themeColor="text1"/>
        </w:rPr>
        <w:t xml:space="preserve">” </w:t>
      </w:r>
      <w:r w:rsidR="009A6130" w:rsidRPr="00163BF5">
        <w:rPr>
          <w:color w:val="000000" w:themeColor="text1"/>
        </w:rPr>
        <w:t xml:space="preserve">que es entendido como un: </w:t>
      </w:r>
    </w:p>
    <w:p w14:paraId="5FCAC41E" w14:textId="00D2A026" w:rsidR="009A6130" w:rsidRPr="00163BF5" w:rsidRDefault="009A6130" w:rsidP="0070544D">
      <w:pPr>
        <w:rPr>
          <w:color w:val="000000" w:themeColor="text1"/>
        </w:rPr>
      </w:pPr>
    </w:p>
    <w:p w14:paraId="72729211" w14:textId="2EA77D24" w:rsidR="009A6130" w:rsidRPr="00163BF5" w:rsidRDefault="0024391C" w:rsidP="000B0429">
      <w:pPr>
        <w:ind w:left="1440"/>
        <w:jc w:val="both"/>
        <w:rPr>
          <w:color w:val="000000" w:themeColor="text1"/>
          <w:sz w:val="22"/>
          <w:szCs w:val="22"/>
        </w:rPr>
      </w:pPr>
      <w:r w:rsidRPr="00163BF5">
        <w:rPr>
          <w:color w:val="000000" w:themeColor="text1"/>
          <w:sz w:val="22"/>
          <w:szCs w:val="22"/>
        </w:rPr>
        <w:t xml:space="preserve">[…] </w:t>
      </w:r>
      <w:r w:rsidR="009A6130" w:rsidRPr="00163BF5">
        <w:rPr>
          <w:color w:val="000000" w:themeColor="text1"/>
          <w:sz w:val="22"/>
          <w:szCs w:val="22"/>
        </w:rPr>
        <w:t>un criterio hermenéutico que informa todo el derecho de los derechos humanos, en virtud del cual se debe acudir a la norma más amplia, o a la interpretación más extensiva, cuando se trata de reconocer derechos protegidos e, inversamente, a la norma o a la interpretación más restringida cuando se trata de establecer restricciones permanentes al ejercicio de los derechos o su suspensión extraordinaria. Este principio coincide con el rasgo fundamental del derecho de los derechos humanos, esto es, estar siempre a favor del hombre</w:t>
      </w:r>
      <w:r w:rsidRPr="00163BF5">
        <w:rPr>
          <w:color w:val="000000" w:themeColor="text1"/>
          <w:sz w:val="22"/>
          <w:szCs w:val="22"/>
        </w:rPr>
        <w:t xml:space="preserve">. </w:t>
      </w:r>
      <w:r w:rsidR="009A6130" w:rsidRPr="00163BF5">
        <w:rPr>
          <w:color w:val="000000" w:themeColor="text1"/>
          <w:sz w:val="22"/>
          <w:szCs w:val="22"/>
        </w:rPr>
        <w:t xml:space="preserve">(Pinto, 1997, </w:t>
      </w:r>
      <w:r w:rsidR="00651EBA" w:rsidRPr="00163BF5">
        <w:rPr>
          <w:color w:val="000000" w:themeColor="text1"/>
          <w:sz w:val="22"/>
          <w:szCs w:val="22"/>
        </w:rPr>
        <w:t>p.</w:t>
      </w:r>
      <w:r w:rsidR="009A6130" w:rsidRPr="00163BF5">
        <w:rPr>
          <w:color w:val="000000" w:themeColor="text1"/>
          <w:sz w:val="22"/>
          <w:szCs w:val="22"/>
        </w:rPr>
        <w:t xml:space="preserve">163) </w:t>
      </w:r>
    </w:p>
    <w:p w14:paraId="40B548FE" w14:textId="77777777" w:rsidR="009A6130" w:rsidRPr="00163BF5" w:rsidRDefault="009A6130" w:rsidP="009A6130">
      <w:pPr>
        <w:ind w:left="1416"/>
        <w:rPr>
          <w:color w:val="000000" w:themeColor="text1"/>
          <w:sz w:val="22"/>
          <w:szCs w:val="22"/>
        </w:rPr>
      </w:pPr>
    </w:p>
    <w:p w14:paraId="2DD0D9AB" w14:textId="11FEC92B" w:rsidR="0070544D" w:rsidRPr="00163BF5" w:rsidRDefault="009A6130" w:rsidP="00A62393">
      <w:pPr>
        <w:spacing w:line="480" w:lineRule="auto"/>
        <w:ind w:firstLine="708"/>
        <w:rPr>
          <w:color w:val="000000" w:themeColor="text1"/>
        </w:rPr>
      </w:pPr>
      <w:r w:rsidRPr="00163BF5">
        <w:rPr>
          <w:color w:val="000000" w:themeColor="text1"/>
        </w:rPr>
        <w:t xml:space="preserve">Este principio es </w:t>
      </w:r>
      <w:r w:rsidR="00852EBB" w:rsidRPr="00163BF5">
        <w:rPr>
          <w:color w:val="000000" w:themeColor="text1"/>
        </w:rPr>
        <w:t xml:space="preserve">fundamental, </w:t>
      </w:r>
      <w:r w:rsidR="002968C5" w:rsidRPr="00163BF5">
        <w:rPr>
          <w:color w:val="000000" w:themeColor="text1"/>
        </w:rPr>
        <w:t xml:space="preserve"> </w:t>
      </w:r>
      <w:r w:rsidRPr="00163BF5">
        <w:rPr>
          <w:color w:val="000000" w:themeColor="text1"/>
        </w:rPr>
        <w:t>ya que estipula que en lo relativo en materia de derechos humanos, en cuanto al reconocimiento de ellos</w:t>
      </w:r>
      <w:r w:rsidR="002968C5" w:rsidRPr="00163BF5">
        <w:rPr>
          <w:color w:val="000000" w:themeColor="text1"/>
        </w:rPr>
        <w:t xml:space="preserve"> y su </w:t>
      </w:r>
      <w:proofErr w:type="spellStart"/>
      <w:r w:rsidR="002968C5" w:rsidRPr="00163BF5">
        <w:rPr>
          <w:color w:val="000000" w:themeColor="text1"/>
        </w:rPr>
        <w:t>proteccion</w:t>
      </w:r>
      <w:proofErr w:type="spellEnd"/>
      <w:r w:rsidR="002968C5" w:rsidRPr="00163BF5">
        <w:rPr>
          <w:color w:val="000000" w:themeColor="text1"/>
        </w:rPr>
        <w:t xml:space="preserve"> se debe acudir a la norma m</w:t>
      </w:r>
      <w:r w:rsidR="006257E1" w:rsidRPr="00163BF5">
        <w:rPr>
          <w:color w:val="000000" w:themeColor="text1"/>
        </w:rPr>
        <w:t>á</w:t>
      </w:r>
      <w:r w:rsidR="002968C5" w:rsidRPr="00163BF5">
        <w:rPr>
          <w:color w:val="000000" w:themeColor="text1"/>
        </w:rPr>
        <w:t>s amplia o a la  interpretación m</w:t>
      </w:r>
      <w:r w:rsidR="006257E1" w:rsidRPr="00163BF5">
        <w:rPr>
          <w:color w:val="000000" w:themeColor="text1"/>
        </w:rPr>
        <w:t>á</w:t>
      </w:r>
      <w:r w:rsidR="002968C5" w:rsidRPr="00163BF5">
        <w:rPr>
          <w:color w:val="000000" w:themeColor="text1"/>
        </w:rPr>
        <w:t>s extensiva.</w:t>
      </w:r>
    </w:p>
    <w:p w14:paraId="1B7106C7" w14:textId="4FB2080E" w:rsidR="002968C5" w:rsidRPr="00163BF5" w:rsidRDefault="007A1153" w:rsidP="00A62393">
      <w:pPr>
        <w:pStyle w:val="Prrafodelista"/>
        <w:numPr>
          <w:ilvl w:val="2"/>
          <w:numId w:val="17"/>
        </w:numPr>
        <w:rPr>
          <w:rFonts w:ascii="Times New Roman" w:hAnsi="Times New Roman" w:cs="Times New Roman"/>
          <w:b/>
          <w:bCs/>
          <w:color w:val="000000" w:themeColor="text1"/>
          <w:sz w:val="24"/>
          <w:szCs w:val="24"/>
        </w:rPr>
      </w:pPr>
      <w:r w:rsidRPr="00163BF5">
        <w:rPr>
          <w:rFonts w:ascii="Times New Roman" w:hAnsi="Times New Roman" w:cs="Times New Roman"/>
          <w:b/>
          <w:bCs/>
          <w:color w:val="000000" w:themeColor="text1"/>
          <w:sz w:val="24"/>
          <w:szCs w:val="24"/>
          <w:lang w:val="es-EC"/>
        </w:rPr>
        <w:t xml:space="preserve">Los </w:t>
      </w:r>
      <w:r w:rsidR="00FB0B73" w:rsidRPr="00163BF5">
        <w:rPr>
          <w:rFonts w:ascii="Times New Roman" w:hAnsi="Times New Roman" w:cs="Times New Roman"/>
          <w:b/>
          <w:bCs/>
          <w:color w:val="000000" w:themeColor="text1"/>
          <w:sz w:val="24"/>
          <w:szCs w:val="24"/>
          <w:lang w:val="es-EC"/>
        </w:rPr>
        <w:t xml:space="preserve">principios de buena fe y </w:t>
      </w:r>
      <w:r w:rsidR="00FB0B73" w:rsidRPr="00163BF5">
        <w:rPr>
          <w:rFonts w:ascii="Times New Roman" w:hAnsi="Times New Roman" w:cs="Times New Roman"/>
          <w:b/>
          <w:bCs/>
          <w:i/>
          <w:iCs/>
          <w:color w:val="000000" w:themeColor="text1"/>
          <w:sz w:val="24"/>
          <w:szCs w:val="24"/>
          <w:lang w:val="es-EC"/>
        </w:rPr>
        <w:t xml:space="preserve">pacta sunt </w:t>
      </w:r>
      <w:proofErr w:type="spellStart"/>
      <w:r w:rsidR="00FB0B73" w:rsidRPr="00163BF5">
        <w:rPr>
          <w:rFonts w:ascii="Times New Roman" w:hAnsi="Times New Roman" w:cs="Times New Roman"/>
          <w:b/>
          <w:bCs/>
          <w:i/>
          <w:iCs/>
          <w:color w:val="000000" w:themeColor="text1"/>
          <w:sz w:val="24"/>
          <w:szCs w:val="24"/>
          <w:lang w:val="es-EC"/>
        </w:rPr>
        <w:t>servanta</w:t>
      </w:r>
      <w:proofErr w:type="spellEnd"/>
      <w:r w:rsidR="00FB0B73" w:rsidRPr="00163BF5">
        <w:rPr>
          <w:rFonts w:ascii="Times New Roman" w:hAnsi="Times New Roman" w:cs="Times New Roman"/>
          <w:b/>
          <w:bCs/>
          <w:color w:val="000000" w:themeColor="text1"/>
          <w:sz w:val="24"/>
          <w:szCs w:val="24"/>
          <w:lang w:val="es-EC"/>
        </w:rPr>
        <w:t xml:space="preserve"> </w:t>
      </w:r>
      <w:r w:rsidRPr="00163BF5">
        <w:rPr>
          <w:rFonts w:ascii="Times New Roman" w:hAnsi="Times New Roman" w:cs="Times New Roman"/>
          <w:b/>
          <w:bCs/>
          <w:color w:val="000000" w:themeColor="text1"/>
          <w:sz w:val="24"/>
          <w:szCs w:val="24"/>
          <w:lang w:val="es-EC"/>
        </w:rPr>
        <w:t xml:space="preserve">en la </w:t>
      </w:r>
      <w:proofErr w:type="spellStart"/>
      <w:r w:rsidRPr="00163BF5">
        <w:rPr>
          <w:rFonts w:ascii="Times New Roman" w:hAnsi="Times New Roman" w:cs="Times New Roman"/>
          <w:b/>
          <w:bCs/>
          <w:color w:val="000000" w:themeColor="text1"/>
          <w:sz w:val="24"/>
          <w:szCs w:val="24"/>
          <w:lang w:val="es-EC"/>
        </w:rPr>
        <w:t>interpretacion</w:t>
      </w:r>
      <w:proofErr w:type="spellEnd"/>
      <w:r w:rsidRPr="00163BF5">
        <w:rPr>
          <w:rFonts w:ascii="Times New Roman" w:hAnsi="Times New Roman" w:cs="Times New Roman"/>
          <w:b/>
          <w:bCs/>
          <w:color w:val="000000" w:themeColor="text1"/>
          <w:sz w:val="24"/>
          <w:szCs w:val="24"/>
          <w:lang w:val="es-EC"/>
        </w:rPr>
        <w:t xml:space="preserve"> de los tratados internacionales</w:t>
      </w:r>
      <w:r w:rsidR="009A2D2A" w:rsidRPr="00163BF5">
        <w:rPr>
          <w:rFonts w:ascii="Times New Roman" w:hAnsi="Times New Roman" w:cs="Times New Roman"/>
          <w:b/>
          <w:bCs/>
          <w:color w:val="000000" w:themeColor="text1"/>
          <w:sz w:val="24"/>
          <w:szCs w:val="24"/>
          <w:lang w:val="es-EC"/>
        </w:rPr>
        <w:t>.</w:t>
      </w:r>
    </w:p>
    <w:p w14:paraId="57943651" w14:textId="50C418AB" w:rsidR="007A1153" w:rsidRPr="00163BF5" w:rsidRDefault="00DA7A4F" w:rsidP="007A1153">
      <w:pPr>
        <w:pStyle w:val="NormalWeb"/>
        <w:spacing w:line="480" w:lineRule="auto"/>
        <w:ind w:firstLine="708"/>
        <w:rPr>
          <w:color w:val="000000" w:themeColor="text1"/>
          <w:lang w:eastAsia="es-MX"/>
        </w:rPr>
      </w:pPr>
      <w:r w:rsidRPr="00163BF5">
        <w:rPr>
          <w:color w:val="000000" w:themeColor="text1"/>
        </w:rPr>
        <w:t xml:space="preserve">La </w:t>
      </w:r>
      <w:proofErr w:type="spellStart"/>
      <w:r w:rsidRPr="00163BF5">
        <w:rPr>
          <w:color w:val="000000" w:themeColor="text1"/>
        </w:rPr>
        <w:t>interpretacion</w:t>
      </w:r>
      <w:proofErr w:type="spellEnd"/>
      <w:r w:rsidRPr="00163BF5">
        <w:rPr>
          <w:color w:val="000000" w:themeColor="text1"/>
        </w:rPr>
        <w:t xml:space="preserve"> de los tratados internacionales es </w:t>
      </w:r>
      <w:r w:rsidR="003870E0" w:rsidRPr="00163BF5">
        <w:rPr>
          <w:color w:val="000000" w:themeColor="text1"/>
        </w:rPr>
        <w:t xml:space="preserve">de suma importancia </w:t>
      </w:r>
      <w:r w:rsidRPr="00163BF5">
        <w:rPr>
          <w:color w:val="000000" w:themeColor="text1"/>
        </w:rPr>
        <w:t xml:space="preserve">para la correcta aplicación de las </w:t>
      </w:r>
      <w:proofErr w:type="spellStart"/>
      <w:r w:rsidRPr="00163BF5">
        <w:rPr>
          <w:color w:val="000000" w:themeColor="text1"/>
        </w:rPr>
        <w:t>dispociones</w:t>
      </w:r>
      <w:proofErr w:type="spellEnd"/>
      <w:r w:rsidRPr="00163BF5">
        <w:rPr>
          <w:color w:val="000000" w:themeColor="text1"/>
        </w:rPr>
        <w:t xml:space="preserve"> convencionales</w:t>
      </w:r>
      <w:r w:rsidR="003870E0" w:rsidRPr="00163BF5">
        <w:rPr>
          <w:color w:val="000000" w:themeColor="text1"/>
        </w:rPr>
        <w:t xml:space="preserve"> en la normativa interna de los Estados,</w:t>
      </w:r>
      <w:r w:rsidRPr="00163BF5">
        <w:rPr>
          <w:color w:val="000000" w:themeColor="text1"/>
        </w:rPr>
        <w:t xml:space="preserve"> para realizar esta interpretaci</w:t>
      </w:r>
      <w:r w:rsidR="006257E1" w:rsidRPr="00163BF5">
        <w:rPr>
          <w:color w:val="000000" w:themeColor="text1"/>
        </w:rPr>
        <w:t>ó</w:t>
      </w:r>
      <w:r w:rsidRPr="00163BF5">
        <w:rPr>
          <w:color w:val="000000" w:themeColor="text1"/>
        </w:rPr>
        <w:t xml:space="preserve">n de </w:t>
      </w:r>
      <w:r w:rsidR="004645ED" w:rsidRPr="00163BF5">
        <w:rPr>
          <w:color w:val="000000" w:themeColor="text1"/>
        </w:rPr>
        <w:t xml:space="preserve">la </w:t>
      </w:r>
      <w:r w:rsidRPr="00163BF5">
        <w:rPr>
          <w:color w:val="000000" w:themeColor="text1"/>
        </w:rPr>
        <w:t>manera correcta, la Convención de Viena sobre el Derecho de los Tratados, en sus artícul</w:t>
      </w:r>
      <w:r w:rsidR="007A1153" w:rsidRPr="00163BF5">
        <w:rPr>
          <w:color w:val="000000" w:themeColor="text1"/>
        </w:rPr>
        <w:t xml:space="preserve">o 26 expresa el principio </w:t>
      </w:r>
      <w:r w:rsidR="007A1153" w:rsidRPr="00163BF5">
        <w:rPr>
          <w:i/>
          <w:iCs/>
          <w:color w:val="000000" w:themeColor="text1"/>
        </w:rPr>
        <w:t xml:space="preserve">pacta sunt </w:t>
      </w:r>
      <w:proofErr w:type="spellStart"/>
      <w:r w:rsidR="007A1153" w:rsidRPr="00163BF5">
        <w:rPr>
          <w:i/>
          <w:iCs/>
          <w:color w:val="000000" w:themeColor="text1"/>
        </w:rPr>
        <w:t>servanda</w:t>
      </w:r>
      <w:proofErr w:type="spellEnd"/>
      <w:r w:rsidR="007A1153" w:rsidRPr="00163BF5">
        <w:rPr>
          <w:i/>
          <w:iCs/>
          <w:color w:val="000000" w:themeColor="text1"/>
        </w:rPr>
        <w:t xml:space="preserve"> </w:t>
      </w:r>
      <w:r w:rsidR="007A1153" w:rsidRPr="00163BF5">
        <w:rPr>
          <w:color w:val="000000" w:themeColor="text1"/>
        </w:rPr>
        <w:t>que expresa que “</w:t>
      </w:r>
      <w:r w:rsidR="007A1153" w:rsidRPr="00163BF5">
        <w:rPr>
          <w:color w:val="000000" w:themeColor="text1"/>
          <w:lang w:eastAsia="es-MX"/>
        </w:rPr>
        <w:t xml:space="preserve">Todo tratado en vigor obliga a las partes y debe ser cumplido por ellas de buena fe” (Convención de Viena, </w:t>
      </w:r>
      <w:r w:rsidR="007D7402" w:rsidRPr="00163BF5">
        <w:rPr>
          <w:color w:val="000000" w:themeColor="text1"/>
          <w:lang w:eastAsia="es-MX"/>
        </w:rPr>
        <w:t>1969,</w:t>
      </w:r>
      <w:r w:rsidR="007A1153" w:rsidRPr="00163BF5">
        <w:rPr>
          <w:color w:val="000000" w:themeColor="text1"/>
          <w:lang w:eastAsia="es-MX"/>
        </w:rPr>
        <w:t>art.26)</w:t>
      </w:r>
      <w:r w:rsidR="008579F6" w:rsidRPr="00163BF5">
        <w:rPr>
          <w:color w:val="000000" w:themeColor="text1"/>
          <w:lang w:eastAsia="es-MX"/>
        </w:rPr>
        <w:t>.</w:t>
      </w:r>
    </w:p>
    <w:p w14:paraId="227F2A74" w14:textId="72759AAC" w:rsidR="00A33ACE" w:rsidRPr="00163BF5" w:rsidRDefault="004645ED" w:rsidP="007A1153">
      <w:pPr>
        <w:pStyle w:val="NormalWeb"/>
        <w:spacing w:line="480" w:lineRule="auto"/>
        <w:ind w:firstLine="708"/>
        <w:jc w:val="both"/>
        <w:rPr>
          <w:color w:val="000000" w:themeColor="text1"/>
          <w:lang w:eastAsia="es-MX"/>
        </w:rPr>
      </w:pPr>
      <w:r w:rsidRPr="00163BF5">
        <w:rPr>
          <w:color w:val="000000" w:themeColor="text1"/>
          <w:lang w:eastAsia="es-MX"/>
        </w:rPr>
        <w:t xml:space="preserve">El </w:t>
      </w:r>
      <w:r w:rsidR="007A1153" w:rsidRPr="00163BF5">
        <w:rPr>
          <w:color w:val="000000" w:themeColor="text1"/>
          <w:lang w:eastAsia="es-MX"/>
        </w:rPr>
        <w:t xml:space="preserve">artículo 31 de la Convención antes citada, establece como primera regla de </w:t>
      </w:r>
      <w:proofErr w:type="spellStart"/>
      <w:r w:rsidR="007A1153" w:rsidRPr="00163BF5">
        <w:rPr>
          <w:color w:val="000000" w:themeColor="text1"/>
          <w:lang w:eastAsia="es-MX"/>
        </w:rPr>
        <w:t>interpretacion</w:t>
      </w:r>
      <w:proofErr w:type="spellEnd"/>
      <w:r w:rsidR="007A1153" w:rsidRPr="00163BF5">
        <w:rPr>
          <w:color w:val="000000" w:themeColor="text1"/>
          <w:lang w:eastAsia="es-MX"/>
        </w:rPr>
        <w:t xml:space="preserve"> que</w:t>
      </w:r>
      <w:r w:rsidRPr="00163BF5">
        <w:rPr>
          <w:color w:val="000000" w:themeColor="text1"/>
          <w:lang w:eastAsia="es-MX"/>
        </w:rPr>
        <w:t xml:space="preserve">: </w:t>
      </w:r>
      <w:r w:rsidR="007A1153" w:rsidRPr="00163BF5">
        <w:rPr>
          <w:color w:val="000000" w:themeColor="text1"/>
          <w:lang w:eastAsia="es-MX"/>
        </w:rPr>
        <w:t>“</w:t>
      </w:r>
      <w:r w:rsidRPr="00163BF5">
        <w:rPr>
          <w:color w:val="000000" w:themeColor="text1"/>
        </w:rPr>
        <w:t>u</w:t>
      </w:r>
      <w:r w:rsidR="003870E0" w:rsidRPr="00163BF5">
        <w:rPr>
          <w:color w:val="000000" w:themeColor="text1"/>
        </w:rPr>
        <w:t>n tratado deberá interpretarse de buena fe conforme al sentido corriente que haya de atribuirse a los términos del tratado en el contexto de estos y teniendo en cuenta su objeto y fin</w:t>
      </w:r>
      <w:r w:rsidR="007A1153" w:rsidRPr="00163BF5">
        <w:rPr>
          <w:color w:val="000000" w:themeColor="text1"/>
        </w:rPr>
        <w:t xml:space="preserve">” (Convención de Viena, </w:t>
      </w:r>
      <w:r w:rsidR="007D7402" w:rsidRPr="00163BF5">
        <w:rPr>
          <w:color w:val="000000" w:themeColor="text1"/>
        </w:rPr>
        <w:t>1969</w:t>
      </w:r>
      <w:r w:rsidR="007A1153" w:rsidRPr="00163BF5">
        <w:rPr>
          <w:color w:val="000000" w:themeColor="text1"/>
        </w:rPr>
        <w:t>, art.31)</w:t>
      </w:r>
      <w:r w:rsidR="0024391C" w:rsidRPr="00163BF5">
        <w:rPr>
          <w:color w:val="000000" w:themeColor="text1"/>
        </w:rPr>
        <w:t xml:space="preserve">. </w:t>
      </w:r>
    </w:p>
    <w:p w14:paraId="2CAA067C" w14:textId="2E8A39AE" w:rsidR="001D18B1" w:rsidRPr="00163BF5" w:rsidRDefault="00A33ACE" w:rsidP="007E276B">
      <w:pPr>
        <w:spacing w:line="480" w:lineRule="auto"/>
        <w:ind w:firstLine="708"/>
        <w:jc w:val="both"/>
        <w:rPr>
          <w:color w:val="000000" w:themeColor="text1"/>
          <w:shd w:val="clear" w:color="auto" w:fill="FFFFFF"/>
        </w:rPr>
      </w:pPr>
      <w:r w:rsidRPr="00163BF5">
        <w:rPr>
          <w:color w:val="000000" w:themeColor="text1"/>
          <w:shd w:val="clear" w:color="auto" w:fill="FFFFFF"/>
        </w:rPr>
        <w:t>Por lo mencionado, en el marco del Derecho Internacional Público, “si un Estado en ejercicio de su soberanía ratifica un tratado, debe ceñirse a lo establecido en él,</w:t>
      </w:r>
      <w:r w:rsidR="007E276B" w:rsidRPr="00163BF5">
        <w:rPr>
          <w:color w:val="000000" w:themeColor="text1"/>
          <w:shd w:val="clear" w:color="auto" w:fill="FFFFFF"/>
        </w:rPr>
        <w:t xml:space="preserve"> </w:t>
      </w:r>
      <w:r w:rsidRPr="00163BF5">
        <w:rPr>
          <w:color w:val="000000" w:themeColor="text1"/>
          <w:shd w:val="clear" w:color="auto" w:fill="FFFFFF"/>
        </w:rPr>
        <w:t>obligación que conlleva la de adoptar la interpretación autorizada respecto del significado y alcance de sus disposiciones, emitida por el órgano competente” (</w:t>
      </w:r>
      <w:r w:rsidR="001D18B1" w:rsidRPr="00163BF5">
        <w:rPr>
          <w:color w:val="000000" w:themeColor="text1"/>
          <w:shd w:val="clear" w:color="auto" w:fill="FFFFFF"/>
        </w:rPr>
        <w:t>Cobo, Cruz, Guevara</w:t>
      </w:r>
      <w:r w:rsidR="00470198" w:rsidRPr="00163BF5">
        <w:rPr>
          <w:color w:val="000000" w:themeColor="text1"/>
          <w:shd w:val="clear" w:color="auto" w:fill="FFFFFF"/>
        </w:rPr>
        <w:t xml:space="preserve"> y </w:t>
      </w:r>
      <w:r w:rsidR="001D18B1" w:rsidRPr="00163BF5">
        <w:rPr>
          <w:color w:val="000000" w:themeColor="text1"/>
          <w:shd w:val="clear" w:color="auto" w:fill="FFFFFF"/>
        </w:rPr>
        <w:t xml:space="preserve">Salazar, 2019, </w:t>
      </w:r>
      <w:r w:rsidR="00651EBA" w:rsidRPr="00163BF5">
        <w:rPr>
          <w:color w:val="000000" w:themeColor="text1"/>
          <w:shd w:val="clear" w:color="auto" w:fill="FFFFFF"/>
        </w:rPr>
        <w:t>p.</w:t>
      </w:r>
      <w:r w:rsidR="001D18B1" w:rsidRPr="00163BF5">
        <w:rPr>
          <w:color w:val="000000" w:themeColor="text1"/>
          <w:shd w:val="clear" w:color="auto" w:fill="FFFFFF"/>
        </w:rPr>
        <w:t xml:space="preserve"> 127)</w:t>
      </w:r>
      <w:r w:rsidR="008579F6" w:rsidRPr="00163BF5">
        <w:rPr>
          <w:color w:val="000000" w:themeColor="text1"/>
          <w:shd w:val="clear" w:color="auto" w:fill="FFFFFF"/>
        </w:rPr>
        <w:t>.</w:t>
      </w:r>
    </w:p>
    <w:p w14:paraId="0F300823" w14:textId="4B22134F" w:rsidR="009A2D2A" w:rsidRPr="00163BF5" w:rsidRDefault="001D18B1" w:rsidP="009A2D2A">
      <w:pPr>
        <w:spacing w:line="480" w:lineRule="auto"/>
        <w:ind w:firstLine="708"/>
        <w:jc w:val="both"/>
        <w:rPr>
          <w:color w:val="000000" w:themeColor="text1"/>
          <w:shd w:val="clear" w:color="auto" w:fill="FFFFFF"/>
        </w:rPr>
      </w:pPr>
      <w:r w:rsidRPr="00163BF5">
        <w:rPr>
          <w:color w:val="000000" w:themeColor="text1"/>
          <w:shd w:val="clear" w:color="auto" w:fill="FFFFFF"/>
        </w:rPr>
        <w:t xml:space="preserve">Es decir, si un Estado suscribe un tratado, este se obliga a cumplir de buena fe la </w:t>
      </w:r>
      <w:proofErr w:type="spellStart"/>
      <w:r w:rsidRPr="00163BF5">
        <w:rPr>
          <w:color w:val="000000" w:themeColor="text1"/>
          <w:shd w:val="clear" w:color="auto" w:fill="FFFFFF"/>
        </w:rPr>
        <w:t>interpretacion</w:t>
      </w:r>
      <w:proofErr w:type="spellEnd"/>
      <w:r w:rsidRPr="00163BF5">
        <w:rPr>
          <w:color w:val="000000" w:themeColor="text1"/>
          <w:shd w:val="clear" w:color="auto" w:fill="FFFFFF"/>
        </w:rPr>
        <w:t xml:space="preserve"> que el organismo autorizado realice</w:t>
      </w:r>
      <w:r w:rsidR="00A017D7" w:rsidRPr="00163BF5">
        <w:rPr>
          <w:color w:val="000000" w:themeColor="text1"/>
          <w:shd w:val="clear" w:color="auto" w:fill="FFFFFF"/>
        </w:rPr>
        <w:t xml:space="preserve"> sobre el tratado.</w:t>
      </w:r>
    </w:p>
    <w:p w14:paraId="35C60846" w14:textId="731F9D90" w:rsidR="00DA7A4F" w:rsidRPr="00163BF5" w:rsidRDefault="001D18B1" w:rsidP="007E276B">
      <w:pPr>
        <w:spacing w:line="480" w:lineRule="auto"/>
        <w:ind w:firstLine="708"/>
        <w:jc w:val="both"/>
        <w:rPr>
          <w:color w:val="000000" w:themeColor="text1"/>
        </w:rPr>
      </w:pPr>
      <w:r w:rsidRPr="00163BF5">
        <w:rPr>
          <w:color w:val="000000" w:themeColor="text1"/>
          <w:shd w:val="clear" w:color="auto" w:fill="FFFFFF"/>
        </w:rPr>
        <w:t>En el marco del Sistema Interamericano de Derechos Humanos, el organismo autorizado a realizar la interpretación de la Convención Americana sobre Derechos Humanos</w:t>
      </w:r>
      <w:r w:rsidR="00A017D7" w:rsidRPr="00163BF5">
        <w:rPr>
          <w:color w:val="000000" w:themeColor="text1"/>
          <w:shd w:val="clear" w:color="auto" w:fill="FFFFFF"/>
        </w:rPr>
        <w:t xml:space="preserve"> </w:t>
      </w:r>
      <w:r w:rsidRPr="00163BF5">
        <w:rPr>
          <w:color w:val="000000" w:themeColor="text1"/>
          <w:shd w:val="clear" w:color="auto" w:fill="FFFFFF"/>
        </w:rPr>
        <w:t xml:space="preserve">es la Corte Interamericana de Derechos Humanos. </w:t>
      </w:r>
    </w:p>
    <w:p w14:paraId="1DFD9901" w14:textId="3F1E6E4C" w:rsidR="0063750F" w:rsidRPr="00163BF5" w:rsidRDefault="001D18B1" w:rsidP="007E276B">
      <w:pPr>
        <w:shd w:val="clear" w:color="auto" w:fill="FFFFFF"/>
        <w:spacing w:after="200" w:line="480" w:lineRule="auto"/>
        <w:ind w:firstLine="708"/>
        <w:jc w:val="both"/>
        <w:rPr>
          <w:color w:val="000000" w:themeColor="text1"/>
          <w:lang w:val="es-ES_tradnl" w:eastAsia="es-ES_tradnl"/>
        </w:rPr>
      </w:pPr>
      <w:r w:rsidRPr="00163BF5">
        <w:rPr>
          <w:color w:val="000000" w:themeColor="text1"/>
          <w:lang w:val="es-ES_tradnl" w:eastAsia="es-ES_tradnl"/>
        </w:rPr>
        <w:t xml:space="preserve">La competencia de este </w:t>
      </w:r>
      <w:r w:rsidR="00A017D7" w:rsidRPr="00163BF5">
        <w:rPr>
          <w:color w:val="000000" w:themeColor="text1"/>
          <w:lang w:val="es-ES_tradnl" w:eastAsia="es-ES_tradnl"/>
        </w:rPr>
        <w:t>organismo</w:t>
      </w:r>
      <w:r w:rsidR="00282214" w:rsidRPr="00163BF5">
        <w:rPr>
          <w:color w:val="000000" w:themeColor="text1"/>
          <w:lang w:val="es-ES_tradnl" w:eastAsia="es-ES_tradnl"/>
        </w:rPr>
        <w:t xml:space="preserve"> </w:t>
      </w:r>
      <w:r w:rsidR="0063750F" w:rsidRPr="00163BF5">
        <w:rPr>
          <w:color w:val="000000" w:themeColor="text1"/>
          <w:lang w:val="es-ES_tradnl" w:eastAsia="es-ES_tradnl"/>
        </w:rPr>
        <w:t xml:space="preserve">se encuentra expresada en el artículo 62 numeral 3 el cual dicta que: </w:t>
      </w:r>
    </w:p>
    <w:p w14:paraId="24E38937" w14:textId="0139DBFD" w:rsidR="0063750F" w:rsidRPr="00163BF5" w:rsidRDefault="0063750F" w:rsidP="00282214">
      <w:pPr>
        <w:shd w:val="clear" w:color="auto" w:fill="FFFFFF"/>
        <w:spacing w:after="200"/>
        <w:ind w:left="1440"/>
        <w:jc w:val="both"/>
        <w:rPr>
          <w:color w:val="000000" w:themeColor="text1"/>
          <w:sz w:val="22"/>
          <w:szCs w:val="22"/>
          <w:lang w:val="es-ES_tradnl" w:eastAsia="es-ES_tradnl"/>
        </w:rPr>
      </w:pPr>
      <w:r w:rsidRPr="00163BF5">
        <w:rPr>
          <w:color w:val="000000" w:themeColor="text1"/>
          <w:sz w:val="22"/>
          <w:szCs w:val="22"/>
          <w:lang w:val="es-ES_tradnl" w:eastAsia="es-ES_tradnl"/>
        </w:rPr>
        <w:t>La Corte tiene competencia para conocer de cualquier caso relativo a la interpretación y aplicación de las disposiciones de esta Convención que le sea sometido, siempre que los Estados Parte en el caso hayan reconocido o reconozcan dicha competencia, ora por declaración especial, como se indica en los incisos anteriores, ora por convención especial</w:t>
      </w:r>
      <w:r w:rsidR="008579F6" w:rsidRPr="00163BF5">
        <w:rPr>
          <w:color w:val="000000" w:themeColor="text1"/>
          <w:sz w:val="22"/>
          <w:szCs w:val="22"/>
          <w:lang w:val="es-ES_tradnl" w:eastAsia="es-ES_tradnl"/>
        </w:rPr>
        <w:t xml:space="preserve">. </w:t>
      </w:r>
      <w:r w:rsidRPr="00163BF5">
        <w:rPr>
          <w:color w:val="000000" w:themeColor="text1"/>
          <w:sz w:val="22"/>
          <w:szCs w:val="22"/>
          <w:lang w:val="es-ES_tradnl" w:eastAsia="es-ES_tradnl"/>
        </w:rPr>
        <w:t>(CADH, 1969, art.62)</w:t>
      </w:r>
    </w:p>
    <w:p w14:paraId="09467ACC" w14:textId="3B0E31B2" w:rsidR="003C21D9" w:rsidRPr="00163BF5" w:rsidRDefault="0063750F" w:rsidP="00F92151">
      <w:pPr>
        <w:shd w:val="clear" w:color="auto" w:fill="FFFFFF"/>
        <w:spacing w:after="200" w:line="480" w:lineRule="auto"/>
        <w:ind w:firstLine="708"/>
        <w:jc w:val="both"/>
        <w:rPr>
          <w:color w:val="000000" w:themeColor="text1"/>
          <w:lang w:val="es-ES_tradnl" w:eastAsia="es-ES_tradnl"/>
        </w:rPr>
      </w:pPr>
      <w:r w:rsidRPr="00163BF5">
        <w:rPr>
          <w:color w:val="000000" w:themeColor="text1"/>
          <w:lang w:val="es-ES_tradnl" w:eastAsia="es-ES_tradnl"/>
        </w:rPr>
        <w:t xml:space="preserve">Es así como, la Corte IDH puede conocer cualquier </w:t>
      </w:r>
      <w:r w:rsidR="00A14F18" w:rsidRPr="00163BF5">
        <w:rPr>
          <w:color w:val="000000" w:themeColor="text1"/>
          <w:lang w:val="es-ES_tradnl" w:eastAsia="es-ES_tradnl"/>
        </w:rPr>
        <w:t>caso que</w:t>
      </w:r>
      <w:r w:rsidRPr="00163BF5">
        <w:rPr>
          <w:color w:val="000000" w:themeColor="text1"/>
          <w:lang w:val="es-ES_tradnl" w:eastAsia="es-ES_tradnl"/>
        </w:rPr>
        <w:t xml:space="preserve"> verse sobre la aplicación e interpretación de las disposiciones dictadas por la CADH</w:t>
      </w:r>
      <w:r w:rsidR="003C21D9" w:rsidRPr="00163BF5">
        <w:rPr>
          <w:color w:val="000000" w:themeColor="text1"/>
          <w:lang w:val="es-ES_tradnl" w:eastAsia="es-ES_tradnl"/>
        </w:rPr>
        <w:t>.</w:t>
      </w:r>
      <w:r w:rsidRPr="00163BF5">
        <w:rPr>
          <w:color w:val="000000" w:themeColor="text1"/>
          <w:lang w:val="es-ES_tradnl" w:eastAsia="es-ES_tradnl"/>
        </w:rPr>
        <w:t xml:space="preserve"> </w:t>
      </w:r>
      <w:r w:rsidR="003C21D9" w:rsidRPr="00163BF5">
        <w:rPr>
          <w:color w:val="000000" w:themeColor="text1"/>
          <w:lang w:val="es-ES_tradnl" w:eastAsia="es-ES_tradnl"/>
        </w:rPr>
        <w:t xml:space="preserve"> </w:t>
      </w:r>
    </w:p>
    <w:p w14:paraId="1302DD20" w14:textId="49CEDA20" w:rsidR="003C21D9" w:rsidRPr="00163BF5" w:rsidRDefault="003C21D9" w:rsidP="00F92151">
      <w:pPr>
        <w:shd w:val="clear" w:color="auto" w:fill="FFFFFF"/>
        <w:spacing w:after="200" w:line="480" w:lineRule="auto"/>
        <w:ind w:firstLine="708"/>
        <w:jc w:val="both"/>
        <w:rPr>
          <w:color w:val="000000" w:themeColor="text1"/>
          <w:lang w:val="es-ES_tradnl" w:eastAsia="es-ES_tradnl"/>
        </w:rPr>
      </w:pPr>
      <w:r w:rsidRPr="00163BF5">
        <w:rPr>
          <w:color w:val="000000" w:themeColor="text1"/>
          <w:lang w:val="es-ES_tradnl" w:eastAsia="es-ES_tradnl"/>
        </w:rPr>
        <w:t>En cuanto a los estándares emitidos por la Corte IDH, estos son interpretaciones que realizan los jueces sobre el contenido y alcance de la Convención Americana sobre Derechos Humanos, por lo que, basados en l</w:t>
      </w:r>
      <w:r w:rsidR="009A2D2A" w:rsidRPr="00163BF5">
        <w:rPr>
          <w:color w:val="000000" w:themeColor="text1"/>
          <w:lang w:val="es-ES_tradnl" w:eastAsia="es-ES_tradnl"/>
        </w:rPr>
        <w:t xml:space="preserve">os principios </w:t>
      </w:r>
      <w:r w:rsidR="009A2D2A" w:rsidRPr="00163BF5">
        <w:rPr>
          <w:i/>
          <w:iCs/>
          <w:color w:val="000000" w:themeColor="text1"/>
          <w:lang w:val="es-ES_tradnl" w:eastAsia="es-ES_tradnl"/>
        </w:rPr>
        <w:t xml:space="preserve">pro homine, </w:t>
      </w:r>
      <w:r w:rsidR="009A2D2A" w:rsidRPr="00163BF5">
        <w:rPr>
          <w:color w:val="000000" w:themeColor="text1"/>
          <w:lang w:val="es-ES_tradnl" w:eastAsia="es-ES_tradnl"/>
        </w:rPr>
        <w:t xml:space="preserve">buena fe y </w:t>
      </w:r>
      <w:r w:rsidR="009A2D2A" w:rsidRPr="00163BF5">
        <w:rPr>
          <w:i/>
          <w:iCs/>
          <w:color w:val="000000" w:themeColor="text1"/>
          <w:lang w:val="es-ES_tradnl" w:eastAsia="es-ES_tradnl"/>
        </w:rPr>
        <w:t xml:space="preserve">pacta sunt </w:t>
      </w:r>
      <w:proofErr w:type="spellStart"/>
      <w:r w:rsidR="009A2D2A" w:rsidRPr="00163BF5">
        <w:rPr>
          <w:i/>
          <w:iCs/>
          <w:color w:val="000000" w:themeColor="text1"/>
          <w:lang w:val="es-ES_tradnl" w:eastAsia="es-ES_tradnl"/>
        </w:rPr>
        <w:t>servanda</w:t>
      </w:r>
      <w:proofErr w:type="spellEnd"/>
      <w:r w:rsidR="00A017D7" w:rsidRPr="00163BF5">
        <w:rPr>
          <w:color w:val="000000" w:themeColor="text1"/>
          <w:lang w:val="es-ES_tradnl" w:eastAsia="es-ES_tradnl"/>
        </w:rPr>
        <w:t xml:space="preserve">, </w:t>
      </w:r>
      <w:r w:rsidR="009A2D2A" w:rsidRPr="00163BF5">
        <w:rPr>
          <w:color w:val="000000" w:themeColor="text1"/>
          <w:lang w:val="es-ES_tradnl" w:eastAsia="es-ES_tradnl"/>
        </w:rPr>
        <w:t>los estados parte de la CADH deben acatarlos.</w:t>
      </w:r>
    </w:p>
    <w:p w14:paraId="7E18969B" w14:textId="58A86C9A" w:rsidR="00966443" w:rsidRPr="00163BF5" w:rsidRDefault="00966443" w:rsidP="00A62393">
      <w:pPr>
        <w:pStyle w:val="Ttulo3"/>
        <w:numPr>
          <w:ilvl w:val="2"/>
          <w:numId w:val="17"/>
        </w:numPr>
        <w:jc w:val="both"/>
        <w:rPr>
          <w:highlight w:val="white"/>
        </w:rPr>
      </w:pPr>
      <w:bookmarkStart w:id="5" w:name="_Toc67513370"/>
      <w:r w:rsidRPr="00163BF5">
        <w:rPr>
          <w:highlight w:val="white"/>
        </w:rPr>
        <w:t>Bloque de constitucionalidad: aplicación directa de los instrumentos internacionales de derechos humanos en el Ecuador</w:t>
      </w:r>
      <w:bookmarkEnd w:id="5"/>
    </w:p>
    <w:p w14:paraId="1056B644" w14:textId="77777777" w:rsidR="00966443" w:rsidRPr="00163BF5" w:rsidRDefault="00966443" w:rsidP="00966443">
      <w:pPr>
        <w:spacing w:line="480" w:lineRule="auto"/>
        <w:ind w:firstLine="708"/>
        <w:jc w:val="both"/>
        <w:rPr>
          <w:color w:val="000000" w:themeColor="text1"/>
          <w:highlight w:val="white"/>
          <w:lang w:eastAsia="en-US"/>
        </w:rPr>
      </w:pPr>
      <w:r w:rsidRPr="00163BF5">
        <w:rPr>
          <w:color w:val="000000" w:themeColor="text1"/>
          <w:highlight w:val="white"/>
          <w:lang w:eastAsia="en-US"/>
        </w:rPr>
        <w:t xml:space="preserve">La Corte Constitucional del Ecuador en la sentencia No. 026-12-SIS-CC del 21 de junio de 2012, sobre el bloque de constitucionalidad ha mencionado que: </w:t>
      </w:r>
    </w:p>
    <w:p w14:paraId="699B0F37" w14:textId="60DF10B3" w:rsidR="00966443" w:rsidRPr="00163BF5" w:rsidRDefault="00966443" w:rsidP="00966443">
      <w:pPr>
        <w:shd w:val="clear" w:color="auto" w:fill="FFFFFF"/>
        <w:ind w:left="1440"/>
        <w:jc w:val="both"/>
        <w:rPr>
          <w:color w:val="000000" w:themeColor="text1"/>
          <w:sz w:val="22"/>
          <w:szCs w:val="22"/>
        </w:rPr>
      </w:pPr>
      <w:r w:rsidRPr="00163BF5">
        <w:rPr>
          <w:color w:val="000000" w:themeColor="text1"/>
          <w:sz w:val="22"/>
          <w:szCs w:val="22"/>
          <w:highlight w:val="white"/>
          <w:lang w:eastAsia="en-US"/>
        </w:rPr>
        <w:t xml:space="preserve">Una constitución puede ser normativamente algo más que el propio texto constitucional, esto  es, que las normas constitucionales, o al menos supralegales, pueden ser más numerosas que aquellas que  pueden encontrarse en el articulado de la constitución escrita. El bloque de constitucionalidad nos permite  interpretar las normas constitucionales, pero, además, los tratados de derechos humanos orientan al Juez  constitucional  a  identificar  elementos  esenciales  que    definan  la  fisonomía  insustituible  de   la  Constitución </w:t>
      </w:r>
      <w:r w:rsidRPr="00163BF5">
        <w:rPr>
          <w:color w:val="000000" w:themeColor="text1"/>
          <w:sz w:val="22"/>
          <w:szCs w:val="22"/>
        </w:rPr>
        <w:t>En tal virtud, para resolver un problema jurídico no solo se debe tener presente a la Constitución, ya que  otras disposiciones y principios pueden tener relevancia para decidir esos asuntos. (</w:t>
      </w:r>
      <w:r w:rsidR="00A017D7" w:rsidRPr="00163BF5">
        <w:rPr>
          <w:color w:val="000000" w:themeColor="text1"/>
          <w:sz w:val="22"/>
          <w:szCs w:val="22"/>
        </w:rPr>
        <w:t>p</w:t>
      </w:r>
      <w:r w:rsidR="00526C3C" w:rsidRPr="00163BF5">
        <w:rPr>
          <w:color w:val="000000" w:themeColor="text1"/>
          <w:sz w:val="22"/>
          <w:szCs w:val="22"/>
        </w:rPr>
        <w:t>.12</w:t>
      </w:r>
      <w:r w:rsidRPr="00163BF5">
        <w:rPr>
          <w:color w:val="000000" w:themeColor="text1"/>
          <w:sz w:val="22"/>
          <w:szCs w:val="22"/>
        </w:rPr>
        <w:t xml:space="preserve">) </w:t>
      </w:r>
    </w:p>
    <w:p w14:paraId="7CA399E0" w14:textId="77777777" w:rsidR="00966443" w:rsidRPr="00163BF5" w:rsidRDefault="00966443" w:rsidP="00966443">
      <w:pPr>
        <w:shd w:val="clear" w:color="auto" w:fill="FFFFFF"/>
        <w:ind w:left="1440"/>
        <w:jc w:val="both"/>
        <w:rPr>
          <w:color w:val="000000" w:themeColor="text1"/>
          <w:sz w:val="22"/>
          <w:szCs w:val="22"/>
        </w:rPr>
      </w:pPr>
    </w:p>
    <w:p w14:paraId="31B0B9DB" w14:textId="15FAF8A2" w:rsidR="00966443" w:rsidRPr="00163BF5" w:rsidRDefault="00966443" w:rsidP="006A66B9">
      <w:pPr>
        <w:shd w:val="clear" w:color="auto" w:fill="FFFFFF"/>
        <w:spacing w:line="480" w:lineRule="auto"/>
        <w:ind w:firstLine="708"/>
        <w:jc w:val="both"/>
        <w:rPr>
          <w:color w:val="000000" w:themeColor="text1"/>
        </w:rPr>
      </w:pPr>
      <w:r w:rsidRPr="00163BF5">
        <w:rPr>
          <w:color w:val="000000" w:themeColor="text1"/>
        </w:rPr>
        <w:t>Es así como el bloque de constitucionalidad se entiende como “conjunto de normas que no constando expresamente dentro de las normas positivas de la Constitución formal, forman parte  de esta porque es la propia Constitución la que reconoce ese rango y rol” (CCE, Sentencia Juicio No. 004-14-SCN-CC, 2014</w:t>
      </w:r>
      <w:r w:rsidR="00526C3C" w:rsidRPr="00163BF5">
        <w:rPr>
          <w:color w:val="000000" w:themeColor="text1"/>
        </w:rPr>
        <w:t>, p.25)</w:t>
      </w:r>
      <w:r w:rsidRPr="00163BF5">
        <w:rPr>
          <w:color w:val="000000" w:themeColor="text1"/>
        </w:rPr>
        <w:t xml:space="preserve">. Esta facultad  esta estipulada en los artículos 11.3 y 426 de la Constitución del Ecuador. </w:t>
      </w:r>
    </w:p>
    <w:p w14:paraId="63D6DA54" w14:textId="23B936CE" w:rsidR="00966443" w:rsidRPr="00163BF5" w:rsidRDefault="00966443" w:rsidP="00966443">
      <w:pPr>
        <w:spacing w:line="480" w:lineRule="auto"/>
        <w:ind w:firstLine="709"/>
        <w:jc w:val="both"/>
        <w:rPr>
          <w:color w:val="000000" w:themeColor="text1"/>
          <w:highlight w:val="white"/>
          <w:lang w:val="es-ES_tradnl" w:eastAsia="es-ES_tradnl"/>
        </w:rPr>
      </w:pPr>
      <w:r w:rsidRPr="00163BF5">
        <w:rPr>
          <w:color w:val="000000" w:themeColor="text1"/>
        </w:rPr>
        <w:t xml:space="preserve"> E</w:t>
      </w:r>
      <w:r w:rsidRPr="00163BF5">
        <w:rPr>
          <w:color w:val="000000" w:themeColor="text1"/>
          <w:highlight w:val="white"/>
          <w:lang w:val="es-ES_tradnl" w:eastAsia="es-ES_tradnl"/>
        </w:rPr>
        <w:t>l artículo 11 de la Constitución del Ecuador de 2008 señala que el ejercicio de los derechos en el Ecuador se regirá en base a los principios enlistados en dicho artículo</w:t>
      </w:r>
      <w:r w:rsidRPr="00163BF5">
        <w:rPr>
          <w:color w:val="000000" w:themeColor="text1"/>
          <w:lang w:val="es-ES_tradnl" w:eastAsia="es-ES_tradnl"/>
        </w:rPr>
        <w:t xml:space="preserve">; en su numeral 3 establece </w:t>
      </w:r>
      <w:r w:rsidRPr="00163BF5">
        <w:rPr>
          <w:color w:val="000000" w:themeColor="text1"/>
          <w:highlight w:val="white"/>
          <w:lang w:val="es-ES_tradnl" w:eastAsia="es-ES_tradnl"/>
        </w:rPr>
        <w:t xml:space="preserve">los derechos y garantías establecidos en la Constitución e instrumentos internacionales de derechos humanos son de directa e inmediata aplicación, no restringe que deben ser derechos y garantías establecidos solo en tratados internacionales, por lo que se entiende que pueden ser los derechos y garantías establecidos en otros instrumentos internacionales como lo son declaraciones y resoluciones de organismos de protección de derechos humanos </w:t>
      </w:r>
      <w:r w:rsidRPr="00163BF5">
        <w:rPr>
          <w:color w:val="000000" w:themeColor="text1"/>
          <w:lang w:val="es-ES_tradnl" w:eastAsia="es-ES_tradnl"/>
        </w:rPr>
        <w:t>(CRE, 2008, art. 11.3).</w:t>
      </w:r>
    </w:p>
    <w:p w14:paraId="4482A534" w14:textId="77777777" w:rsidR="00966443" w:rsidRPr="00163BF5" w:rsidRDefault="00966443" w:rsidP="00966443">
      <w:pPr>
        <w:spacing w:line="480" w:lineRule="auto"/>
        <w:ind w:firstLine="708"/>
        <w:jc w:val="both"/>
        <w:rPr>
          <w:color w:val="000000" w:themeColor="text1"/>
          <w:lang w:val="es-ES_tradnl" w:eastAsia="es-ES_tradnl"/>
        </w:rPr>
      </w:pPr>
      <w:r w:rsidRPr="00163BF5">
        <w:rPr>
          <w:color w:val="000000" w:themeColor="text1"/>
        </w:rPr>
        <w:t xml:space="preserve">En el mismo sentido, el artículo 426 señala  </w:t>
      </w:r>
      <w:r w:rsidRPr="00163BF5">
        <w:rPr>
          <w:color w:val="000000" w:themeColor="text1"/>
          <w:lang w:val="es-ES_tradnl" w:eastAsia="es-ES_tradnl"/>
        </w:rPr>
        <w:t xml:space="preserve">toda persona, autoridad e institución está sujeta a la Constitución del Ecuador y que todo servidor público entre ellos los jueces aplicaran directamente las normas constitucionales y las los derechos previstos en instrumentos internacionales de derechos humanos siempre que estos sean más favorables a los dictados por la Constitución, entre estos instrumentos antes señalados se encuentra la Convención Americana sobre Derechos Humanos (CRE,  2008, Art. 426). </w:t>
      </w:r>
    </w:p>
    <w:p w14:paraId="2ED3600D" w14:textId="55E2FA10" w:rsidR="00966443" w:rsidRPr="00163BF5" w:rsidRDefault="00966443" w:rsidP="00966443">
      <w:pPr>
        <w:spacing w:line="480" w:lineRule="auto"/>
        <w:jc w:val="both"/>
        <w:rPr>
          <w:color w:val="000000" w:themeColor="text1"/>
          <w:shd w:val="clear" w:color="auto" w:fill="FFFFFF"/>
        </w:rPr>
      </w:pPr>
      <w:r w:rsidRPr="00163BF5">
        <w:rPr>
          <w:color w:val="000000" w:themeColor="text1"/>
          <w:lang w:val="es-ES_tradnl" w:eastAsia="es-ES_tradnl"/>
        </w:rPr>
        <w:t xml:space="preserve">Es importante mencionar que el legislador en la Constitución del Ecuador utiliza el </w:t>
      </w:r>
      <w:proofErr w:type="spellStart"/>
      <w:r w:rsidRPr="00163BF5">
        <w:rPr>
          <w:color w:val="000000" w:themeColor="text1"/>
          <w:lang w:val="es-ES_tradnl" w:eastAsia="es-ES_tradnl"/>
        </w:rPr>
        <w:t>termino</w:t>
      </w:r>
      <w:proofErr w:type="spellEnd"/>
      <w:r w:rsidRPr="00163BF5">
        <w:rPr>
          <w:color w:val="000000" w:themeColor="text1"/>
          <w:lang w:val="es-ES_tradnl" w:eastAsia="es-ES_tradnl"/>
        </w:rPr>
        <w:t xml:space="preserve"> “instrumentos internacionales” de derechos humanos, por lo que se permite la aplicación no solo de tratados y convenciones internacionales sino de otros instrumentos como pueden ser las interpretaciones realizadas por organismos internacionales de derechos humanos respecto a una convención, como es el caso de la Corte IDH</w:t>
      </w:r>
      <w:r w:rsidR="00CF4658" w:rsidRPr="00163BF5">
        <w:rPr>
          <w:color w:val="000000" w:themeColor="text1"/>
          <w:lang w:val="es-ES_tradnl" w:eastAsia="es-ES_tradnl"/>
        </w:rPr>
        <w:t xml:space="preserve"> </w:t>
      </w:r>
      <w:r w:rsidRPr="00163BF5">
        <w:rPr>
          <w:color w:val="000000" w:themeColor="text1"/>
          <w:lang w:val="es-ES_tradnl" w:eastAsia="es-ES_tradnl"/>
        </w:rPr>
        <w:t>(</w:t>
      </w:r>
      <w:r w:rsidRPr="00163BF5">
        <w:rPr>
          <w:color w:val="000000" w:themeColor="text1"/>
          <w:shd w:val="clear" w:color="auto" w:fill="FFFFFF"/>
        </w:rPr>
        <w:t>Cobo et al, 2019)</w:t>
      </w:r>
      <w:r w:rsidR="008579F6" w:rsidRPr="00163BF5">
        <w:rPr>
          <w:color w:val="000000" w:themeColor="text1"/>
          <w:shd w:val="clear" w:color="auto" w:fill="FFFFFF"/>
        </w:rPr>
        <w:t>.</w:t>
      </w:r>
    </w:p>
    <w:p w14:paraId="46D054E6" w14:textId="288F0D6D" w:rsidR="0002107B" w:rsidRPr="00163BF5" w:rsidRDefault="0002107B" w:rsidP="00A62393">
      <w:pPr>
        <w:pStyle w:val="Ttulo5"/>
        <w:numPr>
          <w:ilvl w:val="2"/>
          <w:numId w:val="17"/>
        </w:numPr>
        <w:rPr>
          <w:rFonts w:ascii="Times New Roman" w:hAnsi="Times New Roman" w:cs="Times New Roman"/>
          <w:color w:val="000000" w:themeColor="text1"/>
          <w:sz w:val="24"/>
          <w:szCs w:val="24"/>
        </w:rPr>
      </w:pPr>
      <w:bookmarkStart w:id="6" w:name="_Toc67513362"/>
      <w:r w:rsidRPr="00163BF5">
        <w:rPr>
          <w:rFonts w:ascii="Times New Roman" w:hAnsi="Times New Roman" w:cs="Times New Roman"/>
          <w:color w:val="000000" w:themeColor="text1"/>
          <w:sz w:val="24"/>
          <w:szCs w:val="24"/>
        </w:rPr>
        <w:t>El control de convencionalidad y el control de constitucionalidad</w:t>
      </w:r>
      <w:bookmarkEnd w:id="6"/>
      <w:r w:rsidRPr="00163BF5">
        <w:rPr>
          <w:rFonts w:ascii="Times New Roman" w:hAnsi="Times New Roman" w:cs="Times New Roman"/>
          <w:color w:val="000000" w:themeColor="text1"/>
          <w:sz w:val="24"/>
          <w:szCs w:val="24"/>
        </w:rPr>
        <w:t xml:space="preserve"> </w:t>
      </w:r>
    </w:p>
    <w:p w14:paraId="13C3228F" w14:textId="24A97030" w:rsidR="0002107B" w:rsidRPr="00163BF5" w:rsidRDefault="0002107B" w:rsidP="00A62393">
      <w:pPr>
        <w:pStyle w:val="Ttulo6"/>
        <w:numPr>
          <w:ilvl w:val="3"/>
          <w:numId w:val="17"/>
        </w:numPr>
        <w:rPr>
          <w:rFonts w:ascii="Times New Roman" w:hAnsi="Times New Roman" w:cs="Times New Roman"/>
          <w:color w:val="000000" w:themeColor="text1"/>
          <w:sz w:val="24"/>
          <w:szCs w:val="24"/>
        </w:rPr>
      </w:pPr>
      <w:bookmarkStart w:id="7" w:name="_Toc67513363"/>
      <w:r w:rsidRPr="00163BF5">
        <w:rPr>
          <w:rFonts w:ascii="Times New Roman" w:hAnsi="Times New Roman" w:cs="Times New Roman"/>
          <w:color w:val="000000" w:themeColor="text1"/>
          <w:sz w:val="24"/>
          <w:szCs w:val="24"/>
        </w:rPr>
        <w:t>El control de convencionalidad</w:t>
      </w:r>
      <w:bookmarkEnd w:id="7"/>
      <w:r w:rsidRPr="00163BF5">
        <w:rPr>
          <w:rFonts w:ascii="Times New Roman" w:hAnsi="Times New Roman" w:cs="Times New Roman"/>
          <w:color w:val="000000" w:themeColor="text1"/>
          <w:sz w:val="24"/>
          <w:szCs w:val="24"/>
        </w:rPr>
        <w:t xml:space="preserve"> </w:t>
      </w:r>
    </w:p>
    <w:p w14:paraId="796859E3" w14:textId="192ABC74"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Como precedente es de señalar que todo sistema de protección internacional de Derechos Humanos posee como rasgo </w:t>
      </w:r>
      <w:r w:rsidR="00931CA6" w:rsidRPr="00163BF5">
        <w:rPr>
          <w:color w:val="000000" w:themeColor="text1"/>
          <w:lang w:val="es-ES_tradnl" w:eastAsia="es-ES_tradnl"/>
        </w:rPr>
        <w:t>principal “</w:t>
      </w:r>
      <w:r w:rsidRPr="00163BF5">
        <w:rPr>
          <w:color w:val="000000" w:themeColor="text1"/>
          <w:lang w:val="es-ES_tradnl" w:eastAsia="es-ES_tradnl"/>
        </w:rPr>
        <w:t>(…) la consideración del individuo y de su dignidad como un valor autónomo de la Sociedad Internacional (…) De tal forma que la garantía del disfrute efectivo de los DDHH se convierte en el objetivo inmediato y único (…)” (</w:t>
      </w:r>
      <w:r w:rsidR="00BF1F4D" w:rsidRPr="00163BF5">
        <w:rPr>
          <w:color w:val="000000" w:themeColor="text1"/>
          <w:lang w:val="es-ES_tradnl" w:eastAsia="es-ES_tradnl"/>
        </w:rPr>
        <w:t>Diez de Velasco</w:t>
      </w:r>
      <w:r w:rsidRPr="00163BF5">
        <w:rPr>
          <w:color w:val="000000" w:themeColor="text1"/>
          <w:lang w:val="es-ES_tradnl" w:eastAsia="es-ES_tradnl"/>
        </w:rPr>
        <w:t xml:space="preserve">, 2013, </w:t>
      </w:r>
      <w:r w:rsidR="00651EBA" w:rsidRPr="00163BF5">
        <w:rPr>
          <w:color w:val="000000" w:themeColor="text1"/>
          <w:lang w:val="es-ES_tradnl" w:eastAsia="es-ES_tradnl"/>
        </w:rPr>
        <w:t>p.</w:t>
      </w:r>
      <w:r w:rsidRPr="00163BF5">
        <w:rPr>
          <w:color w:val="000000" w:themeColor="text1"/>
          <w:lang w:val="es-ES_tradnl" w:eastAsia="es-ES_tradnl"/>
        </w:rPr>
        <w:t xml:space="preserve"> 663). Dado que a diferencia de los demás tratados internacionales que genera obligaciones entre Estados, los tratados que abarcan Derechos Humanos buscan una protección a estos derechos inherentes a las personas. </w:t>
      </w:r>
    </w:p>
    <w:p w14:paraId="502B69DF" w14:textId="644EA8E0" w:rsidR="00045F94" w:rsidRPr="00163BF5" w:rsidRDefault="006257E1" w:rsidP="00791D6D">
      <w:pPr>
        <w:spacing w:line="480" w:lineRule="auto"/>
        <w:ind w:firstLine="709"/>
        <w:jc w:val="both"/>
        <w:rPr>
          <w:color w:val="000000" w:themeColor="text1"/>
          <w:lang w:val="es-ES_tradnl" w:eastAsia="es-ES_tradnl"/>
        </w:rPr>
      </w:pPr>
      <w:r w:rsidRPr="00163BF5">
        <w:rPr>
          <w:color w:val="000000" w:themeColor="text1"/>
          <w:lang w:val="es-ES_tradnl" w:eastAsia="es-ES_tradnl"/>
        </w:rPr>
        <w:t>De esta manera</w:t>
      </w:r>
      <w:r w:rsidR="0002107B" w:rsidRPr="00163BF5">
        <w:rPr>
          <w:color w:val="000000" w:themeColor="text1"/>
          <w:lang w:val="es-ES_tradnl" w:eastAsia="es-ES_tradnl"/>
        </w:rPr>
        <w:t xml:space="preserve"> el Sistema Interamericano de Derechos Humanos, mediante la Corte Interamericana de Derechos Humanos crean el concepto “control de convencionalidad” como una garantía para que lo establecido por la Convención y la jurisprudencia de la Corte IDH protejan los derechos de los individuos frente a posibles vulneraciones por parte de los Estados</w:t>
      </w:r>
      <w:r w:rsidR="000A02F9" w:rsidRPr="00163BF5">
        <w:rPr>
          <w:color w:val="000000" w:themeColor="text1"/>
          <w:lang w:val="es-ES_tradnl" w:eastAsia="es-ES_tradnl"/>
        </w:rPr>
        <w:t>.</w:t>
      </w:r>
      <w:r w:rsidR="0002107B" w:rsidRPr="00163BF5">
        <w:rPr>
          <w:color w:val="000000" w:themeColor="text1"/>
          <w:lang w:val="es-ES_tradnl" w:eastAsia="es-ES_tradnl"/>
        </w:rPr>
        <w:t xml:space="preserve"> </w:t>
      </w:r>
    </w:p>
    <w:p w14:paraId="46A15CF5" w14:textId="58DE105F" w:rsidR="0041603E" w:rsidRPr="00163BF5" w:rsidRDefault="0002107B" w:rsidP="0041603E">
      <w:pPr>
        <w:pStyle w:val="Ttulo7"/>
        <w:numPr>
          <w:ilvl w:val="4"/>
          <w:numId w:val="17"/>
        </w:numPr>
        <w:spacing w:line="480" w:lineRule="auto"/>
        <w:jc w:val="both"/>
        <w:rPr>
          <w:rFonts w:ascii="Times New Roman" w:eastAsia="Times New Roman" w:hAnsi="Times New Roman" w:cs="Times New Roman"/>
          <w:b/>
          <w:bCs/>
          <w:i w:val="0"/>
          <w:iCs w:val="0"/>
          <w:color w:val="000000" w:themeColor="text1"/>
          <w:sz w:val="24"/>
          <w:szCs w:val="24"/>
        </w:rPr>
      </w:pPr>
      <w:bookmarkStart w:id="8" w:name="_Toc67513364"/>
      <w:r w:rsidRPr="00163BF5">
        <w:rPr>
          <w:rFonts w:ascii="Times New Roman" w:eastAsia="Times New Roman" w:hAnsi="Times New Roman" w:cs="Times New Roman"/>
          <w:b/>
          <w:bCs/>
          <w:i w:val="0"/>
          <w:iCs w:val="0"/>
          <w:color w:val="000000" w:themeColor="text1"/>
          <w:sz w:val="24"/>
          <w:szCs w:val="24"/>
        </w:rPr>
        <w:t>Antecedentes</w:t>
      </w:r>
      <w:bookmarkEnd w:id="8"/>
      <w:r w:rsidRPr="00163BF5">
        <w:rPr>
          <w:rFonts w:ascii="Times New Roman" w:eastAsia="Times New Roman" w:hAnsi="Times New Roman" w:cs="Times New Roman"/>
          <w:b/>
          <w:bCs/>
          <w:i w:val="0"/>
          <w:iCs w:val="0"/>
          <w:color w:val="000000" w:themeColor="text1"/>
          <w:sz w:val="24"/>
          <w:szCs w:val="24"/>
        </w:rPr>
        <w:t xml:space="preserve"> </w:t>
      </w:r>
    </w:p>
    <w:p w14:paraId="19CE3F3A" w14:textId="77777777" w:rsidR="0002107B" w:rsidRPr="00163BF5" w:rsidRDefault="0002107B" w:rsidP="0002107B">
      <w:pPr>
        <w:spacing w:line="480" w:lineRule="auto"/>
        <w:ind w:firstLine="709"/>
        <w:jc w:val="both"/>
        <w:rPr>
          <w:b/>
          <w:color w:val="000000" w:themeColor="text1"/>
          <w:lang w:val="es-ES_tradnl" w:eastAsia="es-ES_tradnl"/>
        </w:rPr>
      </w:pPr>
      <w:r w:rsidRPr="00163BF5">
        <w:rPr>
          <w:color w:val="000000" w:themeColor="text1"/>
          <w:lang w:val="es-ES_tradnl" w:eastAsia="es-ES_tradnl"/>
        </w:rPr>
        <w:t xml:space="preserve">Este término es observado por primera vez en el voto razonado del Juez Sergio García Ramírez en el caso Myrna Mack Chang vs. Guatemala donde se menciona: </w:t>
      </w:r>
    </w:p>
    <w:p w14:paraId="185C5D6E" w14:textId="3FD6FBED" w:rsidR="0002107B" w:rsidRPr="00163BF5" w:rsidRDefault="0002107B" w:rsidP="001D49B9">
      <w:pPr>
        <w:ind w:left="1440"/>
        <w:jc w:val="both"/>
        <w:rPr>
          <w:color w:val="000000" w:themeColor="text1"/>
          <w:sz w:val="22"/>
          <w:szCs w:val="22"/>
          <w:lang w:val="es-ES_tradnl" w:eastAsia="es-ES_tradnl"/>
        </w:rPr>
      </w:pPr>
      <w:r w:rsidRPr="00163BF5">
        <w:rPr>
          <w:color w:val="000000" w:themeColor="text1"/>
          <w:sz w:val="22"/>
          <w:szCs w:val="22"/>
          <w:lang w:val="es-ES_tradnl" w:eastAsia="es-ES_tradnl"/>
        </w:rPr>
        <w:t>No es posible seccionar internacionalmente al Estado, obligar ante la Corte sólo a uno o algunos de sus órganos, entregar a éstos la representación del Estado en el juicio --sin que esa representación repercuta sobre el Estado en su conjunto-- y sustraer a otros de este régimen convencional de responsabilidad, dejando sus actuaciones fuera del “control de convencionalidad” que trae consigo la jurisdicción de la Corte internacional. (párr. 27)</w:t>
      </w:r>
    </w:p>
    <w:p w14:paraId="712C4E2A" w14:textId="77777777" w:rsidR="006A66B9" w:rsidRPr="00163BF5" w:rsidRDefault="006A66B9" w:rsidP="001D49B9">
      <w:pPr>
        <w:ind w:left="1440"/>
        <w:jc w:val="both"/>
        <w:rPr>
          <w:color w:val="000000" w:themeColor="text1"/>
          <w:sz w:val="22"/>
          <w:szCs w:val="22"/>
          <w:lang w:val="es-ES_tradnl" w:eastAsia="es-ES_tradnl"/>
        </w:rPr>
      </w:pPr>
    </w:p>
    <w:p w14:paraId="2A78F1C5" w14:textId="733EE413" w:rsidR="0002107B" w:rsidRPr="00163BF5" w:rsidRDefault="006A66B9" w:rsidP="006A66B9">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El voto razonado citado </w:t>
      </w:r>
      <w:r w:rsidR="0002107B" w:rsidRPr="00163BF5">
        <w:rPr>
          <w:color w:val="000000" w:themeColor="text1"/>
          <w:lang w:val="es-ES_tradnl" w:eastAsia="es-ES_tradnl"/>
        </w:rPr>
        <w:t xml:space="preserve">menciona que este término es una facultad otorgada por la propia Corte Interamericana de Derechos Humanos y no lo proyectó como un ejercicio interno en cada Estado como lo es en la actualidad. </w:t>
      </w:r>
    </w:p>
    <w:p w14:paraId="7CDFDDDE" w14:textId="77777777"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También reitera en casos posteriores que esta debe ser una atribución exclusiva del Tribunal Interamericano el cual debe: </w:t>
      </w:r>
    </w:p>
    <w:p w14:paraId="334F7C8B" w14:textId="60EA5EEE" w:rsidR="0002107B" w:rsidRPr="00163BF5" w:rsidRDefault="0002107B" w:rsidP="0002107B">
      <w:pPr>
        <w:ind w:left="1440"/>
        <w:jc w:val="both"/>
        <w:rPr>
          <w:color w:val="000000" w:themeColor="text1"/>
          <w:sz w:val="22"/>
          <w:szCs w:val="22"/>
          <w:lang w:val="es-ES_tradnl" w:eastAsia="es-ES_tradnl"/>
        </w:rPr>
      </w:pPr>
      <w:r w:rsidRPr="00163BF5">
        <w:rPr>
          <w:color w:val="000000" w:themeColor="text1"/>
          <w:sz w:val="22"/>
          <w:szCs w:val="22"/>
          <w:lang w:val="es-ES_tradnl" w:eastAsia="es-ES_tradnl"/>
        </w:rPr>
        <w:t>(…) confrontar los hechos internos --leyes, actos administrativos, resoluciones jurisdiccionales, por ejemplo-- con las normas de la Convención y resolver si existe congruencia entre aquéllos y éstas, para determinar, sobre esa base, si aparece la responsabilidad internacional del Estado por incumplimiento de sus obligaciones de la misma naturaleza. (</w:t>
      </w:r>
      <w:r w:rsidR="00953F53" w:rsidRPr="00163BF5">
        <w:rPr>
          <w:color w:val="000000" w:themeColor="text1"/>
          <w:sz w:val="22"/>
          <w:szCs w:val="22"/>
          <w:lang w:val="es-ES_tradnl" w:eastAsia="es-ES_tradnl"/>
        </w:rPr>
        <w:t xml:space="preserve">Corte IDH, </w:t>
      </w:r>
      <w:r w:rsidRPr="00163BF5">
        <w:rPr>
          <w:color w:val="000000" w:themeColor="text1"/>
          <w:sz w:val="22"/>
          <w:szCs w:val="22"/>
          <w:lang w:val="es-ES_tradnl" w:eastAsia="es-ES_tradnl"/>
        </w:rPr>
        <w:t>Voto Razonado</w:t>
      </w:r>
      <w:r w:rsidR="00953F53" w:rsidRPr="00163BF5">
        <w:rPr>
          <w:color w:val="000000" w:themeColor="text1"/>
          <w:sz w:val="22"/>
          <w:szCs w:val="22"/>
          <w:lang w:val="es-ES_tradnl" w:eastAsia="es-ES_tradnl"/>
        </w:rPr>
        <w:t xml:space="preserve"> Caso </w:t>
      </w:r>
      <w:r w:rsidRPr="00163BF5">
        <w:rPr>
          <w:color w:val="000000" w:themeColor="text1"/>
          <w:sz w:val="22"/>
          <w:szCs w:val="22"/>
          <w:lang w:val="es-ES_tradnl" w:eastAsia="es-ES_tradnl"/>
        </w:rPr>
        <w:t>Vargas Areco Vs. Paraguay 2006. párr. 7)</w:t>
      </w:r>
    </w:p>
    <w:p w14:paraId="36E6EE27" w14:textId="77777777" w:rsidR="00E72E00" w:rsidRPr="00163BF5" w:rsidRDefault="00E72E00" w:rsidP="00953F53">
      <w:pPr>
        <w:jc w:val="both"/>
        <w:rPr>
          <w:color w:val="000000" w:themeColor="text1"/>
          <w:lang w:val="es-ES_tradnl" w:eastAsia="es-ES_tradnl"/>
        </w:rPr>
      </w:pPr>
    </w:p>
    <w:p w14:paraId="0B69B3BF" w14:textId="77777777"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Sin embargo, no es hasta el caso Almonacid Arellano Vs. Chile, donde el tribunal menciona que los jueces nacionales están sujetos al imperio de la ley, razón por la cual estos deben aplicar las disposiciones vigentes en su sistema jurídico, planteándose de la siguiente manera: </w:t>
      </w:r>
    </w:p>
    <w:p w14:paraId="7121524B" w14:textId="77777777" w:rsidR="0002107B" w:rsidRPr="00163BF5" w:rsidRDefault="0002107B" w:rsidP="0002107B">
      <w:pPr>
        <w:ind w:left="1440"/>
        <w:jc w:val="both"/>
        <w:rPr>
          <w:color w:val="000000" w:themeColor="text1"/>
          <w:sz w:val="22"/>
          <w:szCs w:val="22"/>
          <w:lang w:val="es-ES_tradnl" w:eastAsia="es-ES_tradnl"/>
        </w:rPr>
      </w:pPr>
      <w:r w:rsidRPr="00163BF5">
        <w:rPr>
          <w:color w:val="000000" w:themeColor="text1"/>
          <w:sz w:val="22"/>
          <w:szCs w:val="22"/>
          <w:lang w:val="es-ES_tradnl" w:eastAsia="es-ES_tradnl"/>
        </w:rPr>
        <w:t>La Corte es consciente que los jueces y tribunales internos están sujetos al imperio de la ley y, por ello, están obligados a aplicar las disposiciones vigentes en el ordenamiento jurídico. Pero cuando un Estado ha ratificado un tratado internacional como la Convención Americana, sus jueces, como parte del aparato del Estado, también están sometidos a ella, lo que les obliga a velar porque los efectos de las disposiciones de la Convención no se vean mermadas por la aplicación de leyes contrarias a su objeto y fin, y que desde un inicio carecen de efectos jurídicos. En otras palabras, el Poder Judicial debe ejercer una especie de “control de convencionalidad” entre las normas jurídicas internas que aplican en los casos concretos y la CADH. En esta tarea, el Poder Judicial debe tener en cuenta no solamente el tratado, sino también la interpretación que del mismo ha hecho la Corte Interamericana, intérprete última de la Convención Americana. (Corte IDH, Caso Almonacid Arellano y otros vs Chile 2006, párr. 124)</w:t>
      </w:r>
    </w:p>
    <w:p w14:paraId="265EF205" w14:textId="77777777" w:rsidR="0002107B" w:rsidRPr="00163BF5" w:rsidRDefault="0002107B" w:rsidP="0002107B">
      <w:pPr>
        <w:ind w:firstLine="709"/>
        <w:jc w:val="both"/>
        <w:rPr>
          <w:color w:val="000000" w:themeColor="text1"/>
          <w:lang w:val="es-ES_tradnl" w:eastAsia="es-ES_tradnl"/>
        </w:rPr>
      </w:pPr>
    </w:p>
    <w:p w14:paraId="4DB21ED3" w14:textId="4EE64256" w:rsidR="00A62393" w:rsidRPr="00163BF5" w:rsidRDefault="0002107B" w:rsidP="008E0BA4">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Con lo citado, se establece que, si bien las autoridades internas están sujetas al imperio de la ley y su ordenamiento jurídico, en el momento en que un Estado ratifica un tratado internacional, como es la Convención Americana sobre Derechos Humanos, </w:t>
      </w:r>
      <w:r w:rsidR="00A017D7" w:rsidRPr="00163BF5">
        <w:rPr>
          <w:color w:val="000000" w:themeColor="text1"/>
          <w:lang w:val="es-ES_tradnl" w:eastAsia="es-ES_tradnl"/>
        </w:rPr>
        <w:t xml:space="preserve">se </w:t>
      </w:r>
      <w:r w:rsidRPr="00163BF5">
        <w:rPr>
          <w:color w:val="000000" w:themeColor="text1"/>
          <w:lang w:val="es-ES_tradnl" w:eastAsia="es-ES_tradnl"/>
        </w:rPr>
        <w:t>obliga a que los jueces velen por lo establecido en el ya mencionado instrumento internacional. Sin embargo, en el caso Gelman Vs. Uruguay del 2011 se establece que el control convencionalidad no es meramente un trabajo de los jueces sino de toda autoridad pública (Corte IDH, Gelman Vs. Uruguay, 2011).</w:t>
      </w:r>
    </w:p>
    <w:p w14:paraId="2DF3CCCF" w14:textId="5C18822F" w:rsidR="003B4618" w:rsidRPr="00163BF5" w:rsidRDefault="0002107B" w:rsidP="003B4618">
      <w:pPr>
        <w:pStyle w:val="Ttulo7"/>
        <w:numPr>
          <w:ilvl w:val="4"/>
          <w:numId w:val="17"/>
        </w:numPr>
        <w:spacing w:line="480" w:lineRule="auto"/>
        <w:jc w:val="both"/>
        <w:rPr>
          <w:rFonts w:ascii="Times New Roman" w:eastAsia="Times New Roman" w:hAnsi="Times New Roman" w:cs="Times New Roman"/>
          <w:b/>
          <w:bCs/>
          <w:i w:val="0"/>
          <w:iCs w:val="0"/>
          <w:color w:val="000000" w:themeColor="text1"/>
          <w:sz w:val="24"/>
          <w:szCs w:val="24"/>
        </w:rPr>
      </w:pPr>
      <w:bookmarkStart w:id="9" w:name="_Toc67513365"/>
      <w:r w:rsidRPr="00163BF5">
        <w:rPr>
          <w:rFonts w:ascii="Times New Roman" w:eastAsia="Times New Roman" w:hAnsi="Times New Roman" w:cs="Times New Roman"/>
          <w:b/>
          <w:bCs/>
          <w:i w:val="0"/>
          <w:iCs w:val="0"/>
          <w:color w:val="000000" w:themeColor="text1"/>
          <w:sz w:val="24"/>
          <w:szCs w:val="24"/>
        </w:rPr>
        <w:t>Contenido y alcance del control de convencionalidad</w:t>
      </w:r>
      <w:bookmarkEnd w:id="9"/>
    </w:p>
    <w:p w14:paraId="1AA808C0" w14:textId="420422FE"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En cuanto al contenido y alcance de este término, con lo señalado en los párrafos precedentes </w:t>
      </w:r>
      <w:r w:rsidR="00931CA6" w:rsidRPr="00163BF5">
        <w:rPr>
          <w:color w:val="000000" w:themeColor="text1"/>
          <w:lang w:val="es-ES_tradnl" w:eastAsia="es-ES_tradnl"/>
        </w:rPr>
        <w:t xml:space="preserve">se puede </w:t>
      </w:r>
      <w:r w:rsidRPr="00163BF5">
        <w:rPr>
          <w:color w:val="000000" w:themeColor="text1"/>
          <w:lang w:val="es-ES_tradnl" w:eastAsia="es-ES_tradnl"/>
        </w:rPr>
        <w:t xml:space="preserve">destacar que incorpora un análisis de normativa y </w:t>
      </w:r>
      <w:r w:rsidR="009E071F" w:rsidRPr="00163BF5">
        <w:rPr>
          <w:color w:val="000000" w:themeColor="text1"/>
          <w:lang w:val="es-ES_tradnl" w:eastAsia="es-ES_tradnl"/>
        </w:rPr>
        <w:t xml:space="preserve">de </w:t>
      </w:r>
      <w:r w:rsidRPr="00163BF5">
        <w:rPr>
          <w:color w:val="000000" w:themeColor="text1"/>
          <w:lang w:val="es-ES_tradnl" w:eastAsia="es-ES_tradnl"/>
        </w:rPr>
        <w:t xml:space="preserve">los actos del Estado </w:t>
      </w:r>
      <w:r w:rsidR="009E071F" w:rsidRPr="00163BF5">
        <w:rPr>
          <w:color w:val="000000" w:themeColor="text1"/>
          <w:lang w:val="es-ES_tradnl" w:eastAsia="es-ES_tradnl"/>
        </w:rPr>
        <w:t xml:space="preserve">en relación </w:t>
      </w:r>
      <w:r w:rsidR="00A14F18" w:rsidRPr="00163BF5">
        <w:rPr>
          <w:color w:val="000000" w:themeColor="text1"/>
          <w:lang w:val="es-ES_tradnl" w:eastAsia="es-ES_tradnl"/>
        </w:rPr>
        <w:t>con la</w:t>
      </w:r>
      <w:r w:rsidRPr="00163BF5">
        <w:rPr>
          <w:color w:val="000000" w:themeColor="text1"/>
          <w:lang w:val="es-ES_tradnl" w:eastAsia="es-ES_tradnl"/>
        </w:rPr>
        <w:t xml:space="preserve"> Convención Americana sobre Derechos Humanos y a las interpretaciones que </w:t>
      </w:r>
      <w:r w:rsidR="00E15453" w:rsidRPr="00163BF5">
        <w:rPr>
          <w:color w:val="000000" w:themeColor="text1"/>
          <w:lang w:val="es-ES_tradnl" w:eastAsia="es-ES_tradnl"/>
        </w:rPr>
        <w:t xml:space="preserve">de ella </w:t>
      </w:r>
      <w:r w:rsidRPr="00163BF5">
        <w:rPr>
          <w:color w:val="000000" w:themeColor="text1"/>
          <w:lang w:val="es-ES_tradnl" w:eastAsia="es-ES_tradnl"/>
        </w:rPr>
        <w:t xml:space="preserve">ha realizado la Corte Interamericana de Derechos Humanos para que se dé un fiel el cumplimiento a las obligaciones internacionales del Estado. </w:t>
      </w:r>
    </w:p>
    <w:p w14:paraId="3B645D41" w14:textId="6CD1ACF2"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En ese sentido, el control de convencionalidad de igual manera permite que la regulación sobre derechos humanos emitida por la CADH sea un complemento para la legislación de los distintos Estados que ratificaron el Pacto de San José</w:t>
      </w:r>
      <w:r w:rsidR="00402EA8" w:rsidRPr="00163BF5">
        <w:rPr>
          <w:color w:val="000000" w:themeColor="text1"/>
          <w:lang w:val="es-ES_tradnl" w:eastAsia="es-ES_tradnl"/>
        </w:rPr>
        <w:t xml:space="preserve">. </w:t>
      </w:r>
    </w:p>
    <w:p w14:paraId="145A6699" w14:textId="57CBD318" w:rsidR="0002107B" w:rsidRPr="00163BF5" w:rsidRDefault="00D81FF0" w:rsidP="00D81FF0">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En cuanto a la facultad interpretativa de la Corte IDH, esta </w:t>
      </w:r>
      <w:r w:rsidR="00A017D7" w:rsidRPr="00163BF5">
        <w:rPr>
          <w:color w:val="000000" w:themeColor="text1"/>
          <w:lang w:val="es-ES_tradnl" w:eastAsia="es-ES_tradnl"/>
        </w:rPr>
        <w:t xml:space="preserve">se </w:t>
      </w:r>
      <w:r w:rsidR="00931CA6" w:rsidRPr="00163BF5">
        <w:rPr>
          <w:color w:val="000000" w:themeColor="text1"/>
          <w:lang w:val="es-ES_tradnl" w:eastAsia="es-ES_tradnl"/>
        </w:rPr>
        <w:t>encuentra</w:t>
      </w:r>
      <w:r w:rsidRPr="00163BF5">
        <w:rPr>
          <w:color w:val="000000" w:themeColor="text1"/>
          <w:lang w:val="es-ES_tradnl" w:eastAsia="es-ES_tradnl"/>
        </w:rPr>
        <w:t xml:space="preserve"> estipulada en </w:t>
      </w:r>
      <w:r w:rsidR="0002107B" w:rsidRPr="00163BF5">
        <w:rPr>
          <w:color w:val="000000" w:themeColor="text1"/>
          <w:lang w:val="es-ES_tradnl" w:eastAsia="es-ES_tradnl"/>
        </w:rPr>
        <w:t xml:space="preserve">el artículo 62.3 de la CADH que establece: </w:t>
      </w:r>
    </w:p>
    <w:p w14:paraId="6B1EC935" w14:textId="77777777" w:rsidR="0002107B" w:rsidRPr="00163BF5" w:rsidRDefault="0002107B" w:rsidP="00282214">
      <w:pPr>
        <w:numPr>
          <w:ilvl w:val="0"/>
          <w:numId w:val="2"/>
        </w:numPr>
        <w:pBdr>
          <w:top w:val="nil"/>
          <w:left w:val="nil"/>
          <w:bottom w:val="nil"/>
          <w:right w:val="nil"/>
          <w:between w:val="nil"/>
        </w:pBdr>
        <w:ind w:left="1440" w:firstLine="0"/>
        <w:jc w:val="both"/>
        <w:rPr>
          <w:color w:val="000000" w:themeColor="text1"/>
          <w:sz w:val="22"/>
          <w:szCs w:val="22"/>
          <w:lang w:val="es-ES_tradnl" w:eastAsia="es-ES_tradnl"/>
        </w:rPr>
      </w:pPr>
      <w:r w:rsidRPr="00163BF5">
        <w:rPr>
          <w:color w:val="000000" w:themeColor="text1"/>
          <w:sz w:val="22"/>
          <w:szCs w:val="22"/>
          <w:lang w:val="es-ES_tradnl" w:eastAsia="es-ES_tradnl"/>
        </w:rPr>
        <w:t>La Corte tiene competencia para conocer de cualquier caso relativo a la interpretación y aplicación de las disposiciones de esta Convención que le sea sometido, siempre que los Estados Parte en el caso hayan reconocido o reconozcan dicha competencia, ora por declaración especial, como se indica en los incisos anteriores, ora por convención especial. (CADH, 1969)</w:t>
      </w:r>
    </w:p>
    <w:p w14:paraId="1719D6FD" w14:textId="77777777" w:rsidR="0002107B" w:rsidRPr="00163BF5" w:rsidRDefault="0002107B" w:rsidP="0002107B">
      <w:pPr>
        <w:ind w:firstLine="709"/>
        <w:jc w:val="both"/>
        <w:rPr>
          <w:color w:val="000000" w:themeColor="text1"/>
          <w:lang w:val="es-ES_tradnl" w:eastAsia="es-ES_tradnl"/>
        </w:rPr>
      </w:pPr>
    </w:p>
    <w:p w14:paraId="55596E91" w14:textId="00EE728D" w:rsidR="0002107B" w:rsidRPr="00163BF5" w:rsidRDefault="0002107B" w:rsidP="008579F6">
      <w:pPr>
        <w:spacing w:line="480" w:lineRule="auto"/>
        <w:ind w:firstLine="709"/>
        <w:jc w:val="both"/>
        <w:rPr>
          <w:color w:val="000000" w:themeColor="text1"/>
          <w:lang w:val="es-ES_tradnl" w:eastAsia="es-ES_tradnl"/>
        </w:rPr>
      </w:pPr>
      <w:r w:rsidRPr="00163BF5">
        <w:rPr>
          <w:color w:val="000000" w:themeColor="text1"/>
          <w:lang w:val="es-ES_tradnl" w:eastAsia="es-ES_tradnl"/>
        </w:rPr>
        <w:t>De igual forma</w:t>
      </w:r>
      <w:r w:rsidR="006257E1" w:rsidRPr="00163BF5">
        <w:rPr>
          <w:color w:val="000000" w:themeColor="text1"/>
          <w:lang w:val="es-ES_tradnl" w:eastAsia="es-ES_tradnl"/>
        </w:rPr>
        <w:t>,</w:t>
      </w:r>
      <w:r w:rsidRPr="00163BF5">
        <w:rPr>
          <w:color w:val="000000" w:themeColor="text1"/>
          <w:lang w:val="es-ES_tradnl" w:eastAsia="es-ES_tradnl"/>
        </w:rPr>
        <w:t xml:space="preserve"> se señala que el control de convencionalidad no se limita solo a los dispuesto por la CADH, sino </w:t>
      </w:r>
      <w:r w:rsidRPr="00163BF5">
        <w:rPr>
          <w:rFonts w:eastAsia="Calibri"/>
          <w:color w:val="000000" w:themeColor="text1"/>
          <w:lang w:val="es-ES_tradnl" w:eastAsia="es-ES_tradnl"/>
        </w:rPr>
        <w:t>de los demás instrumentos interamericanos y a la interpretación que de estos realizado por la Corte Interamericana de Derechos Humanos</w:t>
      </w:r>
      <w:r w:rsidRPr="00163BF5">
        <w:rPr>
          <w:color w:val="000000" w:themeColor="text1"/>
          <w:lang w:val="es-ES_tradnl" w:eastAsia="es-ES_tradnl"/>
        </w:rPr>
        <w:t xml:space="preserve"> (Corte IDH, Caso Gudiel Álvarez y otros (“Diario Militar”) Vs. Guatemala, 2012, párr. 330)</w:t>
      </w:r>
      <w:r w:rsidR="008579F6" w:rsidRPr="00163BF5">
        <w:rPr>
          <w:color w:val="000000" w:themeColor="text1"/>
          <w:lang w:val="es-ES_tradnl" w:eastAsia="es-ES_tradnl"/>
        </w:rPr>
        <w:t>. Y</w:t>
      </w:r>
      <w:r w:rsidRPr="00163BF5">
        <w:rPr>
          <w:rFonts w:eastAsia="Calibri"/>
          <w:color w:val="000000" w:themeColor="text1"/>
          <w:lang w:val="es-ES_tradnl" w:eastAsia="es-ES_tradnl"/>
        </w:rPr>
        <w:t xml:space="preserve"> </w:t>
      </w:r>
      <w:r w:rsidRPr="00163BF5">
        <w:rPr>
          <w:color w:val="000000" w:themeColor="text1"/>
          <w:lang w:val="es-ES_tradnl" w:eastAsia="es-ES_tradnl"/>
        </w:rPr>
        <w:t xml:space="preserve">a las opiniones consultivas dictadas por ella en función del artículo 64 de la CADH (Corte IDH, Opinión Consultiva OC-21/14,2014, párr. 31). </w:t>
      </w:r>
    </w:p>
    <w:p w14:paraId="70C2118A" w14:textId="5CA22255" w:rsidR="003B4618" w:rsidRPr="00163BF5" w:rsidRDefault="006257E1" w:rsidP="003B4618">
      <w:pPr>
        <w:pStyle w:val="Ttulo8"/>
        <w:numPr>
          <w:ilvl w:val="5"/>
          <w:numId w:val="17"/>
        </w:numPr>
        <w:spacing w:line="480" w:lineRule="auto"/>
        <w:jc w:val="both"/>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b/>
          <w:bCs/>
          <w:color w:val="000000" w:themeColor="text1"/>
          <w:sz w:val="24"/>
          <w:szCs w:val="24"/>
        </w:rPr>
        <w:t xml:space="preserve"> </w:t>
      </w:r>
      <w:r w:rsidR="0002107B" w:rsidRPr="00163BF5">
        <w:rPr>
          <w:rFonts w:ascii="Times New Roman" w:eastAsia="Times New Roman" w:hAnsi="Times New Roman" w:cs="Times New Roman"/>
          <w:b/>
          <w:bCs/>
          <w:color w:val="000000" w:themeColor="text1"/>
          <w:sz w:val="24"/>
          <w:szCs w:val="24"/>
        </w:rPr>
        <w:t xml:space="preserve">Por el órgano que controla </w:t>
      </w:r>
    </w:p>
    <w:p w14:paraId="109C60CA" w14:textId="728BB74E" w:rsidR="00A62393" w:rsidRPr="00163BF5" w:rsidRDefault="0002107B" w:rsidP="008E0BA4">
      <w:pPr>
        <w:spacing w:line="480" w:lineRule="auto"/>
        <w:ind w:firstLine="709"/>
        <w:jc w:val="both"/>
        <w:rPr>
          <w:color w:val="000000" w:themeColor="text1"/>
          <w:lang w:val="es-ES_tradnl" w:eastAsia="es-ES_tradnl"/>
        </w:rPr>
      </w:pPr>
      <w:r w:rsidRPr="00163BF5">
        <w:rPr>
          <w:color w:val="000000" w:themeColor="text1"/>
          <w:lang w:val="es-ES_tradnl" w:eastAsia="es-ES_tradnl"/>
        </w:rPr>
        <w:t>A raíz de todo lo antes señalado</w:t>
      </w:r>
      <w:r w:rsidR="00A017D7" w:rsidRPr="00163BF5">
        <w:rPr>
          <w:color w:val="000000" w:themeColor="text1"/>
          <w:lang w:val="es-ES_tradnl" w:eastAsia="es-ES_tradnl"/>
        </w:rPr>
        <w:t>,</w:t>
      </w:r>
      <w:r w:rsidRPr="00163BF5">
        <w:rPr>
          <w:color w:val="000000" w:themeColor="text1"/>
          <w:lang w:val="es-ES_tradnl" w:eastAsia="es-ES_tradnl"/>
        </w:rPr>
        <w:t xml:space="preserve"> la doctrina y la jurisprudencia de la Corte Interamericana de Derechos Humanos</w:t>
      </w:r>
      <w:r w:rsidR="00E15453" w:rsidRPr="00163BF5">
        <w:rPr>
          <w:color w:val="000000" w:themeColor="text1"/>
          <w:lang w:val="es-ES_tradnl" w:eastAsia="es-ES_tradnl"/>
        </w:rPr>
        <w:t>,</w:t>
      </w:r>
      <w:r w:rsidRPr="00163BF5">
        <w:rPr>
          <w:color w:val="000000" w:themeColor="text1"/>
          <w:lang w:val="es-ES_tradnl" w:eastAsia="es-ES_tradnl"/>
        </w:rPr>
        <w:t xml:space="preserve"> en cuanto al órgano que realiza el control de convencionalidad, han diferenciado dos tipos: el primero nombrado control difuso de convencionalidad y el segundo señalado como control concentrado de convencionalidad.  </w:t>
      </w:r>
    </w:p>
    <w:p w14:paraId="48C41DFC" w14:textId="7ACB80B4" w:rsidR="0002107B" w:rsidRPr="00163BF5" w:rsidRDefault="0002107B" w:rsidP="00A62393">
      <w:pPr>
        <w:pStyle w:val="Prrafodelista"/>
        <w:numPr>
          <w:ilvl w:val="0"/>
          <w:numId w:val="22"/>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b/>
          <w:bCs/>
          <w:color w:val="000000" w:themeColor="text1"/>
          <w:sz w:val="24"/>
          <w:szCs w:val="24"/>
        </w:rPr>
        <w:t>Control concentrado</w:t>
      </w:r>
    </w:p>
    <w:p w14:paraId="26BF2BB5" w14:textId="12407C87"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Se realiza control concentrado de convencionalidad cuando la Corte IDH “verifica de forma subsidiaria que las disposiciones internas, las conductas y los actos de los Estados parte de la Convención Americana sean acordes y no violenten su contenido” (Bustillo, 2013, </w:t>
      </w:r>
      <w:r w:rsidR="00651EBA" w:rsidRPr="00163BF5">
        <w:rPr>
          <w:color w:val="000000" w:themeColor="text1"/>
          <w:lang w:val="es-ES_tradnl" w:eastAsia="es-ES_tradnl"/>
        </w:rPr>
        <w:t>p.</w:t>
      </w:r>
      <w:r w:rsidRPr="00163BF5">
        <w:rPr>
          <w:color w:val="000000" w:themeColor="text1"/>
          <w:lang w:val="es-ES_tradnl" w:eastAsia="es-ES_tradnl"/>
        </w:rPr>
        <w:t xml:space="preserve"> 8)</w:t>
      </w:r>
      <w:r w:rsidR="008579F6" w:rsidRPr="00163BF5">
        <w:rPr>
          <w:color w:val="000000" w:themeColor="text1"/>
          <w:lang w:val="es-ES_tradnl" w:eastAsia="es-ES_tradnl"/>
        </w:rPr>
        <w:t>. P</w:t>
      </w:r>
      <w:r w:rsidRPr="00163BF5">
        <w:rPr>
          <w:color w:val="000000" w:themeColor="text1"/>
          <w:lang w:val="es-ES_tradnl" w:eastAsia="es-ES_tradnl"/>
        </w:rPr>
        <w:t>or medio de este</w:t>
      </w:r>
      <w:r w:rsidR="00A017D7" w:rsidRPr="00163BF5">
        <w:rPr>
          <w:color w:val="000000" w:themeColor="text1"/>
          <w:lang w:val="es-ES_tradnl" w:eastAsia="es-ES_tradnl"/>
        </w:rPr>
        <w:t>,</w:t>
      </w:r>
      <w:r w:rsidRPr="00163BF5">
        <w:rPr>
          <w:color w:val="000000" w:themeColor="text1"/>
          <w:lang w:val="es-ES_tradnl" w:eastAsia="es-ES_tradnl"/>
        </w:rPr>
        <w:t xml:space="preserve"> la Corte IDH llega a determinar responsabilidad internacional del Estado, por la violación de lo estipulado en la CADH y otros instrumentos interamericanos.  </w:t>
      </w:r>
    </w:p>
    <w:p w14:paraId="0EFC8C75" w14:textId="4BEF9D18" w:rsidR="0002107B" w:rsidRPr="00163BF5" w:rsidRDefault="003B4618" w:rsidP="003B4618">
      <w:pPr>
        <w:pStyle w:val="Prrafodelista"/>
        <w:numPr>
          <w:ilvl w:val="0"/>
          <w:numId w:val="22"/>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b/>
          <w:bCs/>
          <w:color w:val="000000" w:themeColor="text1"/>
          <w:sz w:val="24"/>
          <w:szCs w:val="24"/>
        </w:rPr>
        <w:t>Control difuso</w:t>
      </w:r>
    </w:p>
    <w:p w14:paraId="09A525D8" w14:textId="1755E810"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En cuanto al control de convencionalidad difuso, este refiere al ámbito interno de cada Estado, en palabras de Aguilar (2013) es “el acto de control que efectúa el juez nacional en cuanto a la conformidad de la norma interna respecto de la norma internacional” (</w:t>
      </w:r>
      <w:r w:rsidR="00651EBA" w:rsidRPr="00163BF5">
        <w:rPr>
          <w:color w:val="000000" w:themeColor="text1"/>
          <w:lang w:val="es-ES_tradnl" w:eastAsia="es-ES_tradnl"/>
        </w:rPr>
        <w:t>p.</w:t>
      </w:r>
      <w:r w:rsidRPr="00163BF5">
        <w:rPr>
          <w:color w:val="000000" w:themeColor="text1"/>
          <w:lang w:val="es-ES_tradnl" w:eastAsia="es-ES_tradnl"/>
        </w:rPr>
        <w:t xml:space="preserve"> 721). En caso de existir inconformidad entre la norma interna y la norma internacional el juez posee distintas alternativas, como expulsarla o darle una interpretación conforme a la CADH para que la norma pueda conservarse en el derecho interno. </w:t>
      </w:r>
    </w:p>
    <w:p w14:paraId="1FA991EF" w14:textId="13336243"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Este control no se limita solo al órgano jurisdiccional, por el contrario, se refiere a que todos los órganos de administración pública deben velar </w:t>
      </w:r>
      <w:r w:rsidR="00A017D7" w:rsidRPr="00163BF5">
        <w:rPr>
          <w:color w:val="000000" w:themeColor="text1"/>
          <w:lang w:val="es-ES_tradnl" w:eastAsia="es-ES_tradnl"/>
        </w:rPr>
        <w:t>que</w:t>
      </w:r>
      <w:r w:rsidRPr="00163BF5">
        <w:rPr>
          <w:color w:val="000000" w:themeColor="text1"/>
          <w:lang w:val="es-ES_tradnl" w:eastAsia="es-ES_tradnl"/>
        </w:rPr>
        <w:t xml:space="preserve"> se observe y respete las normas de la CADH. </w:t>
      </w:r>
    </w:p>
    <w:p w14:paraId="475035B8" w14:textId="515EBCBD" w:rsidR="0002107B" w:rsidRPr="00163BF5" w:rsidRDefault="0002107B" w:rsidP="00A62393">
      <w:pPr>
        <w:pStyle w:val="Ttulo8"/>
        <w:numPr>
          <w:ilvl w:val="5"/>
          <w:numId w:val="17"/>
        </w:numPr>
        <w:spacing w:line="480" w:lineRule="auto"/>
        <w:jc w:val="both"/>
        <w:rPr>
          <w:rFonts w:ascii="Times New Roman" w:eastAsia="Times New Roman" w:hAnsi="Times New Roman" w:cs="Times New Roman"/>
          <w:b/>
          <w:bCs/>
          <w:color w:val="000000" w:themeColor="text1"/>
          <w:sz w:val="24"/>
          <w:szCs w:val="24"/>
          <w:lang w:val="es-ES_tradnl" w:eastAsia="es-ES_tradnl"/>
        </w:rPr>
      </w:pPr>
      <w:r w:rsidRPr="00163BF5">
        <w:rPr>
          <w:rFonts w:ascii="Times New Roman" w:eastAsia="Times New Roman" w:hAnsi="Times New Roman" w:cs="Times New Roman"/>
          <w:b/>
          <w:bCs/>
          <w:color w:val="000000" w:themeColor="text1"/>
          <w:sz w:val="24"/>
          <w:szCs w:val="24"/>
          <w:lang w:val="es-ES_tradnl" w:eastAsia="es-ES_tradnl"/>
        </w:rPr>
        <w:t xml:space="preserve">Por el objeto en el que recae el control </w:t>
      </w:r>
    </w:p>
    <w:p w14:paraId="6B29C103" w14:textId="79F92196"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En cuanto al objeto en el que recae el control de convencionalidad, este puede ser concreto y abstracto. El control concreto es aquel que se realiza en relación con las normas que han sido aplicadas en casos concretos y que han originado a una violación a los lineamientos plasmados en la Convención Americana sobre Derechos Humanos (Villacís, 2018). El control abstracto, por otro lado, se refiere a la posibilidad que tiene la Corte IDH de realizar un examen sobre las normas o leyes que sin haber sido aplicadas en casos específicos y que por su configuración podrían suponer una violación a la Convención Americana sobre Derechos Humanos</w:t>
      </w:r>
      <w:r w:rsidR="008579F6" w:rsidRPr="00163BF5">
        <w:rPr>
          <w:color w:val="000000" w:themeColor="text1"/>
          <w:lang w:val="es-ES_tradnl" w:eastAsia="es-ES_tradnl"/>
        </w:rPr>
        <w:t xml:space="preserve"> </w:t>
      </w:r>
      <w:r w:rsidRPr="00163BF5">
        <w:rPr>
          <w:color w:val="000000" w:themeColor="text1"/>
          <w:lang w:val="es-ES_tradnl" w:eastAsia="es-ES_tradnl"/>
        </w:rPr>
        <w:t>(Villacís, 2018).</w:t>
      </w:r>
    </w:p>
    <w:p w14:paraId="3BDE82E1" w14:textId="77777777"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Este último tiene su origen en el voto disidente del Juez </w:t>
      </w:r>
      <w:proofErr w:type="spellStart"/>
      <w:r w:rsidRPr="00163BF5">
        <w:rPr>
          <w:color w:val="000000" w:themeColor="text1"/>
          <w:lang w:val="es-ES_tradnl" w:eastAsia="es-ES_tradnl"/>
        </w:rPr>
        <w:t>Cancado</w:t>
      </w:r>
      <w:proofErr w:type="spellEnd"/>
      <w:r w:rsidRPr="00163BF5">
        <w:rPr>
          <w:color w:val="000000" w:themeColor="text1"/>
          <w:lang w:val="es-ES_tradnl" w:eastAsia="es-ES_tradnl"/>
        </w:rPr>
        <w:t xml:space="preserve"> </w:t>
      </w:r>
      <w:proofErr w:type="spellStart"/>
      <w:r w:rsidRPr="00163BF5">
        <w:rPr>
          <w:color w:val="000000" w:themeColor="text1"/>
          <w:lang w:val="es-ES_tradnl" w:eastAsia="es-ES_tradnl"/>
        </w:rPr>
        <w:t>Trindade</w:t>
      </w:r>
      <w:proofErr w:type="spellEnd"/>
      <w:r w:rsidRPr="00163BF5">
        <w:rPr>
          <w:color w:val="000000" w:themeColor="text1"/>
          <w:lang w:val="es-ES_tradnl" w:eastAsia="es-ES_tradnl"/>
        </w:rPr>
        <w:t xml:space="preserve"> en el caso El Amparo Vs. Venezuela donde a pesar de que la Corte resuelve no conocer el caso, el voto disidente sostuvo que: </w:t>
      </w:r>
    </w:p>
    <w:p w14:paraId="624FD611" w14:textId="658A7C7D" w:rsidR="0002107B" w:rsidRPr="00163BF5" w:rsidRDefault="0002107B" w:rsidP="00282214">
      <w:pPr>
        <w:ind w:left="1440"/>
        <w:jc w:val="both"/>
        <w:rPr>
          <w:color w:val="000000" w:themeColor="text1"/>
          <w:sz w:val="22"/>
          <w:szCs w:val="22"/>
          <w:lang w:val="es-ES_tradnl" w:eastAsia="es-ES_tradnl"/>
        </w:rPr>
      </w:pPr>
      <w:r w:rsidRPr="00163BF5">
        <w:rPr>
          <w:color w:val="000000" w:themeColor="text1"/>
          <w:sz w:val="22"/>
          <w:szCs w:val="22"/>
          <w:lang w:val="es-ES_tradnl" w:eastAsia="es-ES_tradnl"/>
        </w:rPr>
        <w:t>la propia existencia de una disposición legal puede per se crear una situación que afecta directamente los derechos protegidos por la Convención Americana. Una ley puede ciertamente violar estos derechos en razón de su propia existencia, y, en la ausencia de una medida de aplicación o ejecución, por la amenaza real a las personas representada por la situación creada por dicha ley</w:t>
      </w:r>
      <w:r w:rsidR="008579F6" w:rsidRPr="00163BF5">
        <w:rPr>
          <w:color w:val="000000" w:themeColor="text1"/>
          <w:sz w:val="22"/>
          <w:szCs w:val="22"/>
          <w:lang w:val="es-ES_tradnl" w:eastAsia="es-ES_tradnl"/>
        </w:rPr>
        <w:t>.</w:t>
      </w:r>
      <w:r w:rsidRPr="00163BF5">
        <w:rPr>
          <w:color w:val="000000" w:themeColor="text1"/>
          <w:sz w:val="22"/>
          <w:szCs w:val="22"/>
          <w:lang w:val="es-ES_tradnl" w:eastAsia="es-ES_tradnl"/>
        </w:rPr>
        <w:t xml:space="preserve"> (Corte IDH, Voto disidente Caso El Amparo vs Venezuela, 1996)</w:t>
      </w:r>
    </w:p>
    <w:p w14:paraId="4ABC9C24" w14:textId="77777777" w:rsidR="00476B36" w:rsidRPr="00163BF5" w:rsidRDefault="00476B36" w:rsidP="0002107B">
      <w:pPr>
        <w:ind w:left="1440"/>
        <w:jc w:val="both"/>
        <w:rPr>
          <w:color w:val="000000" w:themeColor="text1"/>
          <w:lang w:val="es-ES_tradnl" w:eastAsia="es-ES_tradnl"/>
        </w:rPr>
      </w:pPr>
    </w:p>
    <w:p w14:paraId="2BD42C55" w14:textId="063B6C15"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Esto se refiere a la posibilidad que tiene la Corte IDH de realizar un examen sobre normas o leyes, que sin haber sido aplicadas en casos concretos por lo estipulado en las mismas pueden llegar a suponer una violación a la CADH, en palabras de Aguirre (2016) existe un “deber de prevención” (</w:t>
      </w:r>
      <w:r w:rsidR="00651EBA" w:rsidRPr="00163BF5">
        <w:rPr>
          <w:color w:val="000000" w:themeColor="text1"/>
          <w:lang w:val="es-ES_tradnl" w:eastAsia="es-ES_tradnl"/>
        </w:rPr>
        <w:t>p.</w:t>
      </w:r>
      <w:r w:rsidRPr="00163BF5">
        <w:rPr>
          <w:color w:val="000000" w:themeColor="text1"/>
          <w:lang w:val="es-ES_tradnl" w:eastAsia="es-ES_tradnl"/>
        </w:rPr>
        <w:t xml:space="preserve"> 301)</w:t>
      </w:r>
      <w:r w:rsidR="008579F6" w:rsidRPr="00163BF5">
        <w:rPr>
          <w:color w:val="000000" w:themeColor="text1"/>
          <w:lang w:val="es-ES_tradnl" w:eastAsia="es-ES_tradnl"/>
        </w:rPr>
        <w:t>.</w:t>
      </w:r>
    </w:p>
    <w:p w14:paraId="05B590C6" w14:textId="206CA9FE"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Para finalizar</w:t>
      </w:r>
      <w:r w:rsidR="006257E1" w:rsidRPr="00163BF5">
        <w:rPr>
          <w:color w:val="000000" w:themeColor="text1"/>
          <w:lang w:val="es-ES_tradnl" w:eastAsia="es-ES_tradnl"/>
        </w:rPr>
        <w:t>,</w:t>
      </w:r>
      <w:r w:rsidRPr="00163BF5">
        <w:rPr>
          <w:color w:val="000000" w:themeColor="text1"/>
          <w:lang w:val="es-ES_tradnl" w:eastAsia="es-ES_tradnl"/>
        </w:rPr>
        <w:t xml:space="preserve"> la presente sección es importante señalar que la finalidad del control de convencionalidad no es resolver los conflictos normativos que pudieran existir entre normas internas e internacionales</w:t>
      </w:r>
      <w:r w:rsidRPr="00163BF5">
        <w:rPr>
          <w:rFonts w:ascii="Calibri" w:eastAsia="Calibri" w:hAnsi="Calibri" w:cs="Calibri"/>
          <w:color w:val="000000" w:themeColor="text1"/>
          <w:lang w:val="es-ES_tradnl" w:eastAsia="es-ES_tradnl"/>
        </w:rPr>
        <w:t xml:space="preserve">. </w:t>
      </w:r>
      <w:r w:rsidRPr="00163BF5">
        <w:rPr>
          <w:color w:val="000000" w:themeColor="text1"/>
          <w:lang w:val="es-ES_tradnl" w:eastAsia="es-ES_tradnl"/>
        </w:rPr>
        <w:t xml:space="preserve">Es “declarar la incompatibilidad de cualquier norma jurídica interna, incluso de disposiciones constitucionales, siempre que se constate un incumplimiento de los estándares convencionales” (Gutiérrez, 2016, </w:t>
      </w:r>
      <w:r w:rsidR="00651EBA" w:rsidRPr="00163BF5">
        <w:rPr>
          <w:color w:val="000000" w:themeColor="text1"/>
          <w:lang w:val="es-ES_tradnl" w:eastAsia="es-ES_tradnl"/>
        </w:rPr>
        <w:t>p.</w:t>
      </w:r>
      <w:r w:rsidRPr="00163BF5">
        <w:rPr>
          <w:color w:val="000000" w:themeColor="text1"/>
          <w:lang w:val="es-ES_tradnl" w:eastAsia="es-ES_tradnl"/>
        </w:rPr>
        <w:t xml:space="preserve"> 242). </w:t>
      </w:r>
    </w:p>
    <w:p w14:paraId="217FB1E1" w14:textId="4A32911B" w:rsidR="0002107B" w:rsidRPr="00163BF5" w:rsidRDefault="0002107B" w:rsidP="0083186B">
      <w:pPr>
        <w:spacing w:line="480" w:lineRule="auto"/>
        <w:ind w:firstLine="708"/>
        <w:jc w:val="both"/>
        <w:rPr>
          <w:color w:val="000000" w:themeColor="text1"/>
          <w:lang w:val="es-ES_tradnl" w:eastAsia="es-ES_tradnl"/>
        </w:rPr>
      </w:pPr>
      <w:r w:rsidRPr="00163BF5">
        <w:rPr>
          <w:color w:val="000000" w:themeColor="text1"/>
          <w:lang w:val="es-ES_tradnl" w:eastAsia="es-ES_tradnl"/>
        </w:rPr>
        <w:t>Por lo mismo, la Corte IDH no tiene facultad para invalidar, anular o expulsar del ordenamiento jurídico</w:t>
      </w:r>
      <w:r w:rsidR="00024406" w:rsidRPr="00163BF5">
        <w:rPr>
          <w:color w:val="000000" w:themeColor="text1"/>
          <w:lang w:val="es-ES_tradnl" w:eastAsia="es-ES_tradnl"/>
        </w:rPr>
        <w:t xml:space="preserve"> interno de los países </w:t>
      </w:r>
      <w:r w:rsidRPr="00163BF5">
        <w:rPr>
          <w:color w:val="000000" w:themeColor="text1"/>
          <w:lang w:val="es-ES_tradnl" w:eastAsia="es-ES_tradnl"/>
        </w:rPr>
        <w:t>una norma que va en contra de la Convención Americana sobre Derechos Humanos.</w:t>
      </w:r>
    </w:p>
    <w:p w14:paraId="3AD7D630" w14:textId="1556CAB8" w:rsidR="0002107B" w:rsidRPr="00163BF5" w:rsidRDefault="0002107B" w:rsidP="0091204F">
      <w:pPr>
        <w:pStyle w:val="Ttulo6"/>
        <w:numPr>
          <w:ilvl w:val="3"/>
          <w:numId w:val="17"/>
        </w:numPr>
        <w:rPr>
          <w:rFonts w:ascii="Times New Roman" w:hAnsi="Times New Roman" w:cs="Times New Roman"/>
          <w:color w:val="000000" w:themeColor="text1"/>
          <w:sz w:val="24"/>
          <w:szCs w:val="24"/>
        </w:rPr>
      </w:pPr>
      <w:bookmarkStart w:id="10" w:name="_Toc67513366"/>
      <w:r w:rsidRPr="00163BF5">
        <w:rPr>
          <w:rFonts w:ascii="Times New Roman" w:hAnsi="Times New Roman" w:cs="Times New Roman"/>
          <w:color w:val="000000" w:themeColor="text1"/>
          <w:sz w:val="24"/>
          <w:szCs w:val="24"/>
        </w:rPr>
        <w:t>Control de Constitucionalidad</w:t>
      </w:r>
      <w:bookmarkEnd w:id="10"/>
    </w:p>
    <w:p w14:paraId="3A4AEA9D" w14:textId="3C9F58AF" w:rsidR="003B4618" w:rsidRPr="00163BF5" w:rsidRDefault="0002107B" w:rsidP="009F304A">
      <w:pPr>
        <w:spacing w:line="480" w:lineRule="auto"/>
        <w:ind w:firstLine="709"/>
        <w:jc w:val="both"/>
        <w:rPr>
          <w:color w:val="000000" w:themeColor="text1"/>
        </w:rPr>
      </w:pPr>
      <w:r w:rsidRPr="00163BF5">
        <w:rPr>
          <w:color w:val="000000" w:themeColor="text1"/>
          <w:lang w:val="es-ES_tradnl" w:eastAsia="es-ES_tradnl"/>
        </w:rPr>
        <w:t>La razón jurídica del control de constitucionalidad yace en el principio de supremacía constitucional donde existe un desplazamiento, más no anulación, del principio de legalidad. Es así como para hablar de supremacía constitucional, hay que observar primero la existencia de una constitución, por lo que este fenómeno del derecho es relativamente nuevo (</w:t>
      </w:r>
      <w:proofErr w:type="spellStart"/>
      <w:r w:rsidRPr="00163BF5">
        <w:rPr>
          <w:color w:val="000000" w:themeColor="text1"/>
          <w:lang w:val="es-ES_tradnl" w:eastAsia="es-ES_tradnl"/>
        </w:rPr>
        <w:t>Oyarte</w:t>
      </w:r>
      <w:proofErr w:type="spellEnd"/>
      <w:r w:rsidRPr="00163BF5">
        <w:rPr>
          <w:color w:val="000000" w:themeColor="text1"/>
          <w:lang w:val="es-ES_tradnl" w:eastAsia="es-ES_tradnl"/>
        </w:rPr>
        <w:t xml:space="preserve">, 2016). </w:t>
      </w:r>
      <w:r w:rsidRPr="00163BF5">
        <w:rPr>
          <w:b/>
          <w:color w:val="000000" w:themeColor="text1"/>
          <w:lang w:val="es-ES_tradnl" w:eastAsia="es-ES_tradnl"/>
        </w:rPr>
        <w:t xml:space="preserve"> </w:t>
      </w:r>
    </w:p>
    <w:p w14:paraId="071DC429" w14:textId="63F84FC8" w:rsidR="0044743A" w:rsidRPr="00163BF5" w:rsidRDefault="003B4618" w:rsidP="00A62393">
      <w:pPr>
        <w:pStyle w:val="Ttulo7"/>
        <w:numPr>
          <w:ilvl w:val="4"/>
          <w:numId w:val="17"/>
        </w:numPr>
        <w:spacing w:line="480" w:lineRule="auto"/>
        <w:rPr>
          <w:rFonts w:ascii="Times New Roman" w:hAnsi="Times New Roman" w:cs="Times New Roman"/>
          <w:b/>
          <w:bCs/>
          <w:i w:val="0"/>
          <w:iCs w:val="0"/>
          <w:color w:val="000000" w:themeColor="text1"/>
          <w:sz w:val="24"/>
          <w:szCs w:val="24"/>
          <w:highlight w:val="white"/>
        </w:rPr>
      </w:pPr>
      <w:bookmarkStart w:id="11" w:name="_Toc67513367"/>
      <w:r w:rsidRPr="00163BF5">
        <w:rPr>
          <w:rFonts w:ascii="Times New Roman" w:hAnsi="Times New Roman" w:cs="Times New Roman"/>
          <w:b/>
          <w:bCs/>
          <w:i w:val="0"/>
          <w:iCs w:val="0"/>
          <w:color w:val="000000" w:themeColor="text1"/>
          <w:sz w:val="24"/>
          <w:szCs w:val="24"/>
          <w:highlight w:val="white"/>
        </w:rPr>
        <w:t>M</w:t>
      </w:r>
      <w:r w:rsidR="0002107B" w:rsidRPr="00163BF5">
        <w:rPr>
          <w:rFonts w:ascii="Times New Roman" w:hAnsi="Times New Roman" w:cs="Times New Roman"/>
          <w:b/>
          <w:bCs/>
          <w:i w:val="0"/>
          <w:iCs w:val="0"/>
          <w:color w:val="000000" w:themeColor="text1"/>
          <w:sz w:val="24"/>
          <w:szCs w:val="24"/>
          <w:highlight w:val="white"/>
        </w:rPr>
        <w:t>odalidades del control de constitucionalidad</w:t>
      </w:r>
      <w:bookmarkEnd w:id="11"/>
      <w:r w:rsidR="0002107B" w:rsidRPr="00163BF5">
        <w:rPr>
          <w:rFonts w:ascii="Times New Roman" w:hAnsi="Times New Roman" w:cs="Times New Roman"/>
          <w:b/>
          <w:bCs/>
          <w:i w:val="0"/>
          <w:iCs w:val="0"/>
          <w:color w:val="000000" w:themeColor="text1"/>
          <w:sz w:val="24"/>
          <w:szCs w:val="24"/>
          <w:highlight w:val="white"/>
        </w:rPr>
        <w:t xml:space="preserve"> </w:t>
      </w:r>
    </w:p>
    <w:p w14:paraId="2A9ABB0B" w14:textId="77777777" w:rsidR="0002107B" w:rsidRPr="00163BF5" w:rsidRDefault="0002107B" w:rsidP="00A62393">
      <w:pPr>
        <w:spacing w:line="480" w:lineRule="auto"/>
        <w:ind w:left="142"/>
        <w:jc w:val="both"/>
        <w:rPr>
          <w:b/>
          <w:color w:val="000000" w:themeColor="text1"/>
          <w:highlight w:val="white"/>
          <w:lang w:val="es-ES_tradnl" w:eastAsia="es-ES_tradnl"/>
        </w:rPr>
      </w:pPr>
      <w:r w:rsidRPr="00163BF5">
        <w:rPr>
          <w:b/>
          <w:color w:val="000000" w:themeColor="text1"/>
          <w:highlight w:val="white"/>
          <w:lang w:val="es-ES_tradnl" w:eastAsia="es-ES_tradnl"/>
        </w:rPr>
        <w:t>A) Control por órgano político</w:t>
      </w:r>
    </w:p>
    <w:p w14:paraId="4A3E8045" w14:textId="4DC9DB15" w:rsidR="0002107B" w:rsidRPr="00163BF5" w:rsidRDefault="0002107B" w:rsidP="007D4053">
      <w:pPr>
        <w:spacing w:line="480" w:lineRule="auto"/>
        <w:ind w:firstLine="709"/>
        <w:jc w:val="both"/>
        <w:rPr>
          <w:color w:val="000000" w:themeColor="text1"/>
          <w:highlight w:val="white"/>
          <w:lang w:val="es-ES_tradnl" w:eastAsia="es-ES_tradnl"/>
        </w:rPr>
      </w:pPr>
      <w:r w:rsidRPr="00163BF5">
        <w:rPr>
          <w:color w:val="000000" w:themeColor="text1"/>
          <w:highlight w:val="white"/>
          <w:lang w:val="es-ES_tradnl" w:eastAsia="es-ES_tradnl"/>
        </w:rPr>
        <w:t>Este</w:t>
      </w:r>
      <w:r w:rsidR="00FF578D" w:rsidRPr="00163BF5">
        <w:rPr>
          <w:color w:val="000000" w:themeColor="text1"/>
          <w:highlight w:val="white"/>
          <w:lang w:val="es-ES_tradnl" w:eastAsia="es-ES_tradnl"/>
        </w:rPr>
        <w:t xml:space="preserve"> tipo de control</w:t>
      </w:r>
      <w:r w:rsidRPr="00163BF5">
        <w:rPr>
          <w:color w:val="000000" w:themeColor="text1"/>
          <w:highlight w:val="white"/>
          <w:lang w:val="es-ES_tradnl" w:eastAsia="es-ES_tradnl"/>
        </w:rPr>
        <w:t xml:space="preserve"> “se produce cuando el encargado de fiscalizar la regularidad constitucional del ordenamiento jurídico no solo no tiene naturaleza jurisdiccional sino tiene un origen político” (</w:t>
      </w:r>
      <w:proofErr w:type="spellStart"/>
      <w:r w:rsidRPr="00163BF5">
        <w:rPr>
          <w:color w:val="000000" w:themeColor="text1"/>
          <w:highlight w:val="white"/>
          <w:lang w:val="es-ES_tradnl" w:eastAsia="es-ES_tradnl"/>
        </w:rPr>
        <w:t>Oyarte</w:t>
      </w:r>
      <w:proofErr w:type="spellEnd"/>
      <w:r w:rsidRPr="00163BF5">
        <w:rPr>
          <w:color w:val="000000" w:themeColor="text1"/>
          <w:highlight w:val="white"/>
          <w:lang w:val="es-ES_tradnl" w:eastAsia="es-ES_tradnl"/>
        </w:rPr>
        <w:t xml:space="preserve">, 2016, </w:t>
      </w:r>
      <w:r w:rsidR="00651EBA" w:rsidRPr="00163BF5">
        <w:rPr>
          <w:color w:val="000000" w:themeColor="text1"/>
          <w:highlight w:val="white"/>
          <w:lang w:val="es-ES_tradnl" w:eastAsia="es-ES_tradnl"/>
        </w:rPr>
        <w:t>p.</w:t>
      </w:r>
      <w:r w:rsidRPr="00163BF5">
        <w:rPr>
          <w:color w:val="000000" w:themeColor="text1"/>
          <w:highlight w:val="white"/>
          <w:lang w:val="es-ES_tradnl" w:eastAsia="es-ES_tradnl"/>
        </w:rPr>
        <w:t xml:space="preserve"> 990). </w:t>
      </w:r>
      <w:r w:rsidRPr="00163BF5">
        <w:rPr>
          <w:color w:val="000000" w:themeColor="text1"/>
          <w:lang w:val="es-ES_tradnl" w:eastAsia="es-ES_tradnl"/>
        </w:rPr>
        <w:t xml:space="preserve">Consistía en que el control lo realizaban los órganos legislativos y estos eran quienes tenían la potestad de expulsar una norma del ordenamiento jurídico. En Ecuador esto se realizó hasta el año 1992 donde el Congreso tenía esta potestad antes mencionada. </w:t>
      </w:r>
    </w:p>
    <w:p w14:paraId="5ACBA4B1" w14:textId="3BA10E2D" w:rsidR="0002107B" w:rsidRPr="00163BF5" w:rsidRDefault="0002107B" w:rsidP="0002107B">
      <w:pPr>
        <w:spacing w:line="480" w:lineRule="auto"/>
        <w:ind w:firstLine="709"/>
        <w:jc w:val="both"/>
        <w:rPr>
          <w:color w:val="000000" w:themeColor="text1"/>
          <w:highlight w:val="white"/>
          <w:lang w:val="es-ES_tradnl" w:eastAsia="es-ES_tradnl"/>
        </w:rPr>
      </w:pPr>
      <w:r w:rsidRPr="00163BF5">
        <w:rPr>
          <w:color w:val="000000" w:themeColor="text1"/>
          <w:lang w:val="es-ES_tradnl" w:eastAsia="es-ES_tradnl"/>
        </w:rPr>
        <w:t xml:space="preserve"> La principal crítica a este tipo de control se basa en que </w:t>
      </w:r>
      <w:r w:rsidRPr="00163BF5">
        <w:rPr>
          <w:color w:val="000000" w:themeColor="text1"/>
          <w:highlight w:val="white"/>
          <w:lang w:val="es-ES_tradnl" w:eastAsia="es-ES_tradnl"/>
        </w:rPr>
        <w:t>el órgano que expedía la ley inconstitucional era el encargado de revisar dicha norma, sin embargo, hay que considerar que en la actualidad la función legislativa de los Estados ya no son los mayores productores de normas, sino son el Presidente con su potestad legislativa y los demás órganos del Estado los que realizan una gran cantidad de actividad legislativa</w:t>
      </w:r>
      <w:r w:rsidR="008579F6" w:rsidRPr="00163BF5">
        <w:rPr>
          <w:color w:val="000000" w:themeColor="text1"/>
          <w:highlight w:val="white"/>
          <w:lang w:val="es-ES_tradnl" w:eastAsia="es-ES_tradnl"/>
        </w:rPr>
        <w:t xml:space="preserve"> </w:t>
      </w:r>
      <w:r w:rsidR="00FF578D" w:rsidRPr="00163BF5">
        <w:rPr>
          <w:color w:val="000000" w:themeColor="text1"/>
          <w:highlight w:val="white"/>
          <w:lang w:val="es-ES_tradnl" w:eastAsia="es-ES_tradnl"/>
        </w:rPr>
        <w:t>(</w:t>
      </w:r>
      <w:proofErr w:type="spellStart"/>
      <w:r w:rsidR="00FF578D" w:rsidRPr="00163BF5">
        <w:rPr>
          <w:color w:val="000000" w:themeColor="text1"/>
          <w:highlight w:val="white"/>
          <w:lang w:val="es-ES_tradnl" w:eastAsia="es-ES_tradnl"/>
        </w:rPr>
        <w:t>Oyarte</w:t>
      </w:r>
      <w:proofErr w:type="spellEnd"/>
      <w:r w:rsidR="00FF578D" w:rsidRPr="00163BF5">
        <w:rPr>
          <w:color w:val="000000" w:themeColor="text1"/>
          <w:highlight w:val="white"/>
          <w:lang w:val="es-ES_tradnl" w:eastAsia="es-ES_tradnl"/>
        </w:rPr>
        <w:t>, 2016)</w:t>
      </w:r>
      <w:r w:rsidR="008579F6" w:rsidRPr="00163BF5">
        <w:rPr>
          <w:color w:val="000000" w:themeColor="text1"/>
          <w:highlight w:val="white"/>
          <w:lang w:val="es-ES_tradnl" w:eastAsia="es-ES_tradnl"/>
        </w:rPr>
        <w:t>.</w:t>
      </w:r>
    </w:p>
    <w:p w14:paraId="0E6C820A" w14:textId="77777777" w:rsidR="0002107B" w:rsidRPr="00163BF5" w:rsidRDefault="0002107B" w:rsidP="00A62393">
      <w:pPr>
        <w:spacing w:line="480" w:lineRule="auto"/>
        <w:jc w:val="both"/>
        <w:rPr>
          <w:b/>
          <w:color w:val="000000" w:themeColor="text1"/>
          <w:highlight w:val="white"/>
          <w:lang w:val="es-ES_tradnl" w:eastAsia="es-ES_tradnl"/>
        </w:rPr>
      </w:pPr>
      <w:r w:rsidRPr="00163BF5">
        <w:rPr>
          <w:b/>
          <w:color w:val="000000" w:themeColor="text1"/>
          <w:highlight w:val="white"/>
          <w:lang w:val="es-ES_tradnl" w:eastAsia="es-ES_tradnl"/>
        </w:rPr>
        <w:t>B) Control de Constitucionalidad Difuso y Concentrado</w:t>
      </w:r>
    </w:p>
    <w:p w14:paraId="73C575B9" w14:textId="77777777" w:rsidR="0002107B" w:rsidRPr="00163BF5" w:rsidRDefault="0002107B" w:rsidP="0002107B">
      <w:pPr>
        <w:spacing w:line="480" w:lineRule="auto"/>
        <w:ind w:firstLine="709"/>
        <w:jc w:val="both"/>
        <w:rPr>
          <w:color w:val="000000" w:themeColor="text1"/>
          <w:highlight w:val="white"/>
          <w:lang w:val="es-ES_tradnl" w:eastAsia="es-ES_tradnl"/>
        </w:rPr>
      </w:pPr>
      <w:r w:rsidRPr="00163BF5">
        <w:rPr>
          <w:color w:val="000000" w:themeColor="text1"/>
          <w:highlight w:val="white"/>
          <w:lang w:val="es-ES_tradnl" w:eastAsia="es-ES_tradnl"/>
        </w:rPr>
        <w:t xml:space="preserve">Para </w:t>
      </w:r>
      <w:proofErr w:type="spellStart"/>
      <w:r w:rsidRPr="00163BF5">
        <w:rPr>
          <w:color w:val="000000" w:themeColor="text1"/>
          <w:highlight w:val="white"/>
          <w:lang w:val="es-ES_tradnl" w:eastAsia="es-ES_tradnl"/>
        </w:rPr>
        <w:t>Oyarte</w:t>
      </w:r>
      <w:proofErr w:type="spellEnd"/>
      <w:r w:rsidRPr="00163BF5">
        <w:rPr>
          <w:color w:val="000000" w:themeColor="text1"/>
          <w:highlight w:val="white"/>
          <w:lang w:val="es-ES_tradnl" w:eastAsia="es-ES_tradnl"/>
        </w:rPr>
        <w:t xml:space="preserve"> (2016) el control de constitucionalidad difuso se denomina de esa manera dado que el examen de inconstitucionalidad de la norma no lo realiza una sola magistratura, sino lo realizan todos los jueces dentro del sistema. </w:t>
      </w:r>
    </w:p>
    <w:p w14:paraId="24D35335" w14:textId="0DC10544" w:rsidR="0002107B" w:rsidRPr="00163BF5" w:rsidRDefault="00402EA8" w:rsidP="0002107B">
      <w:pPr>
        <w:spacing w:line="480" w:lineRule="auto"/>
        <w:ind w:firstLine="709"/>
        <w:jc w:val="both"/>
        <w:rPr>
          <w:color w:val="000000" w:themeColor="text1"/>
          <w:highlight w:val="white"/>
          <w:lang w:val="es-ES_tradnl" w:eastAsia="es-ES_tradnl"/>
        </w:rPr>
      </w:pPr>
      <w:r w:rsidRPr="00163BF5">
        <w:rPr>
          <w:color w:val="000000" w:themeColor="text1"/>
          <w:highlight w:val="white"/>
          <w:lang w:val="es-ES_tradnl" w:eastAsia="es-ES_tradnl"/>
        </w:rPr>
        <w:t xml:space="preserve">En el control de constitucionalidad </w:t>
      </w:r>
      <w:r w:rsidR="00A14F18" w:rsidRPr="00163BF5">
        <w:rPr>
          <w:color w:val="000000" w:themeColor="text1"/>
          <w:highlight w:val="white"/>
          <w:lang w:val="es-ES_tradnl" w:eastAsia="es-ES_tradnl"/>
        </w:rPr>
        <w:t>difuso, toda</w:t>
      </w:r>
      <w:r w:rsidR="0002107B" w:rsidRPr="00163BF5">
        <w:rPr>
          <w:color w:val="000000" w:themeColor="text1"/>
          <w:highlight w:val="white"/>
          <w:lang w:val="es-ES_tradnl" w:eastAsia="es-ES_tradnl"/>
        </w:rPr>
        <w:t xml:space="preserve"> causa sometida ante jueces y tribunales aplicará la Constitución como primera norma, lo que priva la aplicación de normas jerárquicamente inferiores que contravienen a ella. </w:t>
      </w:r>
    </w:p>
    <w:p w14:paraId="5A2BDD56" w14:textId="575C93C5" w:rsidR="0002107B" w:rsidRPr="00163BF5" w:rsidRDefault="00A14F18" w:rsidP="0002107B">
      <w:pPr>
        <w:spacing w:line="480" w:lineRule="auto"/>
        <w:ind w:firstLine="709"/>
        <w:jc w:val="both"/>
        <w:rPr>
          <w:color w:val="000000" w:themeColor="text1"/>
          <w:highlight w:val="white"/>
          <w:lang w:val="es-ES_tradnl" w:eastAsia="es-ES_tradnl"/>
        </w:rPr>
      </w:pPr>
      <w:r w:rsidRPr="00163BF5">
        <w:rPr>
          <w:color w:val="000000" w:themeColor="text1"/>
          <w:highlight w:val="white"/>
          <w:lang w:val="es-ES_tradnl" w:eastAsia="es-ES_tradnl"/>
        </w:rPr>
        <w:t>La desventaja</w:t>
      </w:r>
      <w:r w:rsidR="00402EA8" w:rsidRPr="00163BF5">
        <w:rPr>
          <w:color w:val="000000" w:themeColor="text1"/>
          <w:highlight w:val="white"/>
          <w:lang w:val="es-ES_tradnl" w:eastAsia="es-ES_tradnl"/>
        </w:rPr>
        <w:t xml:space="preserve"> de este sistema es </w:t>
      </w:r>
      <w:r w:rsidR="0002107B" w:rsidRPr="00163BF5">
        <w:rPr>
          <w:color w:val="000000" w:themeColor="text1"/>
          <w:highlight w:val="white"/>
          <w:lang w:val="es-ES_tradnl" w:eastAsia="es-ES_tradnl"/>
        </w:rPr>
        <w:t>la multiplicación de intérpretes de la Constitución</w:t>
      </w:r>
      <w:r w:rsidR="0083186B" w:rsidRPr="00163BF5">
        <w:rPr>
          <w:color w:val="000000" w:themeColor="text1"/>
          <w:highlight w:val="white"/>
          <w:lang w:val="es-ES_tradnl" w:eastAsia="es-ES_tradnl"/>
        </w:rPr>
        <w:t xml:space="preserve">, </w:t>
      </w:r>
      <w:r w:rsidR="0002107B" w:rsidRPr="00163BF5">
        <w:rPr>
          <w:color w:val="000000" w:themeColor="text1"/>
          <w:highlight w:val="white"/>
          <w:lang w:val="es-ES_tradnl" w:eastAsia="es-ES_tradnl"/>
        </w:rPr>
        <w:t xml:space="preserve">haciendo que su aplicación no sea </w:t>
      </w:r>
      <w:r w:rsidR="00024406" w:rsidRPr="00163BF5">
        <w:rPr>
          <w:color w:val="000000" w:themeColor="text1"/>
          <w:highlight w:val="white"/>
          <w:lang w:val="es-ES_tradnl" w:eastAsia="es-ES_tradnl"/>
        </w:rPr>
        <w:t xml:space="preserve">homogénea. </w:t>
      </w:r>
    </w:p>
    <w:p w14:paraId="5FD71836" w14:textId="4DD21054"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highlight w:val="white"/>
          <w:lang w:val="es-ES_tradnl" w:eastAsia="es-ES_tradnl"/>
        </w:rPr>
        <w:t xml:space="preserve">En cuanto al control de </w:t>
      </w:r>
      <w:r w:rsidR="00402EA8" w:rsidRPr="00163BF5">
        <w:rPr>
          <w:color w:val="000000" w:themeColor="text1"/>
          <w:highlight w:val="white"/>
          <w:lang w:val="es-ES_tradnl" w:eastAsia="es-ES_tradnl"/>
        </w:rPr>
        <w:t>c</w:t>
      </w:r>
      <w:r w:rsidRPr="00163BF5">
        <w:rPr>
          <w:color w:val="000000" w:themeColor="text1"/>
          <w:highlight w:val="white"/>
          <w:lang w:val="es-ES_tradnl" w:eastAsia="es-ES_tradnl"/>
        </w:rPr>
        <w:t xml:space="preserve">onstitucionalidad </w:t>
      </w:r>
      <w:r w:rsidR="00402EA8" w:rsidRPr="00163BF5">
        <w:rPr>
          <w:color w:val="000000" w:themeColor="text1"/>
          <w:highlight w:val="white"/>
          <w:lang w:val="es-ES_tradnl" w:eastAsia="es-ES_tradnl"/>
        </w:rPr>
        <w:t>c</w:t>
      </w:r>
      <w:r w:rsidRPr="00163BF5">
        <w:rPr>
          <w:color w:val="000000" w:themeColor="text1"/>
          <w:highlight w:val="white"/>
          <w:lang w:val="es-ES_tradnl" w:eastAsia="es-ES_tradnl"/>
        </w:rPr>
        <w:t>oncentrado, Highton (</w:t>
      </w:r>
      <w:r w:rsidR="00B83DAE" w:rsidRPr="00163BF5">
        <w:rPr>
          <w:color w:val="000000" w:themeColor="text1"/>
          <w:highlight w:val="white"/>
          <w:lang w:val="es-ES_tradnl" w:eastAsia="es-ES_tradnl"/>
        </w:rPr>
        <w:t>2010</w:t>
      </w:r>
      <w:r w:rsidRPr="00163BF5">
        <w:rPr>
          <w:color w:val="000000" w:themeColor="text1"/>
          <w:highlight w:val="white"/>
          <w:lang w:val="es-ES_tradnl" w:eastAsia="es-ES_tradnl"/>
        </w:rPr>
        <w:t xml:space="preserve">) determina que este tipo de control </w:t>
      </w:r>
      <w:r w:rsidRPr="00163BF5">
        <w:rPr>
          <w:color w:val="000000" w:themeColor="text1"/>
          <w:lang w:val="es-ES_tradnl" w:eastAsia="es-ES_tradnl"/>
        </w:rPr>
        <w:t>de convencionalidad “centraliza el ejercicio del control de constitucionalidad en un único órgano, que no forma parte del Poder Judicial, está fuera de su estructura normativa y se denomina Tribunal Constitucional” (</w:t>
      </w:r>
      <w:r w:rsidR="00651EBA" w:rsidRPr="00163BF5">
        <w:rPr>
          <w:color w:val="000000" w:themeColor="text1"/>
          <w:lang w:val="es-ES_tradnl" w:eastAsia="es-ES_tradnl"/>
        </w:rPr>
        <w:t>p.</w:t>
      </w:r>
      <w:r w:rsidRPr="00163BF5">
        <w:rPr>
          <w:color w:val="000000" w:themeColor="text1"/>
          <w:lang w:val="es-ES_tradnl" w:eastAsia="es-ES_tradnl"/>
        </w:rPr>
        <w:t xml:space="preserve"> 109). En el caso ecuatoriano, este órgano encargado es la Corte Constitucional. </w:t>
      </w:r>
    </w:p>
    <w:p w14:paraId="59C8C601" w14:textId="77777777"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A diferencia del control difuso donde puede existir cantidad de interpretaciones de la Constitución como jueces existentes, en el control concentrado existe solo un órgano que interpreta la Constitución y decide si una norma es inconstitucional </w:t>
      </w:r>
    </w:p>
    <w:p w14:paraId="7C9B09D6" w14:textId="6BCC0A15" w:rsidR="00402EA8" w:rsidRPr="00163BF5" w:rsidRDefault="0002107B" w:rsidP="00FF578D">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En cuanto a los efectos de la decisión de inconstitucionalidad tomada por el </w:t>
      </w:r>
      <w:r w:rsidR="00402EA8" w:rsidRPr="00163BF5">
        <w:rPr>
          <w:color w:val="000000" w:themeColor="text1"/>
          <w:lang w:val="es-ES_tradnl" w:eastAsia="es-ES_tradnl"/>
        </w:rPr>
        <w:t>T</w:t>
      </w:r>
      <w:r w:rsidRPr="00163BF5">
        <w:rPr>
          <w:color w:val="000000" w:themeColor="text1"/>
          <w:lang w:val="es-ES_tradnl" w:eastAsia="es-ES_tradnl"/>
        </w:rPr>
        <w:t xml:space="preserve">ribunal Constitucional o la Corte Constitucional, en el control concentrado su efecto es </w:t>
      </w:r>
      <w:r w:rsidRPr="00163BF5">
        <w:rPr>
          <w:i/>
          <w:iCs/>
          <w:color w:val="000000" w:themeColor="text1"/>
          <w:lang w:val="es-ES_tradnl" w:eastAsia="es-ES_tradnl"/>
        </w:rPr>
        <w:t>erga omnes</w:t>
      </w:r>
      <w:r w:rsidRPr="00163BF5">
        <w:rPr>
          <w:color w:val="000000" w:themeColor="text1"/>
          <w:lang w:val="es-ES_tradnl" w:eastAsia="es-ES_tradnl"/>
        </w:rPr>
        <w:t xml:space="preserve">, mientras que en el control difuso las decisiones de inconstitucionalidad sólo tienen efecto Inter partes hasta que el tribunal constitucional declare que es de carácter general y obligatorio (Highton, </w:t>
      </w:r>
      <w:r w:rsidR="00B83DAE" w:rsidRPr="00163BF5">
        <w:rPr>
          <w:color w:val="000000" w:themeColor="text1"/>
          <w:lang w:val="es-ES_tradnl" w:eastAsia="es-ES_tradnl"/>
        </w:rPr>
        <w:t>2010</w:t>
      </w:r>
      <w:r w:rsidRPr="00163BF5">
        <w:rPr>
          <w:color w:val="000000" w:themeColor="text1"/>
          <w:lang w:val="es-ES_tradnl" w:eastAsia="es-ES_tradnl"/>
        </w:rPr>
        <w:t>).</w:t>
      </w:r>
    </w:p>
    <w:p w14:paraId="0DABC5E3" w14:textId="77777777" w:rsidR="0083186B" w:rsidRPr="00163BF5" w:rsidRDefault="0083186B" w:rsidP="00FF578D">
      <w:pPr>
        <w:spacing w:line="480" w:lineRule="auto"/>
        <w:ind w:firstLine="709"/>
        <w:jc w:val="both"/>
        <w:rPr>
          <w:color w:val="000000" w:themeColor="text1"/>
          <w:lang w:val="es-ES_tradnl" w:eastAsia="es-ES_tradnl"/>
        </w:rPr>
      </w:pPr>
    </w:p>
    <w:p w14:paraId="4F939314" w14:textId="77777777" w:rsidR="0002107B" w:rsidRPr="00163BF5" w:rsidRDefault="0002107B" w:rsidP="00A62393">
      <w:pPr>
        <w:spacing w:line="480" w:lineRule="auto"/>
        <w:ind w:left="502"/>
        <w:contextualSpacing/>
        <w:jc w:val="both"/>
        <w:rPr>
          <w:b/>
          <w:color w:val="000000" w:themeColor="text1"/>
          <w:lang w:val="es-ES_tradnl" w:eastAsia="es-ES_tradnl"/>
        </w:rPr>
      </w:pPr>
      <w:r w:rsidRPr="00163BF5">
        <w:rPr>
          <w:b/>
          <w:color w:val="000000" w:themeColor="text1"/>
          <w:lang w:val="es-ES_tradnl" w:eastAsia="es-ES_tradnl"/>
        </w:rPr>
        <w:t xml:space="preserve">C) Control abstracto y concreto de Constitucionalidad </w:t>
      </w:r>
    </w:p>
    <w:p w14:paraId="6B7E5023" w14:textId="58C81F77"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El control abstracto de constitucionalidad es aquel que se realiza en contra de la norma. </w:t>
      </w:r>
      <w:proofErr w:type="spellStart"/>
      <w:r w:rsidRPr="00163BF5">
        <w:rPr>
          <w:color w:val="000000" w:themeColor="text1"/>
          <w:lang w:val="es-ES_tradnl" w:eastAsia="es-ES_tradnl"/>
        </w:rPr>
        <w:t>Oyarte</w:t>
      </w:r>
      <w:proofErr w:type="spellEnd"/>
      <w:r w:rsidRPr="00163BF5">
        <w:rPr>
          <w:color w:val="000000" w:themeColor="text1"/>
          <w:lang w:val="es-ES_tradnl" w:eastAsia="es-ES_tradnl"/>
        </w:rPr>
        <w:t xml:space="preserve"> (2016) menciona que “la finalidad de este mecanismo es examinar la validez constitucional del precepto, para determinar la expulsión del ordenamiento jurídico” (</w:t>
      </w:r>
      <w:r w:rsidR="00651EBA" w:rsidRPr="00163BF5">
        <w:rPr>
          <w:color w:val="000000" w:themeColor="text1"/>
          <w:lang w:val="es-ES_tradnl" w:eastAsia="es-ES_tradnl"/>
        </w:rPr>
        <w:t>p.</w:t>
      </w:r>
      <w:r w:rsidRPr="00163BF5">
        <w:rPr>
          <w:color w:val="000000" w:themeColor="text1"/>
          <w:lang w:val="es-ES_tradnl" w:eastAsia="es-ES_tradnl"/>
        </w:rPr>
        <w:t xml:space="preserve"> 995). </w:t>
      </w:r>
    </w:p>
    <w:p w14:paraId="67D541CD" w14:textId="77777777"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Es decir, este control analiza la norma con los preceptos constitucionales sin que interesen las cuestiones relativas a la aplicación de la norma en casos específicos. </w:t>
      </w:r>
    </w:p>
    <w:p w14:paraId="15427AD2" w14:textId="4819874B" w:rsidR="008579F6" w:rsidRPr="00163BF5" w:rsidRDefault="0002107B" w:rsidP="00A62393">
      <w:pPr>
        <w:spacing w:line="480" w:lineRule="auto"/>
        <w:ind w:firstLine="709"/>
        <w:jc w:val="both"/>
        <w:rPr>
          <w:color w:val="000000" w:themeColor="text1"/>
          <w:lang w:val="es-ES_tradnl" w:eastAsia="es-ES_tradnl"/>
        </w:rPr>
      </w:pPr>
      <w:r w:rsidRPr="00163BF5">
        <w:rPr>
          <w:color w:val="000000" w:themeColor="text1"/>
          <w:lang w:val="es-ES_tradnl" w:eastAsia="es-ES_tradnl"/>
        </w:rPr>
        <w:t>Por otro lado, el control concreto de constitucionalidad es el que necesita para su análisis que la norma considerada inconstitucional esté siendo aplicada en un caso concreto ante un juez o tribunal (</w:t>
      </w:r>
      <w:proofErr w:type="spellStart"/>
      <w:r w:rsidRPr="00163BF5">
        <w:rPr>
          <w:color w:val="000000" w:themeColor="text1"/>
          <w:lang w:val="es-ES_tradnl" w:eastAsia="es-ES_tradnl"/>
        </w:rPr>
        <w:t>Oyarte</w:t>
      </w:r>
      <w:proofErr w:type="spellEnd"/>
      <w:r w:rsidRPr="00163BF5">
        <w:rPr>
          <w:color w:val="000000" w:themeColor="text1"/>
          <w:lang w:val="es-ES_tradnl" w:eastAsia="es-ES_tradnl"/>
        </w:rPr>
        <w:t xml:space="preserve">, 2016). </w:t>
      </w:r>
    </w:p>
    <w:p w14:paraId="0B20F516" w14:textId="3E7E979A" w:rsidR="0002107B" w:rsidRPr="00163BF5" w:rsidRDefault="0002107B" w:rsidP="00A62393">
      <w:pPr>
        <w:spacing w:line="480" w:lineRule="auto"/>
        <w:jc w:val="both"/>
        <w:rPr>
          <w:b/>
          <w:i/>
          <w:color w:val="000000" w:themeColor="text1"/>
          <w:lang w:val="es-ES_tradnl" w:eastAsia="es-ES_tradnl"/>
        </w:rPr>
      </w:pPr>
      <w:r w:rsidRPr="00163BF5">
        <w:rPr>
          <w:b/>
          <w:color w:val="000000" w:themeColor="text1"/>
          <w:lang w:val="es-ES_tradnl" w:eastAsia="es-ES_tradnl"/>
        </w:rPr>
        <w:t xml:space="preserve">D) Control </w:t>
      </w:r>
      <w:r w:rsidRPr="00163BF5">
        <w:rPr>
          <w:b/>
          <w:i/>
          <w:color w:val="000000" w:themeColor="text1"/>
          <w:lang w:val="es-ES_tradnl" w:eastAsia="es-ES_tradnl"/>
        </w:rPr>
        <w:t xml:space="preserve">ex ante y ex post facto </w:t>
      </w:r>
    </w:p>
    <w:p w14:paraId="0A66F4C8" w14:textId="17A5948D"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El control </w:t>
      </w:r>
      <w:r w:rsidRPr="00163BF5">
        <w:rPr>
          <w:i/>
          <w:color w:val="000000" w:themeColor="text1"/>
          <w:lang w:val="es-ES_tradnl" w:eastAsia="es-ES_tradnl"/>
        </w:rPr>
        <w:t xml:space="preserve">ex ante </w:t>
      </w:r>
      <w:r w:rsidRPr="00163BF5">
        <w:rPr>
          <w:color w:val="000000" w:themeColor="text1"/>
          <w:lang w:val="es-ES_tradnl" w:eastAsia="es-ES_tradnl"/>
        </w:rPr>
        <w:t>o control previo, es el que tiene por objeto “someter a revisión un proyecto de ley o norma que se encuentra en trámite de aprobación” (</w:t>
      </w:r>
      <w:proofErr w:type="spellStart"/>
      <w:r w:rsidRPr="00163BF5">
        <w:rPr>
          <w:color w:val="000000" w:themeColor="text1"/>
          <w:lang w:val="es-ES_tradnl" w:eastAsia="es-ES_tradnl"/>
        </w:rPr>
        <w:t>Oyarte</w:t>
      </w:r>
      <w:proofErr w:type="spellEnd"/>
      <w:r w:rsidRPr="00163BF5">
        <w:rPr>
          <w:color w:val="000000" w:themeColor="text1"/>
          <w:lang w:val="es-ES_tradnl" w:eastAsia="es-ES_tradnl"/>
        </w:rPr>
        <w:t xml:space="preserve">, 2016, </w:t>
      </w:r>
      <w:r w:rsidR="00651EBA" w:rsidRPr="00163BF5">
        <w:rPr>
          <w:color w:val="000000" w:themeColor="text1"/>
          <w:lang w:val="es-ES_tradnl" w:eastAsia="es-ES_tradnl"/>
        </w:rPr>
        <w:t>p.</w:t>
      </w:r>
      <w:r w:rsidRPr="00163BF5">
        <w:rPr>
          <w:color w:val="000000" w:themeColor="text1"/>
          <w:lang w:val="es-ES_tradnl" w:eastAsia="es-ES_tradnl"/>
        </w:rPr>
        <w:t xml:space="preserve"> 996). Este control previo tiene como objetivo prevenir que normas inconstitucionales sean implementadas en el ordenamiento jurídico. </w:t>
      </w:r>
    </w:p>
    <w:p w14:paraId="5ED7108C" w14:textId="40F485A3" w:rsidR="008579F6" w:rsidRPr="00163BF5" w:rsidRDefault="0002107B" w:rsidP="008579F6">
      <w:pPr>
        <w:spacing w:line="480" w:lineRule="auto"/>
        <w:ind w:firstLine="709"/>
        <w:jc w:val="both"/>
        <w:rPr>
          <w:color w:val="000000" w:themeColor="text1"/>
          <w:lang w:val="es-ES_tradnl" w:eastAsia="es-ES_tradnl"/>
        </w:rPr>
      </w:pPr>
      <w:r w:rsidRPr="00163BF5">
        <w:rPr>
          <w:color w:val="000000" w:themeColor="text1"/>
          <w:lang w:val="es-ES_tradnl" w:eastAsia="es-ES_tradnl"/>
        </w:rPr>
        <w:t>La crítica que hace el autor citado en el párrafo anterior a este control previo es que, al ser sujeto de análisis una norma abstracta, es decir, sin ser aplicada en casos concretos, genera irregularidades dado que muchas veces se evidencia la inconstitucionalidad de una norma cuando esta ha sido aplicada, especialmente en normas técnicas</w:t>
      </w:r>
      <w:r w:rsidR="008579F6" w:rsidRPr="00163BF5">
        <w:rPr>
          <w:color w:val="000000" w:themeColor="text1"/>
          <w:lang w:val="es-ES_tradnl" w:eastAsia="es-ES_tradnl"/>
        </w:rPr>
        <w:t xml:space="preserve"> </w:t>
      </w:r>
      <w:r w:rsidRPr="00163BF5">
        <w:rPr>
          <w:color w:val="000000" w:themeColor="text1"/>
          <w:lang w:val="es-ES_tradnl" w:eastAsia="es-ES_tradnl"/>
        </w:rPr>
        <w:t>(</w:t>
      </w:r>
      <w:proofErr w:type="spellStart"/>
      <w:r w:rsidRPr="00163BF5">
        <w:rPr>
          <w:color w:val="000000" w:themeColor="text1"/>
          <w:lang w:val="es-ES_tradnl" w:eastAsia="es-ES_tradnl"/>
        </w:rPr>
        <w:t>Oyarte</w:t>
      </w:r>
      <w:proofErr w:type="spellEnd"/>
      <w:r w:rsidRPr="00163BF5">
        <w:rPr>
          <w:color w:val="000000" w:themeColor="text1"/>
          <w:lang w:val="es-ES_tradnl" w:eastAsia="es-ES_tradnl"/>
        </w:rPr>
        <w:t>, 2016)</w:t>
      </w:r>
      <w:r w:rsidR="008579F6" w:rsidRPr="00163BF5">
        <w:rPr>
          <w:color w:val="000000" w:themeColor="text1"/>
          <w:lang w:val="es-ES_tradnl" w:eastAsia="es-ES_tradnl"/>
        </w:rPr>
        <w:t>.</w:t>
      </w:r>
    </w:p>
    <w:p w14:paraId="0AABFC27" w14:textId="77777777"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El control </w:t>
      </w:r>
      <w:r w:rsidRPr="00163BF5">
        <w:rPr>
          <w:i/>
          <w:color w:val="000000" w:themeColor="text1"/>
          <w:lang w:val="es-ES_tradnl" w:eastAsia="es-ES_tradnl"/>
        </w:rPr>
        <w:t>ex post facto</w:t>
      </w:r>
      <w:r w:rsidRPr="00163BF5">
        <w:rPr>
          <w:color w:val="000000" w:themeColor="text1"/>
          <w:lang w:val="es-ES_tradnl" w:eastAsia="es-ES_tradnl"/>
        </w:rPr>
        <w:t xml:space="preserve"> o control posterior es aquel que somete a revisión normas que se encuentran vigentes, este es generado a través de las acciones inconstitucionales ante la Corte Constitucional (Peñafiel, 2018). </w:t>
      </w:r>
    </w:p>
    <w:p w14:paraId="02F51E51" w14:textId="38A1AC04"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En cuanto al control posterior de normas derogadas, la Ley Orgánica de Garantías Jurisdiccionales en Ecuador, “permite expresamente controlar normas derogadas en cuyo caso el efecto de la sentencia que declare inconstitucionalidad será fundamentalmente, la de impedir que se aplique en el futuro el contenido de esa disposición normativa” (</w:t>
      </w:r>
      <w:proofErr w:type="spellStart"/>
      <w:r w:rsidRPr="00163BF5">
        <w:rPr>
          <w:color w:val="000000" w:themeColor="text1"/>
          <w:lang w:val="es-ES_tradnl" w:eastAsia="es-ES_tradnl"/>
        </w:rPr>
        <w:t>Oyarte</w:t>
      </w:r>
      <w:proofErr w:type="spellEnd"/>
      <w:r w:rsidRPr="00163BF5">
        <w:rPr>
          <w:color w:val="000000" w:themeColor="text1"/>
          <w:lang w:val="es-ES_tradnl" w:eastAsia="es-ES_tradnl"/>
        </w:rPr>
        <w:t xml:space="preserve">, 2016, </w:t>
      </w:r>
      <w:r w:rsidR="00651EBA" w:rsidRPr="00163BF5">
        <w:rPr>
          <w:color w:val="000000" w:themeColor="text1"/>
          <w:lang w:val="es-ES_tradnl" w:eastAsia="es-ES_tradnl"/>
        </w:rPr>
        <w:t>p.</w:t>
      </w:r>
      <w:r w:rsidRPr="00163BF5">
        <w:rPr>
          <w:color w:val="000000" w:themeColor="text1"/>
          <w:lang w:val="es-ES_tradnl" w:eastAsia="es-ES_tradnl"/>
        </w:rPr>
        <w:t xml:space="preserve"> 998).</w:t>
      </w:r>
    </w:p>
    <w:p w14:paraId="34C80DF7" w14:textId="55129A13" w:rsidR="00A62393" w:rsidRPr="00163BF5" w:rsidRDefault="0002107B" w:rsidP="004D5B6D">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Por lo que sí existiría la posibilidad de realizar un control de constitucionalidad posterior de normas derogadas siempre que esto implique el evitar la aplicación en normas posteriores. </w:t>
      </w:r>
    </w:p>
    <w:p w14:paraId="785C0522" w14:textId="64E3BCA5" w:rsidR="00653733" w:rsidRPr="00163BF5" w:rsidRDefault="0002107B" w:rsidP="00653733">
      <w:pPr>
        <w:pStyle w:val="Ttulo7"/>
        <w:numPr>
          <w:ilvl w:val="4"/>
          <w:numId w:val="17"/>
        </w:numPr>
        <w:spacing w:line="480" w:lineRule="auto"/>
        <w:jc w:val="both"/>
        <w:rPr>
          <w:rFonts w:ascii="Times New Roman" w:hAnsi="Times New Roman" w:cs="Times New Roman"/>
          <w:b/>
          <w:bCs/>
          <w:i w:val="0"/>
          <w:iCs w:val="0"/>
          <w:color w:val="000000" w:themeColor="text1"/>
          <w:sz w:val="24"/>
          <w:szCs w:val="24"/>
        </w:rPr>
      </w:pPr>
      <w:bookmarkStart w:id="12" w:name="_Toc67513368"/>
      <w:r w:rsidRPr="00163BF5">
        <w:rPr>
          <w:rFonts w:ascii="Times New Roman" w:hAnsi="Times New Roman" w:cs="Times New Roman"/>
          <w:b/>
          <w:bCs/>
          <w:i w:val="0"/>
          <w:iCs w:val="0"/>
          <w:color w:val="000000" w:themeColor="text1"/>
          <w:sz w:val="24"/>
          <w:szCs w:val="24"/>
        </w:rPr>
        <w:t>Efecto Temporal del control de constitucionalidad</w:t>
      </w:r>
      <w:bookmarkEnd w:id="12"/>
    </w:p>
    <w:p w14:paraId="70DAAC6C" w14:textId="77777777" w:rsidR="0002107B" w:rsidRPr="00163BF5" w:rsidRDefault="0002107B" w:rsidP="0002107B">
      <w:pPr>
        <w:spacing w:line="480" w:lineRule="auto"/>
        <w:ind w:firstLine="709"/>
        <w:jc w:val="both"/>
        <w:rPr>
          <w:i/>
          <w:color w:val="000000" w:themeColor="text1"/>
          <w:lang w:val="es-ES_tradnl" w:eastAsia="es-ES_tradnl"/>
        </w:rPr>
      </w:pPr>
      <w:r w:rsidRPr="00163BF5">
        <w:rPr>
          <w:color w:val="000000" w:themeColor="text1"/>
          <w:lang w:val="es-ES_tradnl" w:eastAsia="es-ES_tradnl"/>
        </w:rPr>
        <w:t xml:space="preserve">Los efectos temporales del control de constitucionalidad pueden ser </w:t>
      </w:r>
      <w:r w:rsidRPr="00163BF5">
        <w:rPr>
          <w:i/>
          <w:color w:val="000000" w:themeColor="text1"/>
          <w:lang w:val="es-ES_tradnl" w:eastAsia="es-ES_tradnl"/>
        </w:rPr>
        <w:t xml:space="preserve">ex </w:t>
      </w:r>
      <w:proofErr w:type="spellStart"/>
      <w:r w:rsidRPr="00163BF5">
        <w:rPr>
          <w:i/>
          <w:color w:val="000000" w:themeColor="text1"/>
          <w:lang w:val="es-ES_tradnl" w:eastAsia="es-ES_tradnl"/>
        </w:rPr>
        <w:t>tunc</w:t>
      </w:r>
      <w:proofErr w:type="spellEnd"/>
      <w:r w:rsidRPr="00163BF5">
        <w:rPr>
          <w:i/>
          <w:color w:val="000000" w:themeColor="text1"/>
          <w:lang w:val="es-ES_tradnl" w:eastAsia="es-ES_tradnl"/>
        </w:rPr>
        <w:t xml:space="preserve">, ex nunc </w:t>
      </w:r>
      <w:r w:rsidRPr="00163BF5">
        <w:rPr>
          <w:color w:val="000000" w:themeColor="text1"/>
          <w:lang w:val="es-ES_tradnl" w:eastAsia="es-ES_tradnl"/>
        </w:rPr>
        <w:t xml:space="preserve">y </w:t>
      </w:r>
      <w:proofErr w:type="spellStart"/>
      <w:r w:rsidRPr="00163BF5">
        <w:rPr>
          <w:i/>
          <w:color w:val="000000" w:themeColor="text1"/>
          <w:lang w:val="es-ES_tradnl" w:eastAsia="es-ES_tradnl"/>
        </w:rPr>
        <w:t>vacatio</w:t>
      </w:r>
      <w:proofErr w:type="spellEnd"/>
      <w:r w:rsidRPr="00163BF5">
        <w:rPr>
          <w:i/>
          <w:color w:val="000000" w:themeColor="text1"/>
          <w:lang w:val="es-ES_tradnl" w:eastAsia="es-ES_tradnl"/>
        </w:rPr>
        <w:t xml:space="preserve"> </w:t>
      </w:r>
      <w:proofErr w:type="spellStart"/>
      <w:r w:rsidRPr="00163BF5">
        <w:rPr>
          <w:i/>
          <w:color w:val="000000" w:themeColor="text1"/>
          <w:lang w:val="es-ES_tradnl" w:eastAsia="es-ES_tradnl"/>
        </w:rPr>
        <w:t>sententiae</w:t>
      </w:r>
      <w:proofErr w:type="spellEnd"/>
      <w:r w:rsidRPr="00163BF5">
        <w:rPr>
          <w:i/>
          <w:color w:val="000000" w:themeColor="text1"/>
          <w:lang w:val="es-ES_tradnl" w:eastAsia="es-ES_tradnl"/>
        </w:rPr>
        <w:t xml:space="preserve">, </w:t>
      </w:r>
      <w:r w:rsidRPr="00163BF5">
        <w:rPr>
          <w:iCs/>
          <w:color w:val="000000" w:themeColor="text1"/>
          <w:lang w:val="es-ES_tradnl" w:eastAsia="es-ES_tradnl"/>
        </w:rPr>
        <w:t>a saber:</w:t>
      </w:r>
    </w:p>
    <w:p w14:paraId="1015A8E4" w14:textId="7FB78B63"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El efecto </w:t>
      </w:r>
      <w:r w:rsidRPr="00163BF5">
        <w:rPr>
          <w:i/>
          <w:color w:val="000000" w:themeColor="text1"/>
          <w:lang w:val="es-ES_tradnl" w:eastAsia="es-ES_tradnl"/>
        </w:rPr>
        <w:t>ex nunc</w:t>
      </w:r>
      <w:r w:rsidRPr="00163BF5">
        <w:rPr>
          <w:color w:val="000000" w:themeColor="text1"/>
          <w:lang w:val="es-ES_tradnl" w:eastAsia="es-ES_tradnl"/>
        </w:rPr>
        <w:t xml:space="preserve"> hace referencia a que los efectos de la decisión de inconstitucionalidad son solo aplicables en casos futuros, mientras que el efecto </w:t>
      </w:r>
      <w:r w:rsidRPr="00163BF5">
        <w:rPr>
          <w:i/>
          <w:color w:val="000000" w:themeColor="text1"/>
          <w:lang w:val="es-ES_tradnl" w:eastAsia="es-ES_tradnl"/>
        </w:rPr>
        <w:t xml:space="preserve">ex </w:t>
      </w:r>
      <w:proofErr w:type="spellStart"/>
      <w:r w:rsidRPr="00163BF5">
        <w:rPr>
          <w:i/>
          <w:color w:val="000000" w:themeColor="text1"/>
          <w:lang w:val="es-ES_tradnl" w:eastAsia="es-ES_tradnl"/>
        </w:rPr>
        <w:t>tunc</w:t>
      </w:r>
      <w:proofErr w:type="spellEnd"/>
      <w:r w:rsidRPr="00163BF5">
        <w:rPr>
          <w:color w:val="000000" w:themeColor="text1"/>
          <w:lang w:val="es-ES_tradnl" w:eastAsia="es-ES_tradnl"/>
        </w:rPr>
        <w:t xml:space="preserve"> hace referencia a que la decisión puede ser aplicable de manera retroactiva regresando las cosas al estado anterior (</w:t>
      </w:r>
      <w:proofErr w:type="spellStart"/>
      <w:r w:rsidRPr="00163BF5">
        <w:rPr>
          <w:color w:val="000000" w:themeColor="text1"/>
          <w:lang w:val="es-ES_tradnl" w:eastAsia="es-ES_tradnl"/>
        </w:rPr>
        <w:t>Oyarte</w:t>
      </w:r>
      <w:proofErr w:type="spellEnd"/>
      <w:r w:rsidRPr="00163BF5">
        <w:rPr>
          <w:color w:val="000000" w:themeColor="text1"/>
          <w:lang w:val="es-ES_tradnl" w:eastAsia="es-ES_tradnl"/>
        </w:rPr>
        <w:t>, 2016)</w:t>
      </w:r>
      <w:r w:rsidR="008579F6" w:rsidRPr="00163BF5">
        <w:rPr>
          <w:color w:val="000000" w:themeColor="text1"/>
          <w:lang w:val="es-ES_tradnl" w:eastAsia="es-ES_tradnl"/>
        </w:rPr>
        <w:t>.</w:t>
      </w:r>
    </w:p>
    <w:p w14:paraId="29FCFDD5" w14:textId="0D4C26FC"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Por lo general, los efectos de las decisiones de inconstitucionalidad tienen efecto </w:t>
      </w:r>
      <w:r w:rsidRPr="00163BF5">
        <w:rPr>
          <w:i/>
          <w:color w:val="000000" w:themeColor="text1"/>
          <w:lang w:val="es-ES_tradnl" w:eastAsia="es-ES_tradnl"/>
        </w:rPr>
        <w:t>ex nunca.</w:t>
      </w:r>
      <w:r w:rsidRPr="00163BF5">
        <w:rPr>
          <w:color w:val="000000" w:themeColor="text1"/>
          <w:lang w:val="es-ES_tradnl" w:eastAsia="es-ES_tradnl"/>
        </w:rPr>
        <w:t xml:space="preserve"> Sin embargo, en Ecuador, a raíz de la expedición de la Constitución de 2008, no se indica la prohibición del efecto retroactivo en la declaratoria de inconstitucionalidad, lo que permite que la Ley Orgánica de Garantías Jurisdiccionales y Control Constitucional establezca que en determinadas ocasiones puede existir control </w:t>
      </w:r>
      <w:r w:rsidRPr="00163BF5">
        <w:rPr>
          <w:i/>
          <w:color w:val="000000" w:themeColor="text1"/>
          <w:lang w:val="es-ES_tradnl" w:eastAsia="es-ES_tradnl"/>
        </w:rPr>
        <w:t xml:space="preserve">ex </w:t>
      </w:r>
      <w:proofErr w:type="spellStart"/>
      <w:r w:rsidRPr="00163BF5">
        <w:rPr>
          <w:i/>
          <w:color w:val="000000" w:themeColor="text1"/>
          <w:lang w:val="es-ES_tradnl" w:eastAsia="es-ES_tradnl"/>
        </w:rPr>
        <w:t>tunc</w:t>
      </w:r>
      <w:proofErr w:type="spellEnd"/>
      <w:r w:rsidRPr="00163BF5">
        <w:rPr>
          <w:color w:val="000000" w:themeColor="text1"/>
          <w:lang w:val="es-ES_tradnl" w:eastAsia="es-ES_tradnl"/>
        </w:rPr>
        <w:t>, siempre que este tenga como objetivo el asegurar la vigencia de los derechos</w:t>
      </w:r>
      <w:r w:rsidR="008579F6" w:rsidRPr="00163BF5">
        <w:rPr>
          <w:color w:val="000000" w:themeColor="text1"/>
          <w:lang w:val="es-ES_tradnl" w:eastAsia="es-ES_tradnl"/>
        </w:rPr>
        <w:t xml:space="preserve"> </w:t>
      </w:r>
      <w:r w:rsidRPr="00163BF5">
        <w:rPr>
          <w:color w:val="000000" w:themeColor="text1"/>
          <w:lang w:val="es-ES_tradnl" w:eastAsia="es-ES_tradnl"/>
        </w:rPr>
        <w:t>(LOGJCC, art. 5)</w:t>
      </w:r>
      <w:r w:rsidR="008579F6" w:rsidRPr="00163BF5">
        <w:rPr>
          <w:color w:val="000000" w:themeColor="text1"/>
          <w:lang w:val="es-ES_tradnl" w:eastAsia="es-ES_tradnl"/>
        </w:rPr>
        <w:t>.</w:t>
      </w:r>
    </w:p>
    <w:p w14:paraId="69A2A766" w14:textId="3D803EE1"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En cuanto a la </w:t>
      </w:r>
      <w:proofErr w:type="spellStart"/>
      <w:r w:rsidRPr="00163BF5">
        <w:rPr>
          <w:i/>
          <w:color w:val="000000" w:themeColor="text1"/>
          <w:lang w:val="es-ES_tradnl" w:eastAsia="es-ES_tradnl"/>
        </w:rPr>
        <w:t>vacantia</w:t>
      </w:r>
      <w:proofErr w:type="spellEnd"/>
      <w:r w:rsidRPr="00163BF5">
        <w:rPr>
          <w:i/>
          <w:color w:val="000000" w:themeColor="text1"/>
          <w:lang w:val="es-ES_tradnl" w:eastAsia="es-ES_tradnl"/>
        </w:rPr>
        <w:t xml:space="preserve"> </w:t>
      </w:r>
      <w:proofErr w:type="spellStart"/>
      <w:r w:rsidRPr="00163BF5">
        <w:rPr>
          <w:i/>
          <w:color w:val="000000" w:themeColor="text1"/>
          <w:lang w:val="es-ES_tradnl" w:eastAsia="es-ES_tradnl"/>
        </w:rPr>
        <w:t>sentenciae</w:t>
      </w:r>
      <w:proofErr w:type="spellEnd"/>
      <w:r w:rsidRPr="00163BF5">
        <w:rPr>
          <w:i/>
          <w:color w:val="000000" w:themeColor="text1"/>
          <w:lang w:val="es-ES_tradnl" w:eastAsia="es-ES_tradnl"/>
        </w:rPr>
        <w:t xml:space="preserve">, </w:t>
      </w:r>
      <w:r w:rsidRPr="00163BF5">
        <w:rPr>
          <w:color w:val="000000" w:themeColor="text1"/>
          <w:lang w:val="es-ES_tradnl" w:eastAsia="es-ES_tradnl"/>
        </w:rPr>
        <w:t>esta consiste el diferimiento del efecto del fallo, por lo que la declaratoria de inconstitucionalidad no será aplicada hasta que haya transcurrido un período de tiempo (</w:t>
      </w:r>
      <w:proofErr w:type="spellStart"/>
      <w:r w:rsidRPr="00163BF5">
        <w:rPr>
          <w:color w:val="000000" w:themeColor="text1"/>
          <w:lang w:val="es-ES_tradnl" w:eastAsia="es-ES_tradnl"/>
        </w:rPr>
        <w:t>Oyarte</w:t>
      </w:r>
      <w:proofErr w:type="spellEnd"/>
      <w:r w:rsidRPr="00163BF5">
        <w:rPr>
          <w:color w:val="000000" w:themeColor="text1"/>
          <w:lang w:val="es-ES_tradnl" w:eastAsia="es-ES_tradnl"/>
        </w:rPr>
        <w:t xml:space="preserve">, 2016). </w:t>
      </w:r>
    </w:p>
    <w:p w14:paraId="6C33423F" w14:textId="11D34B7E" w:rsidR="00A62393" w:rsidRPr="00163BF5" w:rsidRDefault="0002107B" w:rsidP="0083186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Como se mencionó en párrafos anteriores, la Constitución del Ecuador de 2008 no determina los efectos temporales de los fallos de inconstitucionalidad, lo que permite a la LOGJCC el viabilizar una forma similar a la </w:t>
      </w:r>
      <w:proofErr w:type="spellStart"/>
      <w:r w:rsidRPr="00163BF5">
        <w:rPr>
          <w:i/>
          <w:color w:val="000000" w:themeColor="text1"/>
          <w:lang w:val="es-ES_tradnl" w:eastAsia="es-ES_tradnl"/>
        </w:rPr>
        <w:t>vacatio</w:t>
      </w:r>
      <w:proofErr w:type="spellEnd"/>
      <w:r w:rsidRPr="00163BF5">
        <w:rPr>
          <w:i/>
          <w:color w:val="000000" w:themeColor="text1"/>
          <w:lang w:val="es-ES_tradnl" w:eastAsia="es-ES_tradnl"/>
        </w:rPr>
        <w:t xml:space="preserve"> sentencia, </w:t>
      </w:r>
      <w:r w:rsidRPr="00163BF5">
        <w:rPr>
          <w:color w:val="000000" w:themeColor="text1"/>
          <w:lang w:val="es-ES_tradnl" w:eastAsia="es-ES_tradnl"/>
        </w:rPr>
        <w:t xml:space="preserve">ya que indica que se puede cambiar los efectos de las sentencias de Inconstitucionalidad y admite el diferimiento del fallo para que el legislador pueda cubrir el vacío legal generado por la declaratoria de inconstitucionalidad (LOGJCC, Art 5, 96 </w:t>
      </w:r>
      <w:proofErr w:type="spellStart"/>
      <w:r w:rsidRPr="00163BF5">
        <w:rPr>
          <w:color w:val="000000" w:themeColor="text1"/>
          <w:lang w:val="es-ES_tradnl" w:eastAsia="es-ES_tradnl"/>
        </w:rPr>
        <w:t>N°</w:t>
      </w:r>
      <w:proofErr w:type="spellEnd"/>
      <w:r w:rsidRPr="00163BF5">
        <w:rPr>
          <w:color w:val="000000" w:themeColor="text1"/>
          <w:lang w:val="es-ES_tradnl" w:eastAsia="es-ES_tradnl"/>
        </w:rPr>
        <w:t xml:space="preserve"> 1). </w:t>
      </w:r>
    </w:p>
    <w:p w14:paraId="137A8181" w14:textId="7FEA8598" w:rsidR="0033409D" w:rsidRPr="00163BF5" w:rsidRDefault="0002107B" w:rsidP="009F304A">
      <w:pPr>
        <w:pStyle w:val="Ttulo7"/>
        <w:numPr>
          <w:ilvl w:val="4"/>
          <w:numId w:val="17"/>
        </w:numPr>
        <w:spacing w:line="480" w:lineRule="auto"/>
        <w:jc w:val="both"/>
        <w:rPr>
          <w:rFonts w:ascii="Times New Roman" w:hAnsi="Times New Roman" w:cs="Times New Roman"/>
          <w:b/>
          <w:bCs/>
          <w:i w:val="0"/>
          <w:iCs w:val="0"/>
          <w:color w:val="000000" w:themeColor="text1"/>
          <w:sz w:val="24"/>
          <w:szCs w:val="24"/>
        </w:rPr>
      </w:pPr>
      <w:bookmarkStart w:id="13" w:name="_Toc67513369"/>
      <w:r w:rsidRPr="00163BF5">
        <w:rPr>
          <w:rFonts w:ascii="Times New Roman" w:hAnsi="Times New Roman" w:cs="Times New Roman"/>
          <w:b/>
          <w:bCs/>
          <w:i w:val="0"/>
          <w:iCs w:val="0"/>
          <w:color w:val="000000" w:themeColor="text1"/>
          <w:sz w:val="24"/>
          <w:szCs w:val="24"/>
        </w:rPr>
        <w:t>El control de constitucionalidad en el Ecuador.</w:t>
      </w:r>
      <w:bookmarkEnd w:id="13"/>
    </w:p>
    <w:p w14:paraId="0A7DE03F" w14:textId="77777777" w:rsidR="0002107B" w:rsidRPr="00163BF5" w:rsidRDefault="0002107B" w:rsidP="0002107B">
      <w:pPr>
        <w:spacing w:line="480" w:lineRule="auto"/>
        <w:ind w:firstLine="709"/>
        <w:jc w:val="both"/>
        <w:rPr>
          <w:color w:val="000000" w:themeColor="text1"/>
          <w:highlight w:val="white"/>
          <w:lang w:val="es-ES_tradnl" w:eastAsia="es-ES_tradnl"/>
        </w:rPr>
      </w:pPr>
      <w:r w:rsidRPr="00163BF5">
        <w:rPr>
          <w:color w:val="000000" w:themeColor="text1"/>
          <w:highlight w:val="white"/>
          <w:lang w:val="es-ES_tradnl" w:eastAsia="es-ES_tradnl"/>
        </w:rPr>
        <w:t xml:space="preserve">El control de constitucionalidad en el Ecuador hasta el año 1998 era realizado en base a un sistema constitucional mixto, en el artículo 274 de la ya mencionada Carta Magna se establecía que el control de constitucionalidad podía ser realizado de manera difusa expresando que: </w:t>
      </w:r>
    </w:p>
    <w:p w14:paraId="1A1083D7" w14:textId="52D20CAB" w:rsidR="0002107B" w:rsidRPr="00163BF5" w:rsidRDefault="0002107B" w:rsidP="00282214">
      <w:pPr>
        <w:ind w:left="1440"/>
        <w:jc w:val="both"/>
        <w:rPr>
          <w:color w:val="000000" w:themeColor="text1"/>
          <w:sz w:val="22"/>
          <w:szCs w:val="22"/>
          <w:lang w:val="es-ES_tradnl" w:eastAsia="es-ES_tradnl"/>
        </w:rPr>
      </w:pPr>
      <w:r w:rsidRPr="00163BF5">
        <w:rPr>
          <w:color w:val="000000" w:themeColor="text1"/>
          <w:sz w:val="22"/>
          <w:szCs w:val="22"/>
          <w:lang w:val="es-ES_tradnl" w:eastAsia="es-ES_tradnl"/>
        </w:rPr>
        <w:t>Cualquier juez o tribunal, en las causas que conozca, podrá declarar inaplicable, de oficio o a petición de parte, un precepto jurídico contrario a las normas de la Constitución o de los tratados y convenios internacionales, sin perjuicio de fallar sobre el asunto controvertido. (</w:t>
      </w:r>
      <w:r w:rsidR="000A344A" w:rsidRPr="00163BF5">
        <w:rPr>
          <w:color w:val="000000" w:themeColor="text1"/>
          <w:sz w:val="22"/>
          <w:szCs w:val="22"/>
          <w:lang w:val="es-ES_tradnl" w:eastAsia="es-ES_tradnl"/>
        </w:rPr>
        <w:t>CRE</w:t>
      </w:r>
      <w:r w:rsidRPr="00163BF5">
        <w:rPr>
          <w:color w:val="000000" w:themeColor="text1"/>
          <w:sz w:val="22"/>
          <w:szCs w:val="22"/>
          <w:lang w:val="es-ES_tradnl" w:eastAsia="es-ES_tradnl"/>
        </w:rPr>
        <w:t xml:space="preserve">, 2008, Art. 275) </w:t>
      </w:r>
    </w:p>
    <w:p w14:paraId="069E965E" w14:textId="77777777" w:rsidR="0002107B" w:rsidRPr="00163BF5" w:rsidRDefault="0002107B" w:rsidP="0002107B">
      <w:pPr>
        <w:ind w:left="1440"/>
        <w:jc w:val="both"/>
        <w:rPr>
          <w:color w:val="000000" w:themeColor="text1"/>
          <w:lang w:val="es-ES_tradnl" w:eastAsia="es-ES_tradnl"/>
        </w:rPr>
      </w:pPr>
    </w:p>
    <w:p w14:paraId="0CFB3DAA" w14:textId="77777777"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A su vez, en el artículo 276 numeral 1 mencionaba que el control de constitucionalidad era una potestad del Tribunal Constitucional: </w:t>
      </w:r>
    </w:p>
    <w:p w14:paraId="50CBE60A" w14:textId="72FB000B" w:rsidR="0002107B" w:rsidRPr="00163BF5" w:rsidRDefault="0002107B" w:rsidP="00F92151">
      <w:pPr>
        <w:ind w:left="1440"/>
        <w:jc w:val="both"/>
        <w:rPr>
          <w:color w:val="000000" w:themeColor="text1"/>
          <w:sz w:val="22"/>
          <w:szCs w:val="22"/>
          <w:lang w:val="es-ES_tradnl" w:eastAsia="es-ES_tradnl"/>
        </w:rPr>
      </w:pPr>
      <w:r w:rsidRPr="00163BF5">
        <w:rPr>
          <w:color w:val="000000" w:themeColor="text1"/>
          <w:sz w:val="22"/>
          <w:szCs w:val="22"/>
          <w:lang w:val="es-ES_tradnl" w:eastAsia="es-ES_tradnl"/>
        </w:rPr>
        <w:t>Conocer y resolver las demandas de inconstitucionalidad, de fondo o de forma, que se presenten sobre leyes orgánicas y ordinarias, decretos-leyes, decretos, ordenanzas; estatutos, reglamentos y resoluciones, emitidos por órganos de las instituciones del Estado, y suspender total o parcialmente sus efectos. (</w:t>
      </w:r>
      <w:r w:rsidR="000A344A" w:rsidRPr="00163BF5">
        <w:rPr>
          <w:color w:val="000000" w:themeColor="text1"/>
          <w:sz w:val="22"/>
          <w:szCs w:val="22"/>
          <w:lang w:val="es-ES_tradnl" w:eastAsia="es-ES_tradnl"/>
        </w:rPr>
        <w:t>CRE</w:t>
      </w:r>
      <w:r w:rsidRPr="00163BF5">
        <w:rPr>
          <w:color w:val="000000" w:themeColor="text1"/>
          <w:sz w:val="22"/>
          <w:szCs w:val="22"/>
          <w:lang w:val="es-ES_tradnl" w:eastAsia="es-ES_tradnl"/>
        </w:rPr>
        <w:t xml:space="preserve">, 2008, Art. 275) </w:t>
      </w:r>
    </w:p>
    <w:p w14:paraId="223D9BA3" w14:textId="77777777" w:rsidR="00F92151" w:rsidRPr="00163BF5" w:rsidRDefault="00F92151" w:rsidP="00F92151">
      <w:pPr>
        <w:ind w:left="1440"/>
        <w:jc w:val="both"/>
        <w:rPr>
          <w:color w:val="000000" w:themeColor="text1"/>
          <w:sz w:val="22"/>
          <w:szCs w:val="22"/>
          <w:lang w:val="es-ES_tradnl" w:eastAsia="es-ES_tradnl"/>
        </w:rPr>
      </w:pPr>
    </w:p>
    <w:p w14:paraId="3944F6C2" w14:textId="2620EF2C" w:rsidR="0002107B" w:rsidRPr="00163BF5" w:rsidRDefault="007D4053" w:rsidP="0002107B">
      <w:pPr>
        <w:spacing w:line="480" w:lineRule="auto"/>
        <w:ind w:firstLine="709"/>
        <w:jc w:val="both"/>
        <w:rPr>
          <w:color w:val="000000" w:themeColor="text1"/>
          <w:highlight w:val="white"/>
          <w:lang w:val="es-ES_tradnl" w:eastAsia="es-ES_tradnl"/>
        </w:rPr>
      </w:pPr>
      <w:r w:rsidRPr="00163BF5">
        <w:rPr>
          <w:color w:val="000000" w:themeColor="text1"/>
          <w:lang w:val="es-ES_tradnl" w:eastAsia="es-ES_tradnl"/>
        </w:rPr>
        <w:t>En esta línea,</w:t>
      </w:r>
      <w:r w:rsidR="0002107B" w:rsidRPr="00163BF5">
        <w:rPr>
          <w:color w:val="000000" w:themeColor="text1"/>
          <w:lang w:val="es-ES_tradnl" w:eastAsia="es-ES_tradnl"/>
        </w:rPr>
        <w:t xml:space="preserve"> hasta la</w:t>
      </w:r>
      <w:r w:rsidR="0002107B" w:rsidRPr="00163BF5">
        <w:rPr>
          <w:color w:val="000000" w:themeColor="text1"/>
          <w:highlight w:val="white"/>
          <w:lang w:val="es-ES_tradnl" w:eastAsia="es-ES_tradnl"/>
        </w:rPr>
        <w:t xml:space="preserve"> Constitución del Ecuador de 1998 el control de constitucionalidad podía ser realizado tanto por los jueces o tribunales de justicia como por el Tribunal Constitucional como máximo intérprete de la Constitución. </w:t>
      </w:r>
    </w:p>
    <w:p w14:paraId="25BB4440" w14:textId="77777777" w:rsidR="0002107B" w:rsidRPr="00163BF5" w:rsidRDefault="0002107B" w:rsidP="0002107B">
      <w:pPr>
        <w:spacing w:line="480" w:lineRule="auto"/>
        <w:ind w:firstLine="709"/>
        <w:jc w:val="both"/>
        <w:rPr>
          <w:color w:val="000000" w:themeColor="text1"/>
          <w:highlight w:val="white"/>
          <w:lang w:val="es-ES_tradnl" w:eastAsia="es-ES_tradnl"/>
        </w:rPr>
      </w:pPr>
      <w:r w:rsidRPr="00163BF5">
        <w:rPr>
          <w:color w:val="000000" w:themeColor="text1"/>
          <w:highlight w:val="white"/>
          <w:lang w:val="es-ES_tradnl" w:eastAsia="es-ES_tradnl"/>
        </w:rPr>
        <w:t xml:space="preserve">Empero, a  raíz de la expedición de la Constitución del Ecuador de 2008, el control de constitucionalidad se centró en un modelo concentrado y abstracto en base a los artículos 436, numeral 2 y 439 de la Constitución del Ecuador de 2008) mediante una demanda de inconstitucionalidad, sin embargo, si un juez en una causa específica considera que un precepto normativo es contrario a lo estipulado en la Constitución este debe suspender la tramitación de la causa y someter a consulta a la Corte Constitucional para que esta resuelva la constitucionalidad de la norma, todo esto en concordancia con el artículo 428 de la Constitución del Ecuador de 2008. </w:t>
      </w:r>
    </w:p>
    <w:p w14:paraId="1C360193" w14:textId="58843C48" w:rsidR="0002107B" w:rsidRPr="00163BF5" w:rsidRDefault="0002107B" w:rsidP="0002107B">
      <w:pPr>
        <w:spacing w:line="480" w:lineRule="auto"/>
        <w:ind w:firstLine="709"/>
        <w:jc w:val="both"/>
        <w:rPr>
          <w:color w:val="000000" w:themeColor="text1"/>
          <w:highlight w:val="white"/>
          <w:lang w:val="es-ES_tradnl" w:eastAsia="es-ES_tradnl"/>
        </w:rPr>
      </w:pPr>
      <w:r w:rsidRPr="00163BF5">
        <w:rPr>
          <w:color w:val="000000" w:themeColor="text1"/>
          <w:highlight w:val="white"/>
          <w:lang w:val="es-ES_tradnl" w:eastAsia="es-ES_tradnl"/>
        </w:rPr>
        <w:t>Es por ello por lo que</w:t>
      </w:r>
      <w:r w:rsidR="007D4053" w:rsidRPr="00163BF5">
        <w:rPr>
          <w:color w:val="000000" w:themeColor="text1"/>
          <w:highlight w:val="white"/>
          <w:lang w:val="es-ES_tradnl" w:eastAsia="es-ES_tradnl"/>
        </w:rPr>
        <w:t>,</w:t>
      </w:r>
      <w:r w:rsidRPr="00163BF5">
        <w:rPr>
          <w:color w:val="000000" w:themeColor="text1"/>
          <w:highlight w:val="white"/>
          <w:lang w:val="es-ES_tradnl" w:eastAsia="es-ES_tradnl"/>
        </w:rPr>
        <w:t xml:space="preserve"> el modelo de constitucionalidad en el Ecuador se vuelve meramente concentrado ya que la Corte Constitucional es la que realiza los pronunciamientos sobre la constitucionalidad o inconstitucionalidad de las normas en el Ecuador. </w:t>
      </w:r>
    </w:p>
    <w:p w14:paraId="668296C2" w14:textId="15B97942" w:rsidR="0002107B" w:rsidRPr="00163BF5" w:rsidRDefault="0002107B" w:rsidP="0002107B">
      <w:pPr>
        <w:spacing w:line="480" w:lineRule="auto"/>
        <w:ind w:firstLine="709"/>
        <w:jc w:val="both"/>
        <w:rPr>
          <w:color w:val="000000" w:themeColor="text1"/>
          <w:highlight w:val="white"/>
          <w:lang w:val="es-ES_tradnl" w:eastAsia="es-ES_tradnl"/>
        </w:rPr>
      </w:pPr>
      <w:r w:rsidRPr="00163BF5">
        <w:rPr>
          <w:color w:val="000000" w:themeColor="text1"/>
          <w:highlight w:val="white"/>
          <w:lang w:val="es-ES_tradnl" w:eastAsia="es-ES_tradnl"/>
        </w:rPr>
        <w:t>Por último, en cuanto a la obligatoriedad del control de constitucionalidad, en Ecuador este es obligatorio tanto de modo preventivo como represivo. Se realiza control preventivo y obligatorio lo realiza en “los tratados internacionales, los proyectos de ley objetados por razones de inconstitucionalidad, las convocatorias a consulta popular, las reformas constitucionales y decretos de urgencia económica” (</w:t>
      </w:r>
      <w:proofErr w:type="spellStart"/>
      <w:r w:rsidRPr="00163BF5">
        <w:rPr>
          <w:color w:val="000000" w:themeColor="text1"/>
          <w:highlight w:val="white"/>
          <w:lang w:val="es-ES_tradnl" w:eastAsia="es-ES_tradnl"/>
        </w:rPr>
        <w:t>Oyarte</w:t>
      </w:r>
      <w:proofErr w:type="spellEnd"/>
      <w:r w:rsidRPr="00163BF5">
        <w:rPr>
          <w:color w:val="000000" w:themeColor="text1"/>
          <w:highlight w:val="white"/>
          <w:lang w:val="es-ES_tradnl" w:eastAsia="es-ES_tradnl"/>
        </w:rPr>
        <w:t xml:space="preserve">, 2016, </w:t>
      </w:r>
      <w:r w:rsidR="00651EBA" w:rsidRPr="00163BF5">
        <w:rPr>
          <w:color w:val="000000" w:themeColor="text1"/>
          <w:highlight w:val="white"/>
          <w:lang w:val="es-ES_tradnl" w:eastAsia="es-ES_tradnl"/>
        </w:rPr>
        <w:t>p.</w:t>
      </w:r>
      <w:r w:rsidRPr="00163BF5">
        <w:rPr>
          <w:color w:val="000000" w:themeColor="text1"/>
          <w:highlight w:val="white"/>
          <w:lang w:val="es-ES_tradnl" w:eastAsia="es-ES_tradnl"/>
        </w:rPr>
        <w:t xml:space="preserve"> 1004). Esto en concordancia con los artículos 104, 138, 148, 419 y 438 de la Constitución del Ecuador de 2008. Mientras que las declaratorias de estado de excepción se someten a controles obligatorios y represivos, esto en concordancia con el artículo 166 inciso primero de la misma Constitución. </w:t>
      </w:r>
    </w:p>
    <w:p w14:paraId="4DF0E7D5" w14:textId="4085BA17" w:rsidR="009F304A" w:rsidRPr="00163BF5" w:rsidRDefault="009F304A" w:rsidP="0002107B">
      <w:pPr>
        <w:spacing w:line="480" w:lineRule="auto"/>
        <w:jc w:val="both"/>
        <w:rPr>
          <w:color w:val="000000" w:themeColor="text1"/>
          <w:lang w:val="es-ES_tradnl" w:eastAsia="es-ES_tradnl"/>
        </w:rPr>
      </w:pPr>
    </w:p>
    <w:p w14:paraId="6540DAD2" w14:textId="04179BA9" w:rsidR="009F5901" w:rsidRPr="00163BF5" w:rsidRDefault="009F5901" w:rsidP="0002107B">
      <w:pPr>
        <w:spacing w:line="480" w:lineRule="auto"/>
        <w:jc w:val="both"/>
        <w:rPr>
          <w:color w:val="000000" w:themeColor="text1"/>
          <w:lang w:val="es-ES_tradnl" w:eastAsia="es-ES_tradnl"/>
        </w:rPr>
      </w:pPr>
    </w:p>
    <w:p w14:paraId="18BB4F0E" w14:textId="3B989E81" w:rsidR="009F5901" w:rsidRPr="00163BF5" w:rsidRDefault="009F5901" w:rsidP="0002107B">
      <w:pPr>
        <w:spacing w:line="480" w:lineRule="auto"/>
        <w:jc w:val="both"/>
        <w:rPr>
          <w:color w:val="000000" w:themeColor="text1"/>
          <w:lang w:val="es-ES_tradnl" w:eastAsia="es-ES_tradnl"/>
        </w:rPr>
      </w:pPr>
    </w:p>
    <w:p w14:paraId="6905942D" w14:textId="28BB91B3" w:rsidR="009F5901" w:rsidRPr="00163BF5" w:rsidRDefault="009F5901" w:rsidP="0002107B">
      <w:pPr>
        <w:spacing w:line="480" w:lineRule="auto"/>
        <w:jc w:val="both"/>
        <w:rPr>
          <w:color w:val="000000" w:themeColor="text1"/>
          <w:lang w:val="es-ES_tradnl" w:eastAsia="es-ES_tradnl"/>
        </w:rPr>
      </w:pPr>
    </w:p>
    <w:p w14:paraId="3ED13E12" w14:textId="50DB31DC" w:rsidR="009F5901" w:rsidRPr="00163BF5" w:rsidRDefault="009F5901" w:rsidP="0002107B">
      <w:pPr>
        <w:spacing w:line="480" w:lineRule="auto"/>
        <w:jc w:val="both"/>
        <w:rPr>
          <w:color w:val="000000" w:themeColor="text1"/>
          <w:lang w:val="es-ES_tradnl" w:eastAsia="es-ES_tradnl"/>
        </w:rPr>
      </w:pPr>
    </w:p>
    <w:p w14:paraId="661FB0FB" w14:textId="7203D2D3" w:rsidR="009F5901" w:rsidRPr="00163BF5" w:rsidRDefault="009F5901" w:rsidP="0002107B">
      <w:pPr>
        <w:spacing w:line="480" w:lineRule="auto"/>
        <w:jc w:val="both"/>
        <w:rPr>
          <w:color w:val="000000" w:themeColor="text1"/>
          <w:lang w:val="es-ES_tradnl" w:eastAsia="es-ES_tradnl"/>
        </w:rPr>
      </w:pPr>
    </w:p>
    <w:p w14:paraId="17BBCF62" w14:textId="5830C4D4" w:rsidR="0083186B" w:rsidRPr="00163BF5" w:rsidRDefault="0083186B" w:rsidP="0002107B">
      <w:pPr>
        <w:spacing w:line="480" w:lineRule="auto"/>
        <w:jc w:val="both"/>
        <w:rPr>
          <w:color w:val="000000" w:themeColor="text1"/>
          <w:lang w:val="es-ES_tradnl" w:eastAsia="es-ES_tradnl"/>
        </w:rPr>
      </w:pPr>
    </w:p>
    <w:p w14:paraId="61FBCD3C" w14:textId="13F8F2AC" w:rsidR="0083186B" w:rsidRPr="00163BF5" w:rsidRDefault="0083186B" w:rsidP="0002107B">
      <w:pPr>
        <w:spacing w:line="480" w:lineRule="auto"/>
        <w:jc w:val="both"/>
        <w:rPr>
          <w:color w:val="000000" w:themeColor="text1"/>
          <w:lang w:val="es-ES_tradnl" w:eastAsia="es-ES_tradnl"/>
        </w:rPr>
      </w:pPr>
    </w:p>
    <w:p w14:paraId="508277E4" w14:textId="1FDEB558" w:rsidR="0083186B" w:rsidRPr="00163BF5" w:rsidRDefault="0083186B" w:rsidP="0002107B">
      <w:pPr>
        <w:spacing w:line="480" w:lineRule="auto"/>
        <w:jc w:val="both"/>
        <w:rPr>
          <w:color w:val="000000" w:themeColor="text1"/>
          <w:lang w:val="es-ES_tradnl" w:eastAsia="es-ES_tradnl"/>
        </w:rPr>
      </w:pPr>
    </w:p>
    <w:p w14:paraId="3DDFACB0" w14:textId="10C4F822" w:rsidR="0083186B" w:rsidRPr="00163BF5" w:rsidRDefault="0083186B" w:rsidP="0002107B">
      <w:pPr>
        <w:spacing w:line="480" w:lineRule="auto"/>
        <w:jc w:val="both"/>
        <w:rPr>
          <w:color w:val="000000" w:themeColor="text1"/>
          <w:lang w:val="es-ES_tradnl" w:eastAsia="es-ES_tradnl"/>
        </w:rPr>
      </w:pPr>
    </w:p>
    <w:p w14:paraId="6F6FF85B" w14:textId="2CC4264D" w:rsidR="0083186B" w:rsidRPr="00163BF5" w:rsidRDefault="0083186B" w:rsidP="0002107B">
      <w:pPr>
        <w:spacing w:line="480" w:lineRule="auto"/>
        <w:jc w:val="both"/>
        <w:rPr>
          <w:color w:val="000000" w:themeColor="text1"/>
          <w:lang w:val="es-ES_tradnl" w:eastAsia="es-ES_tradnl"/>
        </w:rPr>
      </w:pPr>
    </w:p>
    <w:p w14:paraId="7BFE1DE1" w14:textId="3A335EBA" w:rsidR="0083186B" w:rsidRPr="00163BF5" w:rsidRDefault="0083186B" w:rsidP="0002107B">
      <w:pPr>
        <w:spacing w:line="480" w:lineRule="auto"/>
        <w:jc w:val="both"/>
        <w:rPr>
          <w:color w:val="000000" w:themeColor="text1"/>
          <w:lang w:val="es-ES_tradnl" w:eastAsia="es-ES_tradnl"/>
        </w:rPr>
      </w:pPr>
    </w:p>
    <w:p w14:paraId="5FC5E15B" w14:textId="77777777" w:rsidR="0083186B" w:rsidRPr="00163BF5" w:rsidRDefault="0083186B" w:rsidP="0002107B">
      <w:pPr>
        <w:spacing w:line="480" w:lineRule="auto"/>
        <w:jc w:val="both"/>
        <w:rPr>
          <w:color w:val="000000" w:themeColor="text1"/>
          <w:lang w:val="es-ES_tradnl" w:eastAsia="es-ES_tradnl"/>
        </w:rPr>
      </w:pPr>
    </w:p>
    <w:p w14:paraId="192450E8" w14:textId="20D29E5D" w:rsidR="00C62DB3" w:rsidRPr="00163BF5" w:rsidRDefault="00AC35CF" w:rsidP="00172FF0">
      <w:pPr>
        <w:pStyle w:val="Ttulo1"/>
        <w:numPr>
          <w:ilvl w:val="0"/>
          <w:numId w:val="0"/>
        </w:numPr>
        <w:ind w:left="720"/>
        <w:jc w:val="center"/>
        <w:rPr>
          <w:lang w:val="es-ES_tradnl" w:eastAsia="es-ES_tradnl"/>
        </w:rPr>
      </w:pPr>
      <w:bookmarkStart w:id="14" w:name="_Toc67513371"/>
      <w:bookmarkStart w:id="15" w:name="_Toc63689881"/>
      <w:bookmarkStart w:id="16" w:name="_Toc63690048"/>
      <w:r w:rsidRPr="00163BF5">
        <w:rPr>
          <w:lang w:val="es-ES_tradnl" w:eastAsia="es-ES_tradnl"/>
        </w:rPr>
        <w:t>SEGUNDO CAPÍTULO</w:t>
      </w:r>
      <w:bookmarkEnd w:id="14"/>
    </w:p>
    <w:p w14:paraId="21AA3A54" w14:textId="567C0B7E" w:rsidR="0002107B" w:rsidRPr="00163BF5" w:rsidRDefault="0002107B" w:rsidP="006972DE">
      <w:pPr>
        <w:pStyle w:val="Ttulo2"/>
        <w:numPr>
          <w:ilvl w:val="0"/>
          <w:numId w:val="17"/>
        </w:numPr>
        <w:rPr>
          <w:lang w:val="es-ES_tradnl" w:eastAsia="es-ES_tradnl"/>
        </w:rPr>
      </w:pPr>
      <w:bookmarkStart w:id="17" w:name="_Toc67513372"/>
      <w:r w:rsidRPr="00163BF5">
        <w:rPr>
          <w:lang w:val="es-ES_tradnl" w:eastAsia="es-ES_tradnl"/>
        </w:rPr>
        <w:t>PERSONAS DESAPARECIDAS Y EXTRAVIADAS EN BASE A LA DOCTRINA Y LA LEY.</w:t>
      </w:r>
      <w:bookmarkEnd w:id="15"/>
      <w:bookmarkEnd w:id="16"/>
      <w:bookmarkEnd w:id="17"/>
    </w:p>
    <w:p w14:paraId="1A8C7911" w14:textId="77777777" w:rsidR="0002107B" w:rsidRPr="00163BF5" w:rsidRDefault="0002107B" w:rsidP="0002107B">
      <w:pPr>
        <w:spacing w:line="480" w:lineRule="auto"/>
        <w:ind w:firstLine="709"/>
        <w:jc w:val="both"/>
        <w:rPr>
          <w:color w:val="000000" w:themeColor="text1"/>
          <w:lang w:val="es-ES_tradnl" w:eastAsia="es-ES_tradnl"/>
        </w:rPr>
      </w:pPr>
      <w:r w:rsidRPr="00163BF5">
        <w:rPr>
          <w:color w:val="000000" w:themeColor="text1"/>
          <w:lang w:val="es-ES_tradnl" w:eastAsia="es-ES_tradnl"/>
        </w:rPr>
        <w:t xml:space="preserve">En el presente capítulo se va a definir los distintos tipos de desapariciones en base a la doctrina y la ley ecuatoriana, con la finalidad de establecer los sujetos a quienes la Ley Orgánica de Actuación en casos de Personas Desaparecidas y Extraviadas debe tutelar sus derechos en base a los estándares de debida diligencia emitidos por parte de la Corte Interamericana de Derechos Humanos en su jurisprudencia. </w:t>
      </w:r>
    </w:p>
    <w:p w14:paraId="1A0D3EC5" w14:textId="00D4621A" w:rsidR="0002107B" w:rsidRPr="00163BF5" w:rsidRDefault="0002107B" w:rsidP="00172FF0">
      <w:pPr>
        <w:pStyle w:val="Ttulo3"/>
        <w:numPr>
          <w:ilvl w:val="1"/>
          <w:numId w:val="25"/>
        </w:numPr>
        <w:rPr>
          <w:rFonts w:eastAsia="Times New Roman"/>
        </w:rPr>
      </w:pPr>
      <w:bookmarkStart w:id="18" w:name="_Toc67513373"/>
      <w:r w:rsidRPr="00163BF5">
        <w:rPr>
          <w:rFonts w:eastAsia="Times New Roman"/>
        </w:rPr>
        <w:t xml:space="preserve">Personas </w:t>
      </w:r>
      <w:r w:rsidR="009F5901" w:rsidRPr="00163BF5">
        <w:rPr>
          <w:rFonts w:eastAsia="Times New Roman"/>
        </w:rPr>
        <w:t>d</w:t>
      </w:r>
      <w:r w:rsidRPr="00163BF5">
        <w:rPr>
          <w:rFonts w:eastAsia="Times New Roman"/>
        </w:rPr>
        <w:t xml:space="preserve">esaparecidas, </w:t>
      </w:r>
      <w:r w:rsidR="009F5901" w:rsidRPr="00163BF5">
        <w:rPr>
          <w:rFonts w:eastAsia="Times New Roman"/>
        </w:rPr>
        <w:t>e</w:t>
      </w:r>
      <w:r w:rsidRPr="00163BF5">
        <w:rPr>
          <w:rFonts w:eastAsia="Times New Roman"/>
        </w:rPr>
        <w:t xml:space="preserve">xtraviadas y </w:t>
      </w:r>
      <w:r w:rsidR="009F5901" w:rsidRPr="00163BF5">
        <w:rPr>
          <w:rFonts w:eastAsia="Times New Roman"/>
        </w:rPr>
        <w:t>p</w:t>
      </w:r>
      <w:r w:rsidRPr="00163BF5">
        <w:rPr>
          <w:rFonts w:eastAsia="Times New Roman"/>
        </w:rPr>
        <w:t>erdidas.</w:t>
      </w:r>
      <w:bookmarkEnd w:id="18"/>
      <w:r w:rsidRPr="00163BF5">
        <w:rPr>
          <w:rFonts w:eastAsia="Times New Roman"/>
        </w:rPr>
        <w:t xml:space="preserve"> </w:t>
      </w:r>
    </w:p>
    <w:p w14:paraId="092DCAE2" w14:textId="6552B869" w:rsidR="0002107B" w:rsidRPr="00163BF5" w:rsidRDefault="0002107B" w:rsidP="0002107B">
      <w:pPr>
        <w:spacing w:line="480" w:lineRule="auto"/>
        <w:ind w:firstLine="709"/>
        <w:jc w:val="both"/>
        <w:rPr>
          <w:color w:val="000000" w:themeColor="text1"/>
          <w:lang w:eastAsia="es-EC"/>
        </w:rPr>
      </w:pPr>
      <w:r w:rsidRPr="00163BF5">
        <w:rPr>
          <w:color w:val="000000" w:themeColor="text1"/>
          <w:lang w:eastAsia="es-EC"/>
        </w:rPr>
        <w:t>En la actualidad, la situación de las personas desaparecidas y extraviadas es alarmante, en Ecuador en el 2014 se registraron 10.235 personas desaparecidas, el año siguiente se registraron 10.772 personas, en los años 2016 y 2017 se registraron 10.458 y 10.893 personas desaparecidas respectivamente, en cuanto a años anteriores en el 2014 se informa que existen 595 personas desaparecidas</w:t>
      </w:r>
      <w:r w:rsidR="005343D0" w:rsidRPr="00163BF5">
        <w:rPr>
          <w:color w:val="000000" w:themeColor="text1"/>
          <w:lang w:eastAsia="es-EC"/>
        </w:rPr>
        <w:t xml:space="preserve"> </w:t>
      </w:r>
      <w:sdt>
        <w:sdtPr>
          <w:rPr>
            <w:color w:val="000000" w:themeColor="text1"/>
            <w:lang w:eastAsia="es-EC"/>
          </w:rPr>
          <w:id w:val="1618642483"/>
          <w:citation/>
        </w:sdtPr>
        <w:sdtEndPr/>
        <w:sdtContent>
          <w:r w:rsidR="005343D0" w:rsidRPr="00163BF5">
            <w:rPr>
              <w:color w:val="000000" w:themeColor="text1"/>
              <w:lang w:eastAsia="es-EC"/>
            </w:rPr>
            <w:fldChar w:fldCharType="begin"/>
          </w:r>
          <w:r w:rsidR="005343D0" w:rsidRPr="00163BF5">
            <w:rPr>
              <w:color w:val="000000" w:themeColor="text1"/>
              <w:lang w:val="es-ES" w:eastAsia="es-EC"/>
            </w:rPr>
            <w:instrText xml:space="preserve">CITATION Fis \l 3082 </w:instrText>
          </w:r>
          <w:r w:rsidR="005343D0" w:rsidRPr="00163BF5">
            <w:rPr>
              <w:color w:val="000000" w:themeColor="text1"/>
              <w:lang w:eastAsia="es-EC"/>
            </w:rPr>
            <w:fldChar w:fldCharType="separate"/>
          </w:r>
          <w:r w:rsidR="00282214" w:rsidRPr="00163BF5">
            <w:rPr>
              <w:noProof/>
              <w:color w:val="000000" w:themeColor="text1"/>
              <w:lang w:val="es-ES" w:eastAsia="es-EC"/>
            </w:rPr>
            <w:t>(Fiscalía General del Estado, 2018)</w:t>
          </w:r>
          <w:r w:rsidR="005343D0" w:rsidRPr="00163BF5">
            <w:rPr>
              <w:color w:val="000000" w:themeColor="text1"/>
              <w:lang w:eastAsia="es-EC"/>
            </w:rPr>
            <w:fldChar w:fldCharType="end"/>
          </w:r>
        </w:sdtContent>
      </w:sdt>
      <w:r w:rsidR="00523543" w:rsidRPr="00163BF5">
        <w:rPr>
          <w:color w:val="000000" w:themeColor="text1"/>
          <w:lang w:eastAsia="es-EC"/>
        </w:rPr>
        <w:t>.</w:t>
      </w:r>
    </w:p>
    <w:p w14:paraId="3CCD063C" w14:textId="64097311" w:rsidR="0002107B" w:rsidRPr="00163BF5" w:rsidRDefault="0002107B" w:rsidP="0002107B">
      <w:pPr>
        <w:spacing w:line="480" w:lineRule="auto"/>
        <w:ind w:firstLine="709"/>
        <w:jc w:val="both"/>
        <w:rPr>
          <w:color w:val="000000" w:themeColor="text1"/>
          <w:lang w:eastAsia="es-EC"/>
        </w:rPr>
      </w:pPr>
      <w:r w:rsidRPr="00163BF5">
        <w:rPr>
          <w:color w:val="000000" w:themeColor="text1"/>
          <w:lang w:eastAsia="es-EC"/>
        </w:rPr>
        <w:t>En el año 2018</w:t>
      </w:r>
      <w:r w:rsidR="007D4053" w:rsidRPr="00163BF5">
        <w:rPr>
          <w:color w:val="000000" w:themeColor="text1"/>
          <w:lang w:eastAsia="es-EC"/>
        </w:rPr>
        <w:t>,</w:t>
      </w:r>
      <w:r w:rsidRPr="00163BF5">
        <w:rPr>
          <w:color w:val="000000" w:themeColor="text1"/>
          <w:lang w:eastAsia="es-EC"/>
        </w:rPr>
        <w:t xml:space="preserve"> según estadísticas del Ministerio de Gobierno se registraron 10.162 personas como desaparecidas </w:t>
      </w:r>
      <w:bookmarkStart w:id="19" w:name="_Hlk55838778"/>
      <w:sdt>
        <w:sdtPr>
          <w:rPr>
            <w:color w:val="000000" w:themeColor="text1"/>
            <w:lang w:eastAsia="es-EC"/>
          </w:rPr>
          <w:id w:val="-253354908"/>
          <w:citation/>
        </w:sdtPr>
        <w:sdtEndPr/>
        <w:sdtContent>
          <w:r w:rsidRPr="00163BF5">
            <w:rPr>
              <w:color w:val="000000" w:themeColor="text1"/>
              <w:lang w:eastAsia="es-EC"/>
            </w:rPr>
            <w:fldChar w:fldCharType="begin"/>
          </w:r>
          <w:r w:rsidRPr="00163BF5">
            <w:rPr>
              <w:color w:val="000000" w:themeColor="text1"/>
              <w:lang w:eastAsia="es-EC"/>
            </w:rPr>
            <w:instrText xml:space="preserve">CITATION Ecu19 \l 12298 </w:instrText>
          </w:r>
          <w:r w:rsidRPr="00163BF5">
            <w:rPr>
              <w:color w:val="000000" w:themeColor="text1"/>
              <w:lang w:eastAsia="es-EC"/>
            </w:rPr>
            <w:fldChar w:fldCharType="separate"/>
          </w:r>
          <w:r w:rsidR="00282214" w:rsidRPr="00163BF5">
            <w:rPr>
              <w:noProof/>
              <w:color w:val="000000" w:themeColor="text1"/>
              <w:lang w:eastAsia="es-EC"/>
            </w:rPr>
            <w:t>(Ministerio de Gobierno del Ecuador, 2019)</w:t>
          </w:r>
          <w:r w:rsidRPr="00163BF5">
            <w:rPr>
              <w:color w:val="000000" w:themeColor="text1"/>
              <w:lang w:eastAsia="es-EC"/>
            </w:rPr>
            <w:fldChar w:fldCharType="end"/>
          </w:r>
        </w:sdtContent>
      </w:sdt>
      <w:bookmarkEnd w:id="19"/>
      <w:r w:rsidRPr="00163BF5">
        <w:rPr>
          <w:color w:val="000000" w:themeColor="text1"/>
          <w:lang w:eastAsia="es-EC"/>
        </w:rPr>
        <w:t>.</w:t>
      </w:r>
    </w:p>
    <w:p w14:paraId="2075063D" w14:textId="02FC97E3" w:rsidR="0002107B" w:rsidRPr="00163BF5" w:rsidRDefault="0002107B" w:rsidP="0002107B">
      <w:pPr>
        <w:spacing w:line="480" w:lineRule="auto"/>
        <w:ind w:firstLine="709"/>
        <w:jc w:val="both"/>
        <w:rPr>
          <w:color w:val="000000" w:themeColor="text1"/>
          <w:lang w:val="es-ES_tradnl" w:eastAsia="es-EC"/>
        </w:rPr>
      </w:pPr>
      <w:r w:rsidRPr="00163BF5">
        <w:rPr>
          <w:color w:val="000000" w:themeColor="text1"/>
          <w:lang w:eastAsia="es-EC"/>
        </w:rPr>
        <w:t xml:space="preserve">En cuanto al año 2019 la información conseguida refleja que hasta el 30 de junio de 2019 se reportaron 4863 </w:t>
      </w:r>
      <w:sdt>
        <w:sdtPr>
          <w:rPr>
            <w:color w:val="000000" w:themeColor="text1"/>
            <w:lang w:eastAsia="es-EC"/>
          </w:rPr>
          <w:id w:val="1729110970"/>
          <w:citation/>
        </w:sdtPr>
        <w:sdtEndPr/>
        <w:sdtContent>
          <w:r w:rsidRPr="00163BF5">
            <w:rPr>
              <w:color w:val="000000" w:themeColor="text1"/>
              <w:lang w:eastAsia="es-EC"/>
            </w:rPr>
            <w:fldChar w:fldCharType="begin"/>
          </w:r>
          <w:r w:rsidRPr="00163BF5">
            <w:rPr>
              <w:color w:val="000000" w:themeColor="text1"/>
              <w:lang w:eastAsia="es-EC"/>
            </w:rPr>
            <w:instrText xml:space="preserve">CITATION Ecu19 \l 12298 </w:instrText>
          </w:r>
          <w:r w:rsidRPr="00163BF5">
            <w:rPr>
              <w:color w:val="000000" w:themeColor="text1"/>
              <w:lang w:eastAsia="es-EC"/>
            </w:rPr>
            <w:fldChar w:fldCharType="separate"/>
          </w:r>
          <w:r w:rsidR="00282214" w:rsidRPr="00163BF5">
            <w:rPr>
              <w:noProof/>
              <w:color w:val="000000" w:themeColor="text1"/>
              <w:lang w:eastAsia="es-EC"/>
            </w:rPr>
            <w:t>(Ministerio de Gobierno del Ecuador, 2019)</w:t>
          </w:r>
          <w:r w:rsidRPr="00163BF5">
            <w:rPr>
              <w:color w:val="000000" w:themeColor="text1"/>
              <w:lang w:eastAsia="es-EC"/>
            </w:rPr>
            <w:fldChar w:fldCharType="end"/>
          </w:r>
        </w:sdtContent>
      </w:sdt>
      <w:r w:rsidR="00282214" w:rsidRPr="00163BF5">
        <w:rPr>
          <w:color w:val="000000" w:themeColor="text1"/>
          <w:lang w:eastAsia="es-EC"/>
        </w:rPr>
        <w:t>.</w:t>
      </w:r>
      <w:r w:rsidRPr="00163BF5">
        <w:rPr>
          <w:color w:val="000000" w:themeColor="text1"/>
          <w:lang w:eastAsia="es-EC"/>
        </w:rPr>
        <w:t>Sin embargo, no hay datos sobre los reportes de los meses Julio-Diciembre</w:t>
      </w:r>
      <w:r w:rsidR="00282214" w:rsidRPr="00163BF5">
        <w:rPr>
          <w:color w:val="000000" w:themeColor="text1"/>
          <w:lang w:val="es-ES_tradnl" w:eastAsia="es-EC"/>
        </w:rPr>
        <w:t xml:space="preserve"> de ese año. </w:t>
      </w:r>
    </w:p>
    <w:p w14:paraId="69C66FC8" w14:textId="40424FF8" w:rsidR="00282214" w:rsidRPr="00163BF5" w:rsidRDefault="00282214" w:rsidP="0002107B">
      <w:pPr>
        <w:spacing w:line="480" w:lineRule="auto"/>
        <w:ind w:firstLine="709"/>
        <w:jc w:val="both"/>
        <w:rPr>
          <w:color w:val="000000" w:themeColor="text1"/>
          <w:lang w:val="es-ES_tradnl" w:eastAsia="es-EC"/>
        </w:rPr>
      </w:pPr>
      <w:r w:rsidRPr="00163BF5">
        <w:rPr>
          <w:color w:val="000000" w:themeColor="text1"/>
          <w:lang w:val="es-ES_tradnl" w:eastAsia="es-EC"/>
        </w:rPr>
        <w:t xml:space="preserve">En 2020 la </w:t>
      </w:r>
      <w:r w:rsidR="00A14F18" w:rsidRPr="00163BF5">
        <w:rPr>
          <w:color w:val="000000" w:themeColor="text1"/>
          <w:lang w:val="es-ES_tradnl" w:eastAsia="es-EC"/>
        </w:rPr>
        <w:t>estadística</w:t>
      </w:r>
      <w:r w:rsidRPr="00163BF5">
        <w:rPr>
          <w:color w:val="000000" w:themeColor="text1"/>
          <w:lang w:val="es-ES_tradnl" w:eastAsia="es-EC"/>
        </w:rPr>
        <w:t xml:space="preserve"> anual otorgada por el Ministerio de Gobierno, estableció que en ese año se reportaron 6454 personas como </w:t>
      </w:r>
      <w:r w:rsidR="00931CA6" w:rsidRPr="00163BF5">
        <w:rPr>
          <w:color w:val="000000" w:themeColor="text1"/>
          <w:lang w:val="es-ES_tradnl" w:eastAsia="es-EC"/>
        </w:rPr>
        <w:t>desaparecidas (</w:t>
      </w:r>
      <w:r w:rsidRPr="00163BF5">
        <w:rPr>
          <w:color w:val="000000" w:themeColor="text1"/>
          <w:lang w:val="es-ES_tradnl" w:eastAsia="es-EC"/>
        </w:rPr>
        <w:t>Ministerio de Gobierno del Ecuador, 2020)</w:t>
      </w:r>
      <w:r w:rsidR="00523543" w:rsidRPr="00163BF5">
        <w:rPr>
          <w:color w:val="000000" w:themeColor="text1"/>
          <w:lang w:val="es-ES_tradnl" w:eastAsia="es-EC"/>
        </w:rPr>
        <w:t>.</w:t>
      </w:r>
      <w:r w:rsidRPr="00163BF5">
        <w:rPr>
          <w:color w:val="000000" w:themeColor="text1"/>
          <w:lang w:val="es-ES_tradnl" w:eastAsia="es-EC"/>
        </w:rPr>
        <w:t xml:space="preserve"> </w:t>
      </w:r>
    </w:p>
    <w:p w14:paraId="447D0EDA" w14:textId="65AF30EE" w:rsidR="0002107B" w:rsidRPr="00163BF5" w:rsidRDefault="00045F94" w:rsidP="00045F94">
      <w:pPr>
        <w:spacing w:line="480" w:lineRule="auto"/>
        <w:ind w:firstLine="709"/>
        <w:jc w:val="both"/>
        <w:rPr>
          <w:color w:val="000000" w:themeColor="text1"/>
          <w:lang w:eastAsia="es-EC"/>
        </w:rPr>
      </w:pPr>
      <w:r w:rsidRPr="00163BF5">
        <w:rPr>
          <w:color w:val="000000" w:themeColor="text1"/>
          <w:lang w:val="es-ES_tradnl" w:eastAsia="es-EC"/>
        </w:rPr>
        <w:t>En base a esta problemática autores como</w:t>
      </w:r>
      <w:r w:rsidR="0083186B" w:rsidRPr="00163BF5">
        <w:rPr>
          <w:color w:val="000000" w:themeColor="text1"/>
          <w:lang w:val="es-ES_tradnl" w:eastAsia="es-EC"/>
        </w:rPr>
        <w:t xml:space="preserve"> </w:t>
      </w:r>
      <w:proofErr w:type="spellStart"/>
      <w:r w:rsidR="0002107B" w:rsidRPr="00163BF5">
        <w:rPr>
          <w:color w:val="000000" w:themeColor="text1"/>
          <w:lang w:val="es-ES" w:eastAsia="es-ES_tradnl"/>
        </w:rPr>
        <w:t>Schindel</w:t>
      </w:r>
      <w:proofErr w:type="spellEnd"/>
      <w:r w:rsidR="0002107B" w:rsidRPr="00163BF5">
        <w:rPr>
          <w:color w:val="000000" w:themeColor="text1"/>
          <w:lang w:val="es-ES" w:eastAsia="es-ES_tradnl"/>
        </w:rPr>
        <w:t xml:space="preserve"> en su libro “la desaparición a diario, sociedad, prensa y dictadura (1975-1978)”, menciona: </w:t>
      </w:r>
    </w:p>
    <w:p w14:paraId="380938BA" w14:textId="19ABCE3E" w:rsidR="0002107B" w:rsidRPr="00163BF5" w:rsidRDefault="0002107B" w:rsidP="00A7013F">
      <w:pPr>
        <w:ind w:left="1440"/>
        <w:jc w:val="both"/>
        <w:rPr>
          <w:color w:val="000000" w:themeColor="text1"/>
          <w:sz w:val="22"/>
          <w:szCs w:val="22"/>
          <w:lang w:val="es-ES" w:eastAsia="es-ES_tradnl"/>
        </w:rPr>
      </w:pPr>
      <w:r w:rsidRPr="00163BF5">
        <w:rPr>
          <w:color w:val="000000" w:themeColor="text1"/>
          <w:sz w:val="22"/>
          <w:szCs w:val="22"/>
          <w:lang w:val="es-ES" w:eastAsia="es-ES_tradnl"/>
        </w:rPr>
        <w:t xml:space="preserve">Desaparición, no es una patología del Estado, o una simple problemática social, sino se refiere a una excepción monstruosa de la historia y la sociedad que enmarca diferentes dimensiones […]. Realidades que, no siempre están ligadas a la responsabilidad estatal o penal individual, pero que, aunque tienen distintas aristas, mantienen una dimensión en común: el sufrimiento humano, la tragedia de la persona que desaparece y la de sus familiares y entorno. </w:t>
      </w:r>
      <w:r w:rsidR="006A66B9" w:rsidRPr="00163BF5">
        <w:rPr>
          <w:noProof/>
          <w:color w:val="000000" w:themeColor="text1"/>
          <w:sz w:val="22"/>
          <w:szCs w:val="22"/>
          <w:lang w:eastAsia="es-ES_tradnl"/>
        </w:rPr>
        <w:t>(Schindel, 2012, s.p.)</w:t>
      </w:r>
    </w:p>
    <w:p w14:paraId="78A58B19" w14:textId="77777777" w:rsidR="00A7013F" w:rsidRPr="00163BF5" w:rsidRDefault="00A7013F" w:rsidP="00A7013F">
      <w:pPr>
        <w:ind w:left="1440"/>
        <w:jc w:val="both"/>
        <w:rPr>
          <w:color w:val="000000" w:themeColor="text1"/>
          <w:sz w:val="22"/>
          <w:szCs w:val="22"/>
          <w:lang w:val="es-ES" w:eastAsia="es-ES_tradnl"/>
        </w:rPr>
      </w:pPr>
    </w:p>
    <w:p w14:paraId="54D1F828" w14:textId="268EC8E1" w:rsidR="0002107B" w:rsidRPr="00163BF5" w:rsidRDefault="007D4053" w:rsidP="0002107B">
      <w:pPr>
        <w:spacing w:line="480" w:lineRule="auto"/>
        <w:ind w:firstLineChars="357" w:firstLine="857"/>
        <w:jc w:val="both"/>
        <w:rPr>
          <w:color w:val="000000" w:themeColor="text1"/>
          <w:lang w:val="es-ES" w:eastAsia="es-ES_tradnl"/>
        </w:rPr>
      </w:pPr>
      <w:r w:rsidRPr="00163BF5">
        <w:rPr>
          <w:color w:val="000000" w:themeColor="text1"/>
          <w:lang w:val="es-ES" w:eastAsia="es-ES_tradnl"/>
        </w:rPr>
        <w:t>De tal manera que,</w:t>
      </w:r>
      <w:r w:rsidR="0002107B" w:rsidRPr="00163BF5">
        <w:rPr>
          <w:color w:val="000000" w:themeColor="text1"/>
          <w:lang w:val="es-ES" w:eastAsia="es-ES_tradnl"/>
        </w:rPr>
        <w:t xml:space="preserve"> el Comité Internacional de la Cruz Roja en su Guía para los Parlamentarios sobre las Personas Desaparecidas, menciona que la desaparición de una persona es una afectación tanto para la persona que desaparece como para sus familiares, ya que a estos últimos les genera una situación de incertidumbre sobre la situación de su familiar </w:t>
      </w:r>
      <w:sdt>
        <w:sdtPr>
          <w:rPr>
            <w:color w:val="000000" w:themeColor="text1"/>
            <w:lang w:val="es-ES" w:eastAsia="es-ES_tradnl"/>
          </w:rPr>
          <w:id w:val="783920477"/>
          <w:citation/>
        </w:sdtPr>
        <w:sdtEndPr/>
        <w:sdtContent>
          <w:r w:rsidR="0002107B" w:rsidRPr="00163BF5">
            <w:rPr>
              <w:color w:val="000000" w:themeColor="text1"/>
              <w:lang w:val="es-ES" w:eastAsia="es-ES_tradnl"/>
            </w:rPr>
            <w:fldChar w:fldCharType="begin"/>
          </w:r>
          <w:r w:rsidR="0002107B" w:rsidRPr="00163BF5">
            <w:rPr>
              <w:color w:val="000000" w:themeColor="text1"/>
              <w:lang w:eastAsia="es-ES_tradnl"/>
            </w:rPr>
            <w:instrText xml:space="preserve">CITATION Com092 \l 12298 </w:instrText>
          </w:r>
          <w:r w:rsidR="0002107B" w:rsidRPr="00163BF5">
            <w:rPr>
              <w:color w:val="000000" w:themeColor="text1"/>
              <w:lang w:val="es-ES" w:eastAsia="es-ES_tradnl"/>
            </w:rPr>
            <w:fldChar w:fldCharType="separate"/>
          </w:r>
          <w:r w:rsidR="00282214" w:rsidRPr="00163BF5">
            <w:rPr>
              <w:noProof/>
              <w:color w:val="000000" w:themeColor="text1"/>
              <w:lang w:eastAsia="es-ES_tradnl"/>
            </w:rPr>
            <w:t>(Comité Internacional de la Cruz Roja, 2009)</w:t>
          </w:r>
          <w:r w:rsidR="0002107B" w:rsidRPr="00163BF5">
            <w:rPr>
              <w:color w:val="000000" w:themeColor="text1"/>
              <w:lang w:val="es-ES" w:eastAsia="es-ES_tradnl"/>
            </w:rPr>
            <w:fldChar w:fldCharType="end"/>
          </w:r>
        </w:sdtContent>
      </w:sdt>
      <w:r w:rsidR="00523543" w:rsidRPr="00163BF5">
        <w:rPr>
          <w:color w:val="000000" w:themeColor="text1"/>
          <w:lang w:val="es-ES" w:eastAsia="es-ES_tradnl"/>
        </w:rPr>
        <w:t>.</w:t>
      </w:r>
    </w:p>
    <w:p w14:paraId="162A0667" w14:textId="5B2E5282" w:rsidR="0002107B" w:rsidRPr="00163BF5" w:rsidRDefault="0002107B" w:rsidP="0002107B">
      <w:pPr>
        <w:spacing w:line="480" w:lineRule="auto"/>
        <w:ind w:firstLineChars="357" w:firstLine="857"/>
        <w:jc w:val="both"/>
        <w:rPr>
          <w:color w:val="000000" w:themeColor="text1"/>
          <w:lang w:val="es-ES" w:eastAsia="es-ES_tradnl"/>
        </w:rPr>
      </w:pPr>
      <w:r w:rsidRPr="00163BF5">
        <w:rPr>
          <w:color w:val="000000" w:themeColor="text1"/>
          <w:lang w:val="es-ES" w:eastAsia="es-ES_tradnl"/>
        </w:rPr>
        <w:t xml:space="preserve">En cuanto a las circunstancias que pueden ocasionar la desaparición de una persona son diversas, sin embargo, entre las más comunes son “pérdida de contacto, desaparición en algún tipo de combate, captura, arresto, secuestro, asesinato e incluso desaparición por desplazamiento a causa de conflicto en las zonas de residencia” </w:t>
      </w:r>
      <w:r w:rsidR="00651EBA" w:rsidRPr="00163BF5">
        <w:rPr>
          <w:noProof/>
          <w:color w:val="000000" w:themeColor="text1"/>
          <w:lang w:eastAsia="es-ES_tradnl"/>
        </w:rPr>
        <w:t>(Comité Internacional de la Cruz Roja, 2009, p. 15)</w:t>
      </w:r>
      <w:r w:rsidRPr="00163BF5">
        <w:rPr>
          <w:color w:val="000000" w:themeColor="text1"/>
          <w:lang w:val="es-ES" w:eastAsia="es-ES_tradnl"/>
        </w:rPr>
        <w:t xml:space="preserve">. </w:t>
      </w:r>
    </w:p>
    <w:p w14:paraId="65445829" w14:textId="0F42BD0F" w:rsidR="0002107B" w:rsidRPr="00163BF5" w:rsidRDefault="0002107B" w:rsidP="00172FF0">
      <w:pPr>
        <w:pStyle w:val="Ttulo4"/>
        <w:numPr>
          <w:ilvl w:val="2"/>
          <w:numId w:val="25"/>
        </w:numPr>
        <w:rPr>
          <w:rFonts w:ascii="Times New Roman" w:hAnsi="Times New Roman" w:cs="Times New Roman"/>
          <w:color w:val="000000" w:themeColor="text1"/>
        </w:rPr>
      </w:pPr>
      <w:bookmarkStart w:id="20" w:name="_Toc67513374"/>
      <w:r w:rsidRPr="00163BF5">
        <w:rPr>
          <w:rFonts w:ascii="Times New Roman" w:hAnsi="Times New Roman" w:cs="Times New Roman"/>
          <w:color w:val="000000" w:themeColor="text1"/>
        </w:rPr>
        <w:t>Persona desaparecida</w:t>
      </w:r>
      <w:bookmarkEnd w:id="20"/>
      <w:r w:rsidRPr="00163BF5">
        <w:rPr>
          <w:rFonts w:ascii="Times New Roman" w:hAnsi="Times New Roman" w:cs="Times New Roman"/>
          <w:color w:val="000000" w:themeColor="text1"/>
        </w:rPr>
        <w:t xml:space="preserve"> </w:t>
      </w:r>
    </w:p>
    <w:p w14:paraId="09F70652" w14:textId="5F187005" w:rsidR="0002107B" w:rsidRPr="00163BF5" w:rsidRDefault="0002107B" w:rsidP="0002107B">
      <w:pPr>
        <w:spacing w:line="480" w:lineRule="auto"/>
        <w:ind w:firstLineChars="357" w:firstLine="857"/>
        <w:jc w:val="both"/>
        <w:rPr>
          <w:rFonts w:eastAsia="Calibri"/>
          <w:color w:val="000000" w:themeColor="text1"/>
          <w:lang w:val="es-ES" w:eastAsia="es-ES_tradnl"/>
        </w:rPr>
      </w:pPr>
      <w:r w:rsidRPr="00163BF5">
        <w:rPr>
          <w:rFonts w:eastAsia="Calibri"/>
          <w:color w:val="000000" w:themeColor="text1"/>
          <w:lang w:val="es-ES" w:eastAsia="es-ES_tradnl"/>
        </w:rPr>
        <w:t xml:space="preserve">Se entiende como persona desaparecida a </w:t>
      </w:r>
      <w:r w:rsidR="0067583F" w:rsidRPr="00163BF5">
        <w:rPr>
          <w:rFonts w:eastAsia="Calibri"/>
          <w:color w:val="000000" w:themeColor="text1"/>
          <w:lang w:val="es-ES" w:eastAsia="es-ES_tradnl"/>
        </w:rPr>
        <w:t xml:space="preserve">aquellas de </w:t>
      </w:r>
      <w:r w:rsidRPr="00163BF5">
        <w:rPr>
          <w:rFonts w:eastAsia="Calibri"/>
          <w:color w:val="000000" w:themeColor="text1"/>
          <w:lang w:val="es-ES" w:eastAsia="es-ES_tradnl"/>
        </w:rPr>
        <w:t xml:space="preserve">las </w:t>
      </w:r>
      <w:r w:rsidR="00A14F18" w:rsidRPr="00163BF5">
        <w:rPr>
          <w:rFonts w:eastAsia="Calibri"/>
          <w:color w:val="000000" w:themeColor="text1"/>
          <w:lang w:val="es-ES" w:eastAsia="es-ES_tradnl"/>
        </w:rPr>
        <w:t>que su</w:t>
      </w:r>
      <w:r w:rsidRPr="00163BF5">
        <w:rPr>
          <w:rFonts w:eastAsia="Calibri"/>
          <w:color w:val="000000" w:themeColor="text1"/>
          <w:lang w:val="es-ES" w:eastAsia="es-ES_tradnl"/>
        </w:rPr>
        <w:t xml:space="preserve"> familia no tiene noticias o cuya desaparición ha sido señalada </w:t>
      </w:r>
      <w:sdt>
        <w:sdtPr>
          <w:rPr>
            <w:rFonts w:eastAsia="Calibri"/>
            <w:color w:val="000000" w:themeColor="text1"/>
            <w:lang w:val="es-ES" w:eastAsia="es-ES_tradnl"/>
          </w:rPr>
          <w:id w:val="242228230"/>
          <w:citation/>
        </w:sdtPr>
        <w:sdtEndPr/>
        <w:sdtContent>
          <w:r w:rsidR="005343D0" w:rsidRPr="00163BF5">
            <w:rPr>
              <w:rFonts w:eastAsia="Calibri"/>
              <w:color w:val="000000" w:themeColor="text1"/>
              <w:lang w:val="es-ES" w:eastAsia="es-ES_tradnl"/>
            </w:rPr>
            <w:fldChar w:fldCharType="begin"/>
          </w:r>
          <w:r w:rsidR="005343D0" w:rsidRPr="00163BF5">
            <w:rPr>
              <w:rFonts w:eastAsia="Calibri"/>
              <w:color w:val="000000" w:themeColor="text1"/>
              <w:lang w:val="es-ES" w:eastAsia="es-ES_tradnl"/>
            </w:rPr>
            <w:instrText xml:space="preserve"> CITATION Com092 \l 3082 </w:instrText>
          </w:r>
          <w:r w:rsidR="005343D0" w:rsidRPr="00163BF5">
            <w:rPr>
              <w:rFonts w:eastAsia="Calibri"/>
              <w:color w:val="000000" w:themeColor="text1"/>
              <w:lang w:val="es-ES" w:eastAsia="es-ES_tradnl"/>
            </w:rPr>
            <w:fldChar w:fldCharType="separate"/>
          </w:r>
          <w:r w:rsidR="00282214" w:rsidRPr="00163BF5">
            <w:rPr>
              <w:rFonts w:eastAsia="Calibri"/>
              <w:noProof/>
              <w:color w:val="000000" w:themeColor="text1"/>
              <w:lang w:val="es-ES" w:eastAsia="es-ES_tradnl"/>
            </w:rPr>
            <w:t>(Comité Internacional de la Cruz Roja, 2009)</w:t>
          </w:r>
          <w:r w:rsidR="005343D0" w:rsidRPr="00163BF5">
            <w:rPr>
              <w:rFonts w:eastAsia="Calibri"/>
              <w:color w:val="000000" w:themeColor="text1"/>
              <w:lang w:val="es-ES" w:eastAsia="es-ES_tradnl"/>
            </w:rPr>
            <w:fldChar w:fldCharType="end"/>
          </w:r>
        </w:sdtContent>
      </w:sdt>
      <w:r w:rsidR="00523543" w:rsidRPr="00163BF5">
        <w:rPr>
          <w:rFonts w:eastAsia="Calibri"/>
          <w:color w:val="000000" w:themeColor="text1"/>
          <w:lang w:val="es-ES" w:eastAsia="es-ES_tradnl"/>
        </w:rPr>
        <w:t>.</w:t>
      </w:r>
    </w:p>
    <w:p w14:paraId="64BA4111" w14:textId="7FEFB682" w:rsidR="0002107B" w:rsidRPr="00163BF5" w:rsidRDefault="0002107B" w:rsidP="0002107B">
      <w:pPr>
        <w:spacing w:line="480" w:lineRule="auto"/>
        <w:ind w:firstLineChars="357" w:firstLine="857"/>
        <w:jc w:val="both"/>
        <w:rPr>
          <w:rFonts w:eastAsia="Calibri"/>
          <w:color w:val="000000" w:themeColor="text1"/>
          <w:lang w:val="es-ES" w:eastAsia="es-ES_tradnl"/>
        </w:rPr>
      </w:pPr>
      <w:r w:rsidRPr="00163BF5">
        <w:rPr>
          <w:rFonts w:eastAsia="Calibri"/>
          <w:color w:val="000000" w:themeColor="text1"/>
          <w:lang w:val="es-ES" w:eastAsia="es-ES_tradnl"/>
        </w:rPr>
        <w:t xml:space="preserve">En cuanto a los tipos de desaparición, en el derecho internacional se divide en desaparición voluntaria y desaparición involuntaria, asociando erróneamente este último término a la desaparición forzada </w:t>
      </w:r>
      <w:r w:rsidR="00045F94" w:rsidRPr="00163BF5">
        <w:rPr>
          <w:rFonts w:eastAsia="Calibri"/>
          <w:color w:val="000000" w:themeColor="text1"/>
          <w:lang w:val="es-ES_tradnl" w:eastAsia="es-ES_tradnl"/>
        </w:rPr>
        <w:t>(</w:t>
      </w:r>
      <w:proofErr w:type="spellStart"/>
      <w:r w:rsidR="00045F94" w:rsidRPr="00163BF5">
        <w:rPr>
          <w:rFonts w:eastAsia="Calibri"/>
          <w:color w:val="000000" w:themeColor="text1"/>
          <w:lang w:val="es-ES_tradnl" w:eastAsia="es-ES_tradnl"/>
        </w:rPr>
        <w:t>Insuasti</w:t>
      </w:r>
      <w:proofErr w:type="spellEnd"/>
      <w:r w:rsidR="00045F94" w:rsidRPr="00163BF5">
        <w:rPr>
          <w:rFonts w:eastAsia="Calibri"/>
          <w:color w:val="000000" w:themeColor="text1"/>
          <w:lang w:val="es-ES_tradnl" w:eastAsia="es-ES_tradnl"/>
        </w:rPr>
        <w:t xml:space="preserve"> et al, 2015)</w:t>
      </w:r>
      <w:r w:rsidR="00523543" w:rsidRPr="00163BF5">
        <w:rPr>
          <w:rFonts w:eastAsia="Calibri"/>
          <w:color w:val="000000" w:themeColor="text1"/>
          <w:lang w:val="es-ES_tradnl" w:eastAsia="es-ES_tradnl"/>
        </w:rPr>
        <w:t>.</w:t>
      </w:r>
    </w:p>
    <w:p w14:paraId="585F1BBD" w14:textId="1A1C61D9" w:rsidR="0002107B" w:rsidRPr="00163BF5" w:rsidRDefault="0002107B" w:rsidP="00172FF0">
      <w:pPr>
        <w:pStyle w:val="Ttulo4"/>
        <w:numPr>
          <w:ilvl w:val="2"/>
          <w:numId w:val="25"/>
        </w:numPr>
        <w:rPr>
          <w:rFonts w:ascii="Times New Roman" w:hAnsi="Times New Roman" w:cs="Times New Roman"/>
          <w:color w:val="000000" w:themeColor="text1"/>
        </w:rPr>
      </w:pPr>
      <w:bookmarkStart w:id="21" w:name="_Toc67513375"/>
      <w:r w:rsidRPr="00163BF5">
        <w:rPr>
          <w:rFonts w:ascii="Times New Roman" w:hAnsi="Times New Roman" w:cs="Times New Roman"/>
          <w:color w:val="000000" w:themeColor="text1"/>
        </w:rPr>
        <w:t>Persona extraviada</w:t>
      </w:r>
      <w:bookmarkEnd w:id="21"/>
      <w:r w:rsidRPr="00163BF5">
        <w:rPr>
          <w:rFonts w:ascii="Times New Roman" w:hAnsi="Times New Roman" w:cs="Times New Roman"/>
          <w:color w:val="000000" w:themeColor="text1"/>
        </w:rPr>
        <w:t xml:space="preserve"> </w:t>
      </w:r>
    </w:p>
    <w:p w14:paraId="53B81772" w14:textId="3CBBC52C" w:rsidR="0002107B" w:rsidRPr="00163BF5" w:rsidRDefault="0002107B" w:rsidP="0002107B">
      <w:pPr>
        <w:spacing w:line="480" w:lineRule="auto"/>
        <w:ind w:firstLineChars="357" w:firstLine="857"/>
        <w:jc w:val="both"/>
        <w:rPr>
          <w:rFonts w:eastAsia="Calibri"/>
          <w:color w:val="000000" w:themeColor="text1"/>
          <w:lang w:val="es-ES_tradnl" w:eastAsia="es-ES_tradnl"/>
        </w:rPr>
      </w:pPr>
      <w:proofErr w:type="spellStart"/>
      <w:r w:rsidRPr="00163BF5">
        <w:rPr>
          <w:rFonts w:eastAsia="Calibri"/>
          <w:color w:val="000000" w:themeColor="text1"/>
          <w:lang w:val="es-ES" w:eastAsia="es-ES_tradnl"/>
        </w:rPr>
        <w:t>Insuasti</w:t>
      </w:r>
      <w:proofErr w:type="spellEnd"/>
      <w:r w:rsidR="00045F94" w:rsidRPr="00163BF5">
        <w:rPr>
          <w:rFonts w:eastAsia="Calibri"/>
          <w:color w:val="000000" w:themeColor="text1"/>
          <w:lang w:val="es-ES" w:eastAsia="es-ES_tradnl"/>
        </w:rPr>
        <w:t xml:space="preserve"> et al </w:t>
      </w:r>
      <w:r w:rsidRPr="00163BF5">
        <w:rPr>
          <w:rFonts w:eastAsia="Calibri"/>
          <w:color w:val="000000" w:themeColor="text1"/>
          <w:lang w:val="es-ES" w:eastAsia="es-ES_tradnl"/>
        </w:rPr>
        <w:t>(2015) definen como persona extraviada a “</w:t>
      </w:r>
      <w:r w:rsidRPr="00163BF5">
        <w:rPr>
          <w:rFonts w:eastAsia="Calibri"/>
          <w:color w:val="000000" w:themeColor="text1"/>
          <w:lang w:val="es-ES_tradnl" w:eastAsia="es-ES_tradnl"/>
        </w:rPr>
        <w:t xml:space="preserve">aquella persona que sale de su domicilio o de algún otro lugar y no puede regresar al mismo por alguna causa ajena a su voluntad” </w:t>
      </w:r>
      <w:r w:rsidR="00651EBA" w:rsidRPr="00163BF5">
        <w:rPr>
          <w:rFonts w:eastAsia="Calibri"/>
          <w:noProof/>
          <w:color w:val="000000" w:themeColor="text1"/>
          <w:lang w:eastAsia="es-ES_tradnl"/>
        </w:rPr>
        <w:t>(p. 30)</w:t>
      </w:r>
      <w:r w:rsidR="00523543" w:rsidRPr="00163BF5">
        <w:rPr>
          <w:rFonts w:eastAsia="Calibri"/>
          <w:color w:val="000000" w:themeColor="text1"/>
          <w:lang w:val="es-ES_tradnl" w:eastAsia="es-ES_tradnl"/>
        </w:rPr>
        <w:t>.</w:t>
      </w:r>
    </w:p>
    <w:p w14:paraId="58685EEF" w14:textId="606F2FEE" w:rsidR="0002107B" w:rsidRPr="00163BF5" w:rsidRDefault="0002107B" w:rsidP="0002107B">
      <w:pPr>
        <w:spacing w:line="480" w:lineRule="auto"/>
        <w:ind w:firstLineChars="357" w:firstLine="857"/>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Esta definición es ampliada en el artículo 4 </w:t>
      </w:r>
      <w:r w:rsidRPr="00163BF5">
        <w:rPr>
          <w:color w:val="000000" w:themeColor="text1"/>
          <w:lang w:val="es-ES_tradnl" w:eastAsia="es-ES_tradnl"/>
        </w:rPr>
        <w:t>L</w:t>
      </w:r>
      <w:r w:rsidR="005343D0" w:rsidRPr="00163BF5">
        <w:rPr>
          <w:color w:val="000000" w:themeColor="text1"/>
          <w:lang w:val="es-ES_tradnl" w:eastAsia="es-ES_tradnl"/>
        </w:rPr>
        <w:t>ey Orgánica de Actuación en Casos de Personas Desaparecidas y Extraviadas</w:t>
      </w:r>
      <w:r w:rsidRPr="00163BF5">
        <w:rPr>
          <w:color w:val="000000" w:themeColor="text1"/>
          <w:lang w:val="es-ES_tradnl" w:eastAsia="es-ES_tradnl"/>
        </w:rPr>
        <w:t>, donde se define a este término como:</w:t>
      </w:r>
    </w:p>
    <w:p w14:paraId="370ECD98" w14:textId="77777777" w:rsidR="0002107B" w:rsidRPr="00163BF5" w:rsidRDefault="0002107B" w:rsidP="0002107B">
      <w:pPr>
        <w:ind w:left="1440"/>
        <w:jc w:val="both"/>
        <w:rPr>
          <w:rFonts w:eastAsia="Calibri"/>
          <w:color w:val="000000" w:themeColor="text1"/>
          <w:sz w:val="22"/>
          <w:szCs w:val="22"/>
          <w:shd w:val="clear" w:color="auto" w:fill="FFFFFF"/>
          <w:lang w:val="es-ES_tradnl" w:eastAsia="es-ES_tradnl"/>
        </w:rPr>
      </w:pPr>
      <w:r w:rsidRPr="00163BF5">
        <w:rPr>
          <w:rFonts w:eastAsia="Calibri"/>
          <w:color w:val="000000" w:themeColor="text1"/>
          <w:sz w:val="22"/>
          <w:szCs w:val="22"/>
          <w:shd w:val="clear" w:color="auto" w:fill="FFFFFF"/>
          <w:lang w:val="es-ES_tradnl" w:eastAsia="es-ES_tradnl"/>
        </w:rPr>
        <w:t xml:space="preserve">Es la ausencia temporal de una persona debido a accidentes, desastres o catástrofes naturales o antrópicos, pudiendo también ser causada por discapacidad o enfermedad, que le imposibilita tener la aptitud, los medios o recursos necesarios para retornar a su entorno habitual. En estos casos, la ausencia de la persona no es causada por un tercero. Se la considerará como víctima directa. (LOACPDE, 2020, art. 4) </w:t>
      </w:r>
    </w:p>
    <w:p w14:paraId="4DF200BB" w14:textId="77777777" w:rsidR="0002107B" w:rsidRPr="00163BF5" w:rsidRDefault="0002107B" w:rsidP="0002107B">
      <w:pPr>
        <w:ind w:left="2160"/>
        <w:jc w:val="both"/>
        <w:rPr>
          <w:rFonts w:eastAsia="Calibri"/>
          <w:color w:val="000000" w:themeColor="text1"/>
          <w:shd w:val="clear" w:color="auto" w:fill="FFFFFF"/>
          <w:lang w:val="es-ES_tradnl" w:eastAsia="es-ES_tradnl"/>
        </w:rPr>
      </w:pPr>
    </w:p>
    <w:p w14:paraId="5812EED5" w14:textId="0F4E9441" w:rsidR="0002107B" w:rsidRPr="00163BF5" w:rsidRDefault="0002107B" w:rsidP="0002107B">
      <w:pPr>
        <w:spacing w:line="480" w:lineRule="auto"/>
        <w:ind w:firstLine="709"/>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 xml:space="preserve">Es importante destacar que para que una persona sea catalogada como extraviada esta </w:t>
      </w:r>
      <w:r w:rsidR="00713493" w:rsidRPr="00163BF5">
        <w:rPr>
          <w:rFonts w:eastAsia="Calibri"/>
          <w:color w:val="000000" w:themeColor="text1"/>
          <w:shd w:val="clear" w:color="auto" w:fill="FFFFFF"/>
          <w:lang w:val="es-ES_tradnl" w:eastAsia="es-ES_tradnl"/>
        </w:rPr>
        <w:t xml:space="preserve">debe </w:t>
      </w:r>
      <w:r w:rsidRPr="00163BF5">
        <w:rPr>
          <w:rFonts w:eastAsia="Calibri"/>
          <w:color w:val="000000" w:themeColor="text1"/>
          <w:shd w:val="clear" w:color="auto" w:fill="FFFFFF"/>
          <w:lang w:val="es-ES_tradnl" w:eastAsia="es-ES_tradnl"/>
        </w:rPr>
        <w:t>est</w:t>
      </w:r>
      <w:r w:rsidR="00713493" w:rsidRPr="00163BF5">
        <w:rPr>
          <w:rFonts w:eastAsia="Calibri"/>
          <w:color w:val="000000" w:themeColor="text1"/>
          <w:shd w:val="clear" w:color="auto" w:fill="FFFFFF"/>
          <w:lang w:val="es-ES_tradnl" w:eastAsia="es-ES_tradnl"/>
        </w:rPr>
        <w:t>ar</w:t>
      </w:r>
      <w:r w:rsidRPr="00163BF5">
        <w:rPr>
          <w:rFonts w:eastAsia="Calibri"/>
          <w:color w:val="000000" w:themeColor="text1"/>
          <w:shd w:val="clear" w:color="auto" w:fill="FFFFFF"/>
          <w:lang w:val="es-ES_tradnl" w:eastAsia="es-ES_tradnl"/>
        </w:rPr>
        <w:t xml:space="preserve"> imposibilitada de retornar a su entorno habitual</w:t>
      </w:r>
      <w:r w:rsidR="00713493" w:rsidRPr="00163BF5">
        <w:rPr>
          <w:rFonts w:eastAsia="Calibri"/>
          <w:color w:val="000000" w:themeColor="text1"/>
          <w:shd w:val="clear" w:color="auto" w:fill="FFFFFF"/>
          <w:lang w:val="es-ES_tradnl" w:eastAsia="es-ES_tradnl"/>
        </w:rPr>
        <w:t>,</w:t>
      </w:r>
      <w:r w:rsidRPr="00163BF5">
        <w:rPr>
          <w:rFonts w:eastAsia="Calibri"/>
          <w:color w:val="000000" w:themeColor="text1"/>
          <w:shd w:val="clear" w:color="auto" w:fill="FFFFFF"/>
          <w:lang w:val="es-ES_tradnl" w:eastAsia="es-ES_tradnl"/>
        </w:rPr>
        <w:t xml:space="preserve"> sin que esta imposibilidad sea causada por una tercera persona. </w:t>
      </w:r>
    </w:p>
    <w:p w14:paraId="6961469B" w14:textId="6F2B1674" w:rsidR="0002107B" w:rsidRPr="00163BF5" w:rsidRDefault="0002107B" w:rsidP="00172FF0">
      <w:pPr>
        <w:pStyle w:val="Ttulo4"/>
        <w:numPr>
          <w:ilvl w:val="2"/>
          <w:numId w:val="25"/>
        </w:numPr>
        <w:rPr>
          <w:rFonts w:ascii="Times New Roman" w:hAnsi="Times New Roman" w:cs="Times New Roman"/>
          <w:color w:val="000000" w:themeColor="text1"/>
          <w:shd w:val="clear" w:color="auto" w:fill="FFFFFF"/>
        </w:rPr>
      </w:pPr>
      <w:bookmarkStart w:id="22" w:name="_Toc67513376"/>
      <w:r w:rsidRPr="00163BF5">
        <w:rPr>
          <w:rFonts w:ascii="Times New Roman" w:hAnsi="Times New Roman" w:cs="Times New Roman"/>
          <w:color w:val="000000" w:themeColor="text1"/>
          <w:shd w:val="clear" w:color="auto" w:fill="FFFFFF"/>
        </w:rPr>
        <w:t xml:space="preserve">Persona </w:t>
      </w:r>
      <w:r w:rsidR="004657B2" w:rsidRPr="00163BF5">
        <w:rPr>
          <w:rFonts w:ascii="Times New Roman" w:hAnsi="Times New Roman" w:cs="Times New Roman"/>
          <w:color w:val="000000" w:themeColor="text1"/>
          <w:shd w:val="clear" w:color="auto" w:fill="FFFFFF"/>
        </w:rPr>
        <w:t>p</w:t>
      </w:r>
      <w:r w:rsidRPr="00163BF5">
        <w:rPr>
          <w:rFonts w:ascii="Times New Roman" w:hAnsi="Times New Roman" w:cs="Times New Roman"/>
          <w:color w:val="000000" w:themeColor="text1"/>
          <w:shd w:val="clear" w:color="auto" w:fill="FFFFFF"/>
        </w:rPr>
        <w:t>erdida</w:t>
      </w:r>
      <w:bookmarkEnd w:id="22"/>
      <w:r w:rsidRPr="00163BF5">
        <w:rPr>
          <w:rFonts w:ascii="Times New Roman" w:hAnsi="Times New Roman" w:cs="Times New Roman"/>
          <w:color w:val="000000" w:themeColor="text1"/>
          <w:shd w:val="clear" w:color="auto" w:fill="FFFFFF"/>
        </w:rPr>
        <w:t xml:space="preserve"> </w:t>
      </w:r>
    </w:p>
    <w:p w14:paraId="53DE915B" w14:textId="34A20485" w:rsidR="0002107B" w:rsidRPr="00163BF5" w:rsidRDefault="0002107B" w:rsidP="0002107B">
      <w:pPr>
        <w:spacing w:line="480" w:lineRule="auto"/>
        <w:ind w:firstLine="709"/>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Este término es aplicado en el Código de la Niñez y Adolescencia, donde se estipula que se considera pérdida de niños, niñas o adolescentes la ausencia involuntaria o voluntaria del hogar, centro educativo u otro lugar al que deben permanecer, sin que esta situación sea de conocimiento de sus progenitores o responsables (CONA, art. 71)</w:t>
      </w:r>
      <w:r w:rsidR="00523543" w:rsidRPr="00163BF5">
        <w:rPr>
          <w:rFonts w:eastAsia="Calibri"/>
          <w:color w:val="000000" w:themeColor="text1"/>
          <w:shd w:val="clear" w:color="auto" w:fill="FFFFFF"/>
          <w:lang w:val="es-ES_tradnl" w:eastAsia="es-ES_tradnl"/>
        </w:rPr>
        <w:t>.</w:t>
      </w:r>
    </w:p>
    <w:p w14:paraId="1C7B433A" w14:textId="5A35EA21" w:rsidR="0002107B" w:rsidRPr="00163BF5" w:rsidRDefault="0002107B" w:rsidP="00172FF0">
      <w:pPr>
        <w:pStyle w:val="Ttulo3"/>
        <w:numPr>
          <w:ilvl w:val="1"/>
          <w:numId w:val="25"/>
        </w:numPr>
        <w:rPr>
          <w:lang w:val="es-ES_tradnl" w:eastAsia="es-ES_tradnl"/>
        </w:rPr>
      </w:pPr>
      <w:bookmarkStart w:id="23" w:name="_Toc63689882"/>
      <w:bookmarkStart w:id="24" w:name="_Toc63690049"/>
      <w:bookmarkStart w:id="25" w:name="_Toc67513377"/>
      <w:r w:rsidRPr="00163BF5">
        <w:rPr>
          <w:lang w:val="es-ES_tradnl" w:eastAsia="es-ES_tradnl"/>
        </w:rPr>
        <w:t xml:space="preserve">La Desaparición </w:t>
      </w:r>
      <w:r w:rsidR="00BA5F87" w:rsidRPr="00163BF5">
        <w:rPr>
          <w:lang w:val="es-ES_tradnl" w:eastAsia="es-ES_tradnl"/>
        </w:rPr>
        <w:t>v</w:t>
      </w:r>
      <w:r w:rsidRPr="00163BF5">
        <w:rPr>
          <w:lang w:val="es-ES_tradnl" w:eastAsia="es-ES_tradnl"/>
        </w:rPr>
        <w:t xml:space="preserve">oluntaria, </w:t>
      </w:r>
      <w:r w:rsidR="00BA5F87" w:rsidRPr="00163BF5">
        <w:rPr>
          <w:lang w:val="es-ES_tradnl" w:eastAsia="es-ES_tradnl"/>
        </w:rPr>
        <w:t>i</w:t>
      </w:r>
      <w:r w:rsidRPr="00163BF5">
        <w:rPr>
          <w:lang w:val="es-ES_tradnl" w:eastAsia="es-ES_tradnl"/>
        </w:rPr>
        <w:t xml:space="preserve">nvoluntaria, y </w:t>
      </w:r>
      <w:r w:rsidR="00BA5F87" w:rsidRPr="00163BF5">
        <w:rPr>
          <w:lang w:val="es-ES_tradnl" w:eastAsia="es-ES_tradnl"/>
        </w:rPr>
        <w:t>f</w:t>
      </w:r>
      <w:r w:rsidRPr="00163BF5">
        <w:rPr>
          <w:lang w:val="es-ES_tradnl" w:eastAsia="es-ES_tradnl"/>
        </w:rPr>
        <w:t>orzada en la doctrina y la ley.</w:t>
      </w:r>
      <w:bookmarkEnd w:id="23"/>
      <w:bookmarkEnd w:id="24"/>
      <w:bookmarkEnd w:id="25"/>
      <w:r w:rsidRPr="00163BF5">
        <w:rPr>
          <w:lang w:val="es-ES_tradnl" w:eastAsia="es-ES_tradnl"/>
        </w:rPr>
        <w:t xml:space="preserve"> </w:t>
      </w:r>
    </w:p>
    <w:p w14:paraId="3FCEC284" w14:textId="77777777" w:rsidR="0002107B" w:rsidRPr="00163BF5" w:rsidRDefault="0002107B" w:rsidP="0002107B">
      <w:pPr>
        <w:spacing w:line="480" w:lineRule="auto"/>
        <w:ind w:firstLine="284"/>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Una vez conocida la diferencia entre persona desaparecida, persona extraviada y persona perdida; se procederá a segregar los distintos tipos de desaparición con el fin de establecer diferencias entre la desaparición voluntaria, desaparición forzada y desaparición involuntaria, siendo esta última la materia de análisis en la presente investigación académica. </w:t>
      </w:r>
    </w:p>
    <w:p w14:paraId="7A090F80" w14:textId="5128F3F5" w:rsidR="0002107B" w:rsidRPr="00163BF5" w:rsidRDefault="00172FF0" w:rsidP="00A62393">
      <w:pPr>
        <w:spacing w:line="480" w:lineRule="auto"/>
        <w:contextualSpacing/>
        <w:jc w:val="both"/>
        <w:rPr>
          <w:rFonts w:eastAsia="Calibri"/>
          <w:b/>
          <w:bCs/>
          <w:color w:val="000000" w:themeColor="text1"/>
          <w:lang w:val="es-ES_tradnl" w:eastAsia="es-ES_tradnl"/>
        </w:rPr>
      </w:pPr>
      <w:r w:rsidRPr="00163BF5">
        <w:rPr>
          <w:rFonts w:eastAsia="Calibri"/>
          <w:b/>
          <w:bCs/>
          <w:color w:val="000000" w:themeColor="text1"/>
          <w:lang w:val="es-ES_tradnl" w:eastAsia="es-ES_tradnl"/>
        </w:rPr>
        <w:t>2.2.</w:t>
      </w:r>
      <w:r w:rsidR="00FE7A87" w:rsidRPr="00163BF5">
        <w:rPr>
          <w:rFonts w:eastAsia="Calibri"/>
          <w:b/>
          <w:bCs/>
          <w:color w:val="000000" w:themeColor="text1"/>
          <w:lang w:val="es-ES_tradnl" w:eastAsia="es-ES_tradnl"/>
        </w:rPr>
        <w:t>1</w:t>
      </w:r>
      <w:r w:rsidR="00FE7A87" w:rsidRPr="00163BF5">
        <w:rPr>
          <w:rStyle w:val="Ttulo4Car"/>
          <w:rFonts w:ascii="Times New Roman" w:hAnsi="Times New Roman" w:cs="Times New Roman"/>
          <w:color w:val="000000" w:themeColor="text1"/>
        </w:rPr>
        <w:t>. Desaparición</w:t>
      </w:r>
      <w:r w:rsidR="0002107B" w:rsidRPr="00163BF5">
        <w:rPr>
          <w:rStyle w:val="Ttulo4Car"/>
          <w:rFonts w:ascii="Times New Roman" w:hAnsi="Times New Roman" w:cs="Times New Roman"/>
          <w:color w:val="000000" w:themeColor="text1"/>
        </w:rPr>
        <w:t xml:space="preserve"> </w:t>
      </w:r>
      <w:r w:rsidR="00BA5F87" w:rsidRPr="00163BF5">
        <w:rPr>
          <w:rStyle w:val="Ttulo4Car"/>
          <w:rFonts w:ascii="Times New Roman" w:hAnsi="Times New Roman" w:cs="Times New Roman"/>
          <w:color w:val="000000" w:themeColor="text1"/>
        </w:rPr>
        <w:t>v</w:t>
      </w:r>
      <w:r w:rsidR="0002107B" w:rsidRPr="00163BF5">
        <w:rPr>
          <w:rStyle w:val="Ttulo4Car"/>
          <w:rFonts w:ascii="Times New Roman" w:hAnsi="Times New Roman" w:cs="Times New Roman"/>
          <w:color w:val="000000" w:themeColor="text1"/>
        </w:rPr>
        <w:t>oluntaria</w:t>
      </w:r>
      <w:r w:rsidR="0002107B" w:rsidRPr="00163BF5">
        <w:rPr>
          <w:rFonts w:eastAsia="Calibri"/>
          <w:b/>
          <w:bCs/>
          <w:color w:val="000000" w:themeColor="text1"/>
          <w:lang w:val="es-ES_tradnl" w:eastAsia="es-ES_tradnl"/>
        </w:rPr>
        <w:t xml:space="preserve"> </w:t>
      </w:r>
    </w:p>
    <w:p w14:paraId="48A4A1A1" w14:textId="4875E512" w:rsidR="0002107B" w:rsidRPr="00163BF5" w:rsidRDefault="0002107B" w:rsidP="0002107B">
      <w:pPr>
        <w:spacing w:line="480" w:lineRule="auto"/>
        <w:ind w:firstLine="709"/>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Este tipo de desaparición hace referencia a “cualquier situación en la que las personas deciden huir y no informar a nadie de su suerte y paradero” </w:t>
      </w:r>
      <w:r w:rsidR="00470198" w:rsidRPr="00163BF5">
        <w:rPr>
          <w:rFonts w:eastAsia="Calibri"/>
          <w:noProof/>
          <w:color w:val="000000" w:themeColor="text1"/>
          <w:lang w:eastAsia="es-ES_tradnl"/>
        </w:rPr>
        <w:t>(Insuasti et al,  2015)</w:t>
      </w:r>
      <w:r w:rsidR="00523543" w:rsidRPr="00163BF5">
        <w:rPr>
          <w:rFonts w:eastAsia="Calibri"/>
          <w:color w:val="000000" w:themeColor="text1"/>
          <w:lang w:eastAsia="es-ES_tradnl"/>
        </w:rPr>
        <w:t xml:space="preserve">. </w:t>
      </w:r>
      <w:r w:rsidR="00523543" w:rsidRPr="00163BF5">
        <w:rPr>
          <w:rFonts w:eastAsia="Calibri"/>
          <w:color w:val="000000" w:themeColor="text1"/>
          <w:lang w:val="es-ES_tradnl" w:eastAsia="es-ES_tradnl"/>
        </w:rPr>
        <w:t>E</w:t>
      </w:r>
      <w:r w:rsidRPr="00163BF5">
        <w:rPr>
          <w:rFonts w:eastAsia="Calibri"/>
          <w:color w:val="000000" w:themeColor="text1"/>
          <w:lang w:val="es-ES_tradnl" w:eastAsia="es-ES_tradnl"/>
        </w:rPr>
        <w:t>sta desaparición generalmente es provocada por distintos factores como son: personales, económicos, laborales, sentimentales, entre otros motivos que puedan influir a la persona a desaparecer sin informar sobre su paradero.</w:t>
      </w:r>
    </w:p>
    <w:p w14:paraId="6ED96857" w14:textId="522C0636" w:rsidR="0002107B" w:rsidRPr="00163BF5" w:rsidRDefault="0002107B" w:rsidP="0002107B">
      <w:pPr>
        <w:spacing w:line="480" w:lineRule="auto"/>
        <w:ind w:firstLine="709"/>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En la normativa ecuatoriana este tipo de desaparición está definido como “la ausencia de una persona de su núcleo familiar o entorno, motivada por su decisión e intención propia” (LOACPDE, 2020, art. 4.)</w:t>
      </w:r>
      <w:r w:rsidR="00523543" w:rsidRPr="00163BF5">
        <w:rPr>
          <w:rFonts w:eastAsia="Calibri"/>
          <w:color w:val="000000" w:themeColor="text1"/>
          <w:shd w:val="clear" w:color="auto" w:fill="FFFFFF"/>
          <w:lang w:val="es-ES_tradnl" w:eastAsia="es-ES_tradnl"/>
        </w:rPr>
        <w:t>.</w:t>
      </w:r>
    </w:p>
    <w:p w14:paraId="2584BD0E" w14:textId="258D6324" w:rsidR="0002107B" w:rsidRPr="00163BF5" w:rsidRDefault="0002107B" w:rsidP="0002107B">
      <w:pPr>
        <w:spacing w:line="480" w:lineRule="auto"/>
        <w:ind w:firstLine="709"/>
        <w:jc w:val="both"/>
        <w:rPr>
          <w:rFonts w:eastAsia="Calibri"/>
          <w:color w:val="000000" w:themeColor="text1"/>
          <w:shd w:val="clear" w:color="auto" w:fill="FFFFFF"/>
          <w:lang w:val="es-ES_tradnl" w:eastAsia="es-ES_tradnl"/>
        </w:rPr>
      </w:pPr>
      <w:r w:rsidRPr="00163BF5">
        <w:rPr>
          <w:rFonts w:eastAsia="Calibri"/>
          <w:color w:val="000000" w:themeColor="text1"/>
          <w:lang w:val="es-ES_tradnl" w:eastAsia="es-ES_tradnl"/>
        </w:rPr>
        <w:t>Según datos estadísticos realizados por l</w:t>
      </w:r>
      <w:r w:rsidRPr="00163BF5">
        <w:rPr>
          <w:rFonts w:eastAsia="Calibri"/>
          <w:color w:val="000000" w:themeColor="text1"/>
          <w:shd w:val="clear" w:color="auto" w:fill="FFFFFF"/>
          <w:lang w:val="es-ES_tradnl" w:eastAsia="es-ES_tradnl"/>
        </w:rPr>
        <w:t>a Dirección Nacional de Delitos contra la Vida, Muertes Violentas, Desapariciones, Extorsión y Secuestros (</w:t>
      </w:r>
      <w:proofErr w:type="spellStart"/>
      <w:r w:rsidRPr="00163BF5">
        <w:rPr>
          <w:rFonts w:eastAsia="Calibri"/>
          <w:color w:val="000000" w:themeColor="text1"/>
          <w:shd w:val="clear" w:color="auto" w:fill="FFFFFF"/>
          <w:lang w:val="es-ES_tradnl" w:eastAsia="es-ES_tradnl"/>
        </w:rPr>
        <w:t>Dinased</w:t>
      </w:r>
      <w:proofErr w:type="spellEnd"/>
      <w:r w:rsidRPr="00163BF5">
        <w:rPr>
          <w:rFonts w:eastAsia="Calibri"/>
          <w:color w:val="000000" w:themeColor="text1"/>
          <w:shd w:val="clear" w:color="auto" w:fill="FFFFFF"/>
          <w:lang w:val="es-ES_tradnl" w:eastAsia="es-ES_tradnl"/>
        </w:rPr>
        <w:t>) en el año 2014, el 91 % de los casos de personas reportadas como desaparecidas corresponde desapariciones voluntarias, dado que estas se alejan conscientemente de su entorno familiar, las razones más comunes de este alejamiento son: hogares disfuncionales, maltratos, violencia intrafamiliar, ambientes hostiles</w:t>
      </w:r>
      <w:r w:rsidR="00523543" w:rsidRPr="00163BF5">
        <w:rPr>
          <w:rFonts w:eastAsia="Calibri"/>
          <w:color w:val="000000" w:themeColor="text1"/>
          <w:shd w:val="clear" w:color="auto" w:fill="FFFFFF"/>
          <w:lang w:val="es-ES_tradnl" w:eastAsia="es-ES_tradnl"/>
        </w:rPr>
        <w:t xml:space="preserve"> </w:t>
      </w:r>
      <w:sdt>
        <w:sdtPr>
          <w:rPr>
            <w:rFonts w:eastAsia="Calibri"/>
            <w:color w:val="000000" w:themeColor="text1"/>
            <w:shd w:val="clear" w:color="auto" w:fill="FFFFFF"/>
            <w:lang w:val="es-ES_tradnl" w:eastAsia="es-ES_tradnl"/>
          </w:rPr>
          <w:id w:val="-342098221"/>
          <w:citation/>
        </w:sdtPr>
        <w:sdtEndPr/>
        <w:sdtContent>
          <w:r w:rsidRPr="00163BF5">
            <w:rPr>
              <w:rFonts w:eastAsia="Calibri"/>
              <w:color w:val="000000" w:themeColor="text1"/>
              <w:shd w:val="clear" w:color="auto" w:fill="FFFFFF"/>
              <w:lang w:val="es-ES_tradnl" w:eastAsia="es-ES_tradnl"/>
            </w:rPr>
            <w:fldChar w:fldCharType="begin"/>
          </w:r>
          <w:r w:rsidRPr="00163BF5">
            <w:rPr>
              <w:rFonts w:eastAsia="Calibri"/>
              <w:color w:val="000000" w:themeColor="text1"/>
              <w:shd w:val="clear" w:color="auto" w:fill="FFFFFF"/>
              <w:lang w:eastAsia="es-ES_tradnl"/>
            </w:rPr>
            <w:instrText xml:space="preserve">CITATION ElT14 \l 12298 </w:instrText>
          </w:r>
          <w:r w:rsidRPr="00163BF5">
            <w:rPr>
              <w:rFonts w:eastAsia="Calibri"/>
              <w:color w:val="000000" w:themeColor="text1"/>
              <w:shd w:val="clear" w:color="auto" w:fill="FFFFFF"/>
              <w:lang w:val="es-ES_tradnl" w:eastAsia="es-ES_tradnl"/>
            </w:rPr>
            <w:fldChar w:fldCharType="separate"/>
          </w:r>
          <w:r w:rsidR="00282214" w:rsidRPr="00163BF5">
            <w:rPr>
              <w:rFonts w:eastAsia="Calibri"/>
              <w:noProof/>
              <w:color w:val="000000" w:themeColor="text1"/>
              <w:shd w:val="clear" w:color="auto" w:fill="FFFFFF"/>
              <w:lang w:eastAsia="es-ES_tradnl"/>
            </w:rPr>
            <w:t>(Alulema, 2014)</w:t>
          </w:r>
          <w:r w:rsidRPr="00163BF5">
            <w:rPr>
              <w:rFonts w:eastAsia="Calibri"/>
              <w:color w:val="000000" w:themeColor="text1"/>
              <w:shd w:val="clear" w:color="auto" w:fill="FFFFFF"/>
              <w:lang w:val="es-ES_tradnl" w:eastAsia="es-ES_tradnl"/>
            </w:rPr>
            <w:fldChar w:fldCharType="end"/>
          </w:r>
        </w:sdtContent>
      </w:sdt>
      <w:r w:rsidRPr="00163BF5">
        <w:rPr>
          <w:rFonts w:eastAsia="Calibri"/>
          <w:color w:val="000000" w:themeColor="text1"/>
          <w:shd w:val="clear" w:color="auto" w:fill="FFFFFF"/>
          <w:lang w:val="es-ES_tradnl" w:eastAsia="es-ES_tradnl"/>
        </w:rPr>
        <w:t xml:space="preserve">. </w:t>
      </w:r>
    </w:p>
    <w:p w14:paraId="705587D7" w14:textId="76024F00" w:rsidR="0002107B" w:rsidRPr="00163BF5" w:rsidRDefault="00172FF0" w:rsidP="00A62393">
      <w:pPr>
        <w:pStyle w:val="Ttulo4"/>
        <w:ind w:firstLine="0"/>
        <w:rPr>
          <w:rFonts w:ascii="Times New Roman" w:hAnsi="Times New Roman" w:cs="Times New Roman"/>
          <w:color w:val="000000" w:themeColor="text1"/>
          <w:shd w:val="clear" w:color="auto" w:fill="FFFFFF"/>
        </w:rPr>
      </w:pPr>
      <w:bookmarkStart w:id="26" w:name="_Toc67513378"/>
      <w:r w:rsidRPr="00163BF5">
        <w:rPr>
          <w:rFonts w:ascii="Times New Roman" w:hAnsi="Times New Roman" w:cs="Times New Roman"/>
          <w:color w:val="000000" w:themeColor="text1"/>
          <w:shd w:val="clear" w:color="auto" w:fill="FFFFFF"/>
        </w:rPr>
        <w:t xml:space="preserve">2.2.2. </w:t>
      </w:r>
      <w:r w:rsidR="0002107B" w:rsidRPr="00163BF5">
        <w:rPr>
          <w:rFonts w:ascii="Times New Roman" w:hAnsi="Times New Roman" w:cs="Times New Roman"/>
          <w:color w:val="000000" w:themeColor="text1"/>
          <w:shd w:val="clear" w:color="auto" w:fill="FFFFFF"/>
        </w:rPr>
        <w:t xml:space="preserve">Desaparición </w:t>
      </w:r>
      <w:r w:rsidR="009F5901" w:rsidRPr="00163BF5">
        <w:rPr>
          <w:rFonts w:ascii="Times New Roman" w:hAnsi="Times New Roman" w:cs="Times New Roman"/>
          <w:color w:val="000000" w:themeColor="text1"/>
          <w:shd w:val="clear" w:color="auto" w:fill="FFFFFF"/>
        </w:rPr>
        <w:t>i</w:t>
      </w:r>
      <w:r w:rsidR="0002107B" w:rsidRPr="00163BF5">
        <w:rPr>
          <w:rFonts w:ascii="Times New Roman" w:hAnsi="Times New Roman" w:cs="Times New Roman"/>
          <w:color w:val="000000" w:themeColor="text1"/>
          <w:shd w:val="clear" w:color="auto" w:fill="FFFFFF"/>
        </w:rPr>
        <w:t>nvoluntaria</w:t>
      </w:r>
      <w:bookmarkEnd w:id="26"/>
    </w:p>
    <w:p w14:paraId="1C49476E" w14:textId="77777777" w:rsidR="0002107B" w:rsidRPr="00163BF5" w:rsidRDefault="0002107B" w:rsidP="0002107B">
      <w:pPr>
        <w:spacing w:line="480" w:lineRule="auto"/>
        <w:ind w:firstLine="709"/>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 xml:space="preserve">Como se mencionó en párrafos precedentes, los términos desaparición involuntaria y desaparición forzada son asociadas erróneamente y tratadas como sinónimos dado que en ambas situaciones la persona desaparece contra su voluntad. No obstante, la desaparición involuntaria y la desaparición forzada tienen características diferentes por lo que en el presente subcapítulo se abarcará solamente la desaparición involuntaria. </w:t>
      </w:r>
    </w:p>
    <w:p w14:paraId="42461868" w14:textId="1EE12A54" w:rsidR="0002107B" w:rsidRPr="00163BF5" w:rsidRDefault="0002107B" w:rsidP="0002107B">
      <w:pPr>
        <w:spacing w:line="480" w:lineRule="auto"/>
        <w:ind w:firstLine="709"/>
        <w:jc w:val="both"/>
        <w:rPr>
          <w:rFonts w:eastAsia="Calibri"/>
          <w:color w:val="000000" w:themeColor="text1"/>
          <w:lang w:val="es-ES" w:eastAsia="es-ES_tradnl"/>
        </w:rPr>
      </w:pPr>
      <w:r w:rsidRPr="00163BF5">
        <w:rPr>
          <w:rFonts w:eastAsia="Calibri"/>
          <w:color w:val="000000" w:themeColor="text1"/>
          <w:shd w:val="clear" w:color="auto" w:fill="FFFFFF"/>
          <w:lang w:val="es-ES_tradnl" w:eastAsia="es-ES_tradnl"/>
        </w:rPr>
        <w:t xml:space="preserve">Cervantes </w:t>
      </w:r>
      <w:r w:rsidR="00470198" w:rsidRPr="00163BF5">
        <w:rPr>
          <w:rFonts w:eastAsia="Calibri"/>
          <w:color w:val="000000" w:themeColor="text1"/>
          <w:shd w:val="clear" w:color="auto" w:fill="FFFFFF"/>
          <w:lang w:val="es-ES_tradnl" w:eastAsia="es-ES_tradnl"/>
        </w:rPr>
        <w:t>(</w:t>
      </w:r>
      <w:r w:rsidR="00AE14F4" w:rsidRPr="00163BF5">
        <w:rPr>
          <w:rFonts w:eastAsia="Calibri"/>
          <w:color w:val="000000" w:themeColor="text1"/>
          <w:shd w:val="clear" w:color="auto" w:fill="FFFFFF"/>
          <w:lang w:val="es-ES_tradnl" w:eastAsia="es-ES_tradnl"/>
        </w:rPr>
        <w:t>2015</w:t>
      </w:r>
      <w:r w:rsidR="00470198" w:rsidRPr="00163BF5">
        <w:rPr>
          <w:rFonts w:eastAsia="Calibri"/>
          <w:color w:val="000000" w:themeColor="text1"/>
          <w:shd w:val="clear" w:color="auto" w:fill="FFFFFF"/>
          <w:lang w:val="es-ES_tradnl" w:eastAsia="es-ES_tradnl"/>
        </w:rPr>
        <w:t xml:space="preserve">) </w:t>
      </w:r>
      <w:r w:rsidR="00AE14F4" w:rsidRPr="00163BF5">
        <w:rPr>
          <w:rFonts w:eastAsia="Calibri"/>
          <w:color w:val="000000" w:themeColor="text1"/>
          <w:shd w:val="clear" w:color="auto" w:fill="FFFFFF"/>
          <w:lang w:val="es-ES_tradnl" w:eastAsia="es-ES_tradnl"/>
        </w:rPr>
        <w:t>define</w:t>
      </w:r>
      <w:r w:rsidRPr="00163BF5">
        <w:rPr>
          <w:rFonts w:eastAsia="Calibri"/>
          <w:color w:val="000000" w:themeColor="text1"/>
          <w:shd w:val="clear" w:color="auto" w:fill="FFFFFF"/>
          <w:lang w:val="es-ES_tradnl" w:eastAsia="es-ES_tradnl"/>
        </w:rPr>
        <w:t xml:space="preserve"> a la desaparición involuntaria como “</w:t>
      </w:r>
      <w:r w:rsidRPr="00163BF5">
        <w:rPr>
          <w:rFonts w:eastAsia="Calibri"/>
          <w:color w:val="000000" w:themeColor="text1"/>
          <w:lang w:val="es-ES" w:eastAsia="es-ES_tradnl"/>
        </w:rPr>
        <w:t>la privación ilegal de la libertad […], contra su voluntad, cometida por particulares, con omisión de información sobre su ubicación o estado de salud, sin solicitud de dinero o pago de rescate […]”</w:t>
      </w:r>
      <w:r w:rsidR="00651EBA" w:rsidRPr="00163BF5">
        <w:rPr>
          <w:rFonts w:eastAsia="Calibri"/>
          <w:noProof/>
          <w:color w:val="000000" w:themeColor="text1"/>
          <w:lang w:val="es-ES" w:eastAsia="es-ES_tradnl"/>
        </w:rPr>
        <w:t xml:space="preserve"> (p. 2)</w:t>
      </w:r>
      <w:r w:rsidR="00523543" w:rsidRPr="00163BF5">
        <w:rPr>
          <w:rFonts w:eastAsia="Calibri"/>
          <w:color w:val="000000" w:themeColor="text1"/>
          <w:lang w:val="es-ES" w:eastAsia="es-ES_tradnl"/>
        </w:rPr>
        <w:t>.</w:t>
      </w:r>
    </w:p>
    <w:p w14:paraId="162338A2" w14:textId="50A21924" w:rsidR="0002107B" w:rsidRPr="00163BF5" w:rsidRDefault="0002107B" w:rsidP="0002107B">
      <w:pPr>
        <w:spacing w:line="480" w:lineRule="auto"/>
        <w:ind w:firstLine="709"/>
        <w:jc w:val="both"/>
        <w:rPr>
          <w:rFonts w:eastAsia="Calibri"/>
          <w:color w:val="000000" w:themeColor="text1"/>
          <w:lang w:val="es-ES" w:eastAsia="es-ES_tradnl"/>
        </w:rPr>
      </w:pPr>
      <w:r w:rsidRPr="00163BF5">
        <w:rPr>
          <w:rFonts w:eastAsia="Calibri"/>
          <w:color w:val="000000" w:themeColor="text1"/>
          <w:lang w:val="es-ES" w:eastAsia="es-ES_tradnl"/>
        </w:rPr>
        <w:t>De la definición señalada en el párrafo anterior hay que destacar que dos elementos característicos para poder distinguir a este tipo de desaparición de otras son: 1) La privación ilegal de la libertad realizada contra la libertad de la persona debe ser realizada por particulares; 2) La negativa</w:t>
      </w:r>
      <w:r w:rsidRPr="00163BF5">
        <w:rPr>
          <w:rFonts w:eastAsia="Calibri"/>
          <w:color w:val="000000" w:themeColor="text1"/>
          <w:lang w:val="es-ES_tradnl" w:eastAsia="es-ES_tradnl"/>
        </w:rPr>
        <w:t xml:space="preserve"> de reconocer la detención y de revelar la suerte o paradero de la persona interesada. Además, puede ser considerada una característica la inexistencia de una solicitud de dinero o rescate por la víctima</w:t>
      </w:r>
      <w:r w:rsidR="00523543" w:rsidRPr="00163BF5">
        <w:rPr>
          <w:rFonts w:eastAsia="Calibri"/>
          <w:color w:val="000000" w:themeColor="text1"/>
          <w:lang w:val="es-ES_tradnl" w:eastAsia="es-ES_tradnl"/>
        </w:rPr>
        <w:t xml:space="preserve"> </w:t>
      </w:r>
      <w:r w:rsidRPr="00163BF5">
        <w:rPr>
          <w:rFonts w:eastAsia="Calibri"/>
          <w:noProof/>
          <w:color w:val="000000" w:themeColor="text1"/>
          <w:lang w:val="es-ES_tradnl" w:eastAsia="es-ES_tradnl"/>
        </w:rPr>
        <w:t>(Cervantes, 2015)</w:t>
      </w:r>
      <w:r w:rsidR="00523543" w:rsidRPr="00163BF5">
        <w:rPr>
          <w:rFonts w:eastAsia="Calibri"/>
          <w:noProof/>
          <w:color w:val="000000" w:themeColor="text1"/>
          <w:lang w:val="es-ES_tradnl" w:eastAsia="es-ES_tradnl"/>
        </w:rPr>
        <w:t>.</w:t>
      </w:r>
    </w:p>
    <w:p w14:paraId="60405313" w14:textId="77777777" w:rsidR="0002107B" w:rsidRPr="00163BF5" w:rsidRDefault="0002107B" w:rsidP="0002107B">
      <w:pPr>
        <w:spacing w:line="480" w:lineRule="auto"/>
        <w:ind w:firstLine="709"/>
        <w:jc w:val="both"/>
        <w:rPr>
          <w:rFonts w:eastAsia="Calibri"/>
          <w:color w:val="000000" w:themeColor="text1"/>
          <w:lang w:val="es-ES" w:eastAsia="es-ES_tradnl"/>
        </w:rPr>
      </w:pPr>
      <w:r w:rsidRPr="00163BF5">
        <w:rPr>
          <w:rFonts w:eastAsia="Calibri"/>
          <w:color w:val="000000" w:themeColor="text1"/>
          <w:lang w:val="es-ES" w:eastAsia="es-ES_tradnl"/>
        </w:rPr>
        <w:t>Estas tres características son vitales para la distinción de este tipo de desaparición frente a otros delitos, dado que, si la desaparición es realizada de manera ilegal, pero por un agente estatal esta no será considerada desaparición involuntaria, sino será desaparición forzada, como se analizará más adelante.</w:t>
      </w:r>
    </w:p>
    <w:p w14:paraId="1EBFF0E6" w14:textId="77777777" w:rsidR="0002107B" w:rsidRPr="00163BF5" w:rsidRDefault="0002107B" w:rsidP="0002107B">
      <w:pPr>
        <w:spacing w:line="480" w:lineRule="auto"/>
        <w:ind w:firstLine="709"/>
        <w:jc w:val="both"/>
        <w:rPr>
          <w:rFonts w:eastAsia="Calibri"/>
          <w:color w:val="000000" w:themeColor="text1"/>
          <w:lang w:val="es-ES" w:eastAsia="es-ES_tradnl"/>
        </w:rPr>
      </w:pPr>
      <w:r w:rsidRPr="00163BF5">
        <w:rPr>
          <w:rFonts w:eastAsia="Calibri"/>
          <w:color w:val="000000" w:themeColor="text1"/>
          <w:lang w:val="es-ES" w:eastAsia="es-ES_tradnl"/>
        </w:rPr>
        <w:t xml:space="preserve">De igual manera, si se cumple la primera característica y no la segunda, sobre la existencia de solicitud de dinero o alguna forma de extorsión para la liberación de la persona privada de libertad, no podrá ser considerada esta situación como desaparición involuntaria y será tratada como el delito de secuestro extorsivo. </w:t>
      </w:r>
    </w:p>
    <w:p w14:paraId="448957BC" w14:textId="77777777" w:rsidR="0002107B" w:rsidRPr="00163BF5" w:rsidRDefault="0002107B" w:rsidP="0002107B">
      <w:pPr>
        <w:spacing w:line="480" w:lineRule="auto"/>
        <w:ind w:firstLine="709"/>
        <w:jc w:val="both"/>
        <w:rPr>
          <w:rFonts w:eastAsia="Calibri"/>
          <w:color w:val="000000" w:themeColor="text1"/>
          <w:lang w:val="es-ES" w:eastAsia="es-ES_tradnl"/>
        </w:rPr>
      </w:pPr>
      <w:r w:rsidRPr="00163BF5">
        <w:rPr>
          <w:rFonts w:eastAsia="Calibri"/>
          <w:color w:val="000000" w:themeColor="text1"/>
          <w:lang w:val="es-ES" w:eastAsia="es-ES_tradnl"/>
        </w:rPr>
        <w:t xml:space="preserve">En el marco normativo ecuatoriano, la desaparición involuntaria está tipificada en el artículo 163.1 del COIP y dicta lo siguiente: </w:t>
      </w:r>
    </w:p>
    <w:p w14:paraId="63F79944"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Art. 163.1.- Desaparición involuntaria. - La persona que prive de la libertad, retenga, arrebate, desaparezca, traslade a lugar distinto a una o más personas, en contra de su voluntad y niegue información de su paradero o destino, será sancionada con pena privativa de libertad de siete a diez años.</w:t>
      </w:r>
    </w:p>
    <w:p w14:paraId="2CBFBAF8"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Será sancionada con pena privativa de libertad de diez a trece años, cuando concurra alguna de las siguientes circunstancias:</w:t>
      </w:r>
    </w:p>
    <w:p w14:paraId="527479D5"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1. Si la privación de libertad de la víctima se prolonga por más de ocho días.</w:t>
      </w:r>
    </w:p>
    <w:p w14:paraId="5972D3FE"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2. Si la víctima es una persona menor de dieciocho años, mayor de sesenta y cinco años, mujer embarazada, persona con discapacidad o que padezca enfermedades que comprometan su vida.</w:t>
      </w:r>
    </w:p>
    <w:p w14:paraId="253B9B88"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3. Si se comete con apoderamiento de nave o aeronave, vehículos o cualquier otro transporte.</w:t>
      </w:r>
    </w:p>
    <w:p w14:paraId="7ACA653A"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4. Si se comete total o parcialmente desde el extranjero.</w:t>
      </w:r>
    </w:p>
    <w:p w14:paraId="419A6472"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5. Si se comete por personas que tengan algún tipo de relación familiar o de poder o autoridad sobre la víctima, tales como: docentes, ministras o ministros de culto, personal de salud o personas responsables en la atención del cuidado del paciente; o por cualquier otra clase de profesional o técnico que haya abusado de su posición, función o cargo para cometer la infracción.</w:t>
      </w:r>
    </w:p>
    <w:p w14:paraId="5B0C455A"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6. Si la víctima ha sido sometida a violencia física, sexual o psicológica.</w:t>
      </w:r>
    </w:p>
    <w:p w14:paraId="00CD62AB"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Si se produce la muerte de la víctima, será sancionada con pena privativa de libertad de veintidós a veintiséis años.</w:t>
      </w:r>
    </w:p>
    <w:p w14:paraId="624EECD9"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Para el procesamiento de este delito, la acumulación de indicios tendrá la misma fuerza vinculante que la prueba directa en la etapa de juicio, siempre que los mismos se funden en hechos reales probados, se relacionen con los hechos de este delito, sean unívocos y directos. (COIP, 2014, art. 163.1)</w:t>
      </w:r>
    </w:p>
    <w:p w14:paraId="08E1198D" w14:textId="77777777" w:rsidR="0002107B" w:rsidRPr="00163BF5" w:rsidRDefault="0002107B" w:rsidP="0002107B">
      <w:pPr>
        <w:ind w:left="1440"/>
        <w:jc w:val="both"/>
        <w:rPr>
          <w:rFonts w:eastAsia="Calibri"/>
          <w:color w:val="000000" w:themeColor="text1"/>
          <w:lang w:val="es-ES" w:eastAsia="es-ES_tradnl"/>
        </w:rPr>
      </w:pPr>
    </w:p>
    <w:p w14:paraId="3E9DF78F" w14:textId="69A2EF88" w:rsidR="0002107B" w:rsidRPr="00163BF5" w:rsidRDefault="0002107B" w:rsidP="0002107B">
      <w:pPr>
        <w:spacing w:line="480" w:lineRule="auto"/>
        <w:ind w:firstLine="709"/>
        <w:jc w:val="both"/>
        <w:rPr>
          <w:rFonts w:eastAsia="Calibri"/>
          <w:color w:val="000000" w:themeColor="text1"/>
          <w:lang w:val="es-ES" w:eastAsia="es-ES_tradnl"/>
        </w:rPr>
      </w:pPr>
      <w:r w:rsidRPr="00163BF5">
        <w:rPr>
          <w:rFonts w:eastAsia="Calibri"/>
          <w:color w:val="000000" w:themeColor="text1"/>
          <w:lang w:val="es-ES" w:eastAsia="es-ES_tradnl"/>
        </w:rPr>
        <w:t>Si bien en este artículo del COIP se ve expresada la primera característica no se menciona nada relativo a la segunda. Esto es debido a que cuando se busca obtener dinero, acciones u omisiones que produzcan efectos jurídicos, títulos, bienes, documentos, el delito aplicable a este ilícito es el secuestro extorsivo tipificado en el artículo 162 del código antes señalado</w:t>
      </w:r>
      <w:r w:rsidR="00523543" w:rsidRPr="00163BF5">
        <w:rPr>
          <w:rFonts w:eastAsia="Calibri"/>
          <w:color w:val="000000" w:themeColor="text1"/>
          <w:lang w:val="es-ES" w:eastAsia="es-ES_tradnl"/>
        </w:rPr>
        <w:t xml:space="preserve"> </w:t>
      </w:r>
      <w:r w:rsidRPr="00163BF5">
        <w:rPr>
          <w:rFonts w:eastAsia="Calibri"/>
          <w:color w:val="000000" w:themeColor="text1"/>
          <w:lang w:val="es-ES" w:eastAsia="es-ES_tradnl"/>
        </w:rPr>
        <w:t xml:space="preserve">(COIP, art. 162). </w:t>
      </w:r>
    </w:p>
    <w:p w14:paraId="4D2F11C6" w14:textId="2B43D461" w:rsidR="0002107B" w:rsidRPr="00163BF5" w:rsidRDefault="0002107B" w:rsidP="00F24FF8">
      <w:pPr>
        <w:pStyle w:val="Ttulo4"/>
        <w:numPr>
          <w:ilvl w:val="2"/>
          <w:numId w:val="26"/>
        </w:numPr>
        <w:rPr>
          <w:rFonts w:ascii="Times New Roman" w:hAnsi="Times New Roman" w:cs="Times New Roman"/>
          <w:color w:val="000000" w:themeColor="text1"/>
        </w:rPr>
      </w:pPr>
      <w:bookmarkStart w:id="27" w:name="_Toc63689883"/>
      <w:bookmarkStart w:id="28" w:name="_Toc63690050"/>
      <w:bookmarkStart w:id="29" w:name="_Toc67513379"/>
      <w:r w:rsidRPr="00163BF5">
        <w:rPr>
          <w:rFonts w:ascii="Times New Roman" w:hAnsi="Times New Roman" w:cs="Times New Roman"/>
          <w:color w:val="000000" w:themeColor="text1"/>
        </w:rPr>
        <w:t xml:space="preserve">Desaparición </w:t>
      </w:r>
      <w:r w:rsidR="009F5901" w:rsidRPr="00163BF5">
        <w:rPr>
          <w:rFonts w:ascii="Times New Roman" w:hAnsi="Times New Roman" w:cs="Times New Roman"/>
          <w:color w:val="000000" w:themeColor="text1"/>
        </w:rPr>
        <w:t>f</w:t>
      </w:r>
      <w:r w:rsidRPr="00163BF5">
        <w:rPr>
          <w:rFonts w:ascii="Times New Roman" w:hAnsi="Times New Roman" w:cs="Times New Roman"/>
          <w:color w:val="000000" w:themeColor="text1"/>
        </w:rPr>
        <w:t>orzada</w:t>
      </w:r>
      <w:bookmarkEnd w:id="27"/>
      <w:bookmarkEnd w:id="28"/>
      <w:bookmarkEnd w:id="29"/>
      <w:r w:rsidRPr="00163BF5">
        <w:rPr>
          <w:rFonts w:ascii="Times New Roman" w:hAnsi="Times New Roman" w:cs="Times New Roman"/>
          <w:color w:val="000000" w:themeColor="text1"/>
        </w:rPr>
        <w:t xml:space="preserve"> </w:t>
      </w:r>
    </w:p>
    <w:p w14:paraId="21C9B731" w14:textId="19BEBC3E" w:rsidR="0002107B" w:rsidRPr="00163BF5" w:rsidRDefault="0002107B" w:rsidP="0002107B">
      <w:pPr>
        <w:spacing w:line="480" w:lineRule="auto"/>
        <w:ind w:firstLine="709"/>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En el ámbito internacional, la desaparición forzada está definida en varios instrumentos internacionales, uno de ellos es la Convención Interamericana sobre Desaparición Forzada de Personas que la define en su artículo 2 como: </w:t>
      </w:r>
    </w:p>
    <w:p w14:paraId="5285999B"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 xml:space="preserve">[…] la privación de la libertad a una o más personas, cualquiera que fuere su forma, cometida por agentes del Estado o por personas o grupos de personas que actúen con la autorización, el apoyo o la aquiescencia del Estado, seguida de la falta de información o de la negativa a reconocer dicha privación de libertad o de informar sobre el paradero de la persona, con lo cual se impide el ejercicio de los recursos legales y de las garantías procesales pertinentes. (CIDFP, 1994, art. 2) </w:t>
      </w:r>
    </w:p>
    <w:p w14:paraId="6A62C219" w14:textId="77777777" w:rsidR="0002107B" w:rsidRPr="00163BF5" w:rsidRDefault="0002107B" w:rsidP="0002107B">
      <w:pPr>
        <w:ind w:left="1440"/>
        <w:jc w:val="both"/>
        <w:rPr>
          <w:rFonts w:eastAsia="Calibri"/>
          <w:color w:val="000000" w:themeColor="text1"/>
          <w:lang w:val="es-ES_tradnl" w:eastAsia="es-ES_tradnl"/>
        </w:rPr>
      </w:pPr>
    </w:p>
    <w:p w14:paraId="69BD1D69" w14:textId="049064F5" w:rsidR="0002107B" w:rsidRPr="00163BF5" w:rsidRDefault="0002107B" w:rsidP="0002107B">
      <w:pPr>
        <w:spacing w:line="480" w:lineRule="auto"/>
        <w:ind w:firstLine="709"/>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El Estatuto de Roma de la Corte Penal Internacional establece que la desaparición forzada es un crimen de lesa humanidad, si este acto es realizado como “parte de un ataque generalizado o sistemático contra una población civil y con conocimiento de dicho ataque” (ER</w:t>
      </w:r>
      <w:r w:rsidR="00575EE6" w:rsidRPr="00163BF5">
        <w:rPr>
          <w:rFonts w:eastAsia="Calibri"/>
          <w:color w:val="000000" w:themeColor="text1"/>
          <w:shd w:val="clear" w:color="auto" w:fill="FFFFFF"/>
          <w:lang w:val="es-ES_tradnl" w:eastAsia="es-ES_tradnl"/>
        </w:rPr>
        <w:t>CPI</w:t>
      </w:r>
      <w:r w:rsidRPr="00163BF5">
        <w:rPr>
          <w:rFonts w:eastAsia="Calibri"/>
          <w:color w:val="000000" w:themeColor="text1"/>
          <w:shd w:val="clear" w:color="auto" w:fill="FFFFFF"/>
          <w:lang w:val="es-ES_tradnl" w:eastAsia="es-ES_tradnl"/>
        </w:rPr>
        <w:t xml:space="preserve">, 2002, art. 7).  Y la define como: </w:t>
      </w:r>
    </w:p>
    <w:p w14:paraId="13E6D69A" w14:textId="12D7A0DB" w:rsidR="0002107B" w:rsidRPr="00163BF5" w:rsidRDefault="0002107B" w:rsidP="00F92151">
      <w:pPr>
        <w:ind w:left="1440"/>
        <w:jc w:val="both"/>
        <w:rPr>
          <w:rFonts w:eastAsia="Calibri"/>
          <w:color w:val="000000" w:themeColor="text1"/>
          <w:sz w:val="22"/>
          <w:szCs w:val="22"/>
          <w:shd w:val="clear" w:color="auto" w:fill="FFFFFF"/>
          <w:lang w:val="es-ES_tradnl" w:eastAsia="es-ES_tradnl"/>
        </w:rPr>
      </w:pPr>
      <w:r w:rsidRPr="00163BF5">
        <w:rPr>
          <w:rFonts w:eastAsia="Calibri"/>
          <w:color w:val="000000" w:themeColor="text1"/>
          <w:sz w:val="22"/>
          <w:szCs w:val="22"/>
          <w:shd w:val="clear" w:color="auto" w:fill="FFFFFF"/>
          <w:lang w:val="es-ES_tradnl" w:eastAsia="es-ES_tradnl"/>
        </w:rPr>
        <w:t xml:space="preserve">[…] </w:t>
      </w:r>
      <w:r w:rsidRPr="00163BF5">
        <w:rPr>
          <w:rFonts w:eastAsia="Calibri"/>
          <w:color w:val="000000" w:themeColor="text1"/>
          <w:sz w:val="22"/>
          <w:szCs w:val="22"/>
          <w:lang w:val="es-ES_tradnl" w:eastAsia="es-ES_tradnl"/>
        </w:rPr>
        <w:t xml:space="preserve">la aprehensión, la detención o el secuestro de personas por un Estado o una organización política, o con su autorización, apoyo o aquiescencia, seguido de la negativa a admitir tal privación de libertad o dar información sobre la suerte o el paradero de esas personas, con la intención de dejarlas fuera del amparo de la ley por un período prolongado. </w:t>
      </w:r>
      <w:r w:rsidRPr="00163BF5">
        <w:rPr>
          <w:rFonts w:eastAsia="Calibri"/>
          <w:color w:val="000000" w:themeColor="text1"/>
          <w:sz w:val="22"/>
          <w:szCs w:val="22"/>
          <w:shd w:val="clear" w:color="auto" w:fill="FFFFFF"/>
          <w:lang w:val="es-ES_tradnl" w:eastAsia="es-ES_tradnl"/>
        </w:rPr>
        <w:t>(ER</w:t>
      </w:r>
      <w:r w:rsidR="00575EE6" w:rsidRPr="00163BF5">
        <w:rPr>
          <w:rFonts w:eastAsia="Calibri"/>
          <w:color w:val="000000" w:themeColor="text1"/>
          <w:sz w:val="22"/>
          <w:szCs w:val="22"/>
          <w:shd w:val="clear" w:color="auto" w:fill="FFFFFF"/>
          <w:lang w:val="es-ES_tradnl" w:eastAsia="es-ES_tradnl"/>
        </w:rPr>
        <w:t>CPI</w:t>
      </w:r>
      <w:r w:rsidRPr="00163BF5">
        <w:rPr>
          <w:rFonts w:eastAsia="Calibri"/>
          <w:color w:val="000000" w:themeColor="text1"/>
          <w:sz w:val="22"/>
          <w:szCs w:val="22"/>
          <w:shd w:val="clear" w:color="auto" w:fill="FFFFFF"/>
          <w:lang w:val="es-ES_tradnl" w:eastAsia="es-ES_tradnl"/>
        </w:rPr>
        <w:t>, 2002, art. 7)</w:t>
      </w:r>
    </w:p>
    <w:p w14:paraId="7542BC42" w14:textId="77777777" w:rsidR="00F92151" w:rsidRPr="00163BF5" w:rsidRDefault="00F92151" w:rsidP="00F92151">
      <w:pPr>
        <w:ind w:left="1440"/>
        <w:jc w:val="both"/>
        <w:rPr>
          <w:rFonts w:eastAsia="Calibri"/>
          <w:color w:val="000000" w:themeColor="text1"/>
          <w:sz w:val="22"/>
          <w:szCs w:val="22"/>
          <w:shd w:val="clear" w:color="auto" w:fill="FFFFFF"/>
          <w:lang w:val="es-ES_tradnl" w:eastAsia="es-ES_tradnl"/>
        </w:rPr>
      </w:pPr>
    </w:p>
    <w:p w14:paraId="19C37D08" w14:textId="55F1F82E" w:rsidR="0002107B" w:rsidRPr="00163BF5" w:rsidRDefault="0002107B" w:rsidP="0002107B">
      <w:pPr>
        <w:spacing w:line="480" w:lineRule="auto"/>
        <w:ind w:firstLine="709"/>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Para la Convención Internacional para la </w:t>
      </w:r>
      <w:r w:rsidR="00EC7B7B" w:rsidRPr="00163BF5">
        <w:rPr>
          <w:rFonts w:eastAsia="Calibri"/>
          <w:color w:val="000000" w:themeColor="text1"/>
          <w:lang w:val="es-ES_tradnl" w:eastAsia="es-ES_tradnl"/>
        </w:rPr>
        <w:t>P</w:t>
      </w:r>
      <w:r w:rsidRPr="00163BF5">
        <w:rPr>
          <w:rFonts w:eastAsia="Calibri"/>
          <w:color w:val="000000" w:themeColor="text1"/>
          <w:lang w:val="es-ES_tradnl" w:eastAsia="es-ES_tradnl"/>
        </w:rPr>
        <w:t xml:space="preserve">rotección de todas las </w:t>
      </w:r>
      <w:r w:rsidR="00EC7B7B" w:rsidRPr="00163BF5">
        <w:rPr>
          <w:rFonts w:eastAsia="Calibri"/>
          <w:color w:val="000000" w:themeColor="text1"/>
          <w:lang w:val="es-ES_tradnl" w:eastAsia="es-ES_tradnl"/>
        </w:rPr>
        <w:t>P</w:t>
      </w:r>
      <w:r w:rsidRPr="00163BF5">
        <w:rPr>
          <w:rFonts w:eastAsia="Calibri"/>
          <w:color w:val="000000" w:themeColor="text1"/>
          <w:lang w:val="es-ES_tradnl" w:eastAsia="es-ES_tradnl"/>
        </w:rPr>
        <w:t xml:space="preserve">ersonas </w:t>
      </w:r>
      <w:r w:rsidR="00EC7B7B" w:rsidRPr="00163BF5">
        <w:rPr>
          <w:rFonts w:eastAsia="Calibri"/>
          <w:color w:val="000000" w:themeColor="text1"/>
          <w:lang w:val="es-ES_tradnl" w:eastAsia="es-ES_tradnl"/>
        </w:rPr>
        <w:t>C</w:t>
      </w:r>
      <w:r w:rsidRPr="00163BF5">
        <w:rPr>
          <w:rFonts w:eastAsia="Calibri"/>
          <w:color w:val="000000" w:themeColor="text1"/>
          <w:lang w:val="es-ES_tradnl" w:eastAsia="es-ES_tradnl"/>
        </w:rPr>
        <w:t xml:space="preserve">ontra las </w:t>
      </w:r>
      <w:r w:rsidR="00EC7B7B" w:rsidRPr="00163BF5">
        <w:rPr>
          <w:rFonts w:eastAsia="Calibri"/>
          <w:color w:val="000000" w:themeColor="text1"/>
          <w:lang w:val="es-ES_tradnl" w:eastAsia="es-ES_tradnl"/>
        </w:rPr>
        <w:t>D</w:t>
      </w:r>
      <w:r w:rsidRPr="00163BF5">
        <w:rPr>
          <w:rFonts w:eastAsia="Calibri"/>
          <w:color w:val="000000" w:themeColor="text1"/>
          <w:lang w:val="es-ES_tradnl" w:eastAsia="es-ES_tradnl"/>
        </w:rPr>
        <w:t xml:space="preserve">esapariciones </w:t>
      </w:r>
      <w:r w:rsidR="00EC7B7B" w:rsidRPr="00163BF5">
        <w:rPr>
          <w:rFonts w:eastAsia="Calibri"/>
          <w:color w:val="000000" w:themeColor="text1"/>
          <w:lang w:val="es-ES_tradnl" w:eastAsia="es-ES_tradnl"/>
        </w:rPr>
        <w:t>F</w:t>
      </w:r>
      <w:r w:rsidRPr="00163BF5">
        <w:rPr>
          <w:rFonts w:eastAsia="Calibri"/>
          <w:color w:val="000000" w:themeColor="text1"/>
          <w:lang w:val="es-ES_tradnl" w:eastAsia="es-ES_tradnl"/>
        </w:rPr>
        <w:t>orzadas</w:t>
      </w:r>
      <w:r w:rsidR="00EC7B7B" w:rsidRPr="00163BF5">
        <w:rPr>
          <w:rFonts w:eastAsia="Calibri"/>
          <w:color w:val="000000" w:themeColor="text1"/>
          <w:lang w:val="es-ES_tradnl" w:eastAsia="es-ES_tradnl"/>
        </w:rPr>
        <w:t xml:space="preserve">, define a la desaparición forzada como: </w:t>
      </w:r>
    </w:p>
    <w:p w14:paraId="7BA06063" w14:textId="77777777" w:rsidR="0002107B" w:rsidRPr="00163BF5" w:rsidRDefault="0002107B" w:rsidP="0002107B">
      <w:pPr>
        <w:ind w:left="1440"/>
        <w:jc w:val="both"/>
        <w:rPr>
          <w:rFonts w:eastAsia="Calibri"/>
          <w:color w:val="000000" w:themeColor="text1"/>
          <w:sz w:val="22"/>
          <w:szCs w:val="22"/>
          <w:shd w:val="clear" w:color="auto" w:fill="FFFFFF"/>
          <w:lang w:val="es-ES_tradnl" w:eastAsia="es-ES_tradnl"/>
        </w:rPr>
      </w:pPr>
      <w:r w:rsidRPr="00163BF5">
        <w:rPr>
          <w:rFonts w:eastAsia="Calibri"/>
          <w:color w:val="000000" w:themeColor="text1"/>
          <w:sz w:val="22"/>
          <w:szCs w:val="22"/>
          <w:shd w:val="clear" w:color="auto" w:fill="FFFFFF"/>
          <w:lang w:val="es-ES_tradnl" w:eastAsia="es-ES_tradnl"/>
        </w:rPr>
        <w:t xml:space="preserve">[…] el arresto, la detención, el secuestro o cualquier otra forma de privación de libertad que sean obra de agentes del Estado o por personas o grupos de personas que actúan con la autorización, el apoyo o la aquiescencia del Estado, seguida de la negativa a reconocer dicha privación de libertad o del ocultamiento de la suerte o el paradero de la persona desaparecida, sustrayéndola a la protección de la ley. (CIPPDF, 2010, art. 2). </w:t>
      </w:r>
    </w:p>
    <w:p w14:paraId="529EB6EA" w14:textId="77777777" w:rsidR="0002107B" w:rsidRPr="00163BF5" w:rsidRDefault="0002107B" w:rsidP="0002107B">
      <w:pPr>
        <w:ind w:left="1440"/>
        <w:jc w:val="both"/>
        <w:rPr>
          <w:rFonts w:eastAsia="Calibri"/>
          <w:color w:val="000000" w:themeColor="text1"/>
          <w:shd w:val="clear" w:color="auto" w:fill="FFFFFF"/>
          <w:lang w:val="es-ES_tradnl" w:eastAsia="es-ES_tradnl"/>
        </w:rPr>
      </w:pPr>
    </w:p>
    <w:p w14:paraId="2DDC2013" w14:textId="77777777" w:rsidR="0002107B" w:rsidRPr="00163BF5" w:rsidRDefault="0002107B" w:rsidP="0002107B">
      <w:pPr>
        <w:spacing w:line="480" w:lineRule="auto"/>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ab/>
        <w:t xml:space="preserve">En base a lo expuesto por los tres instrumentos internacionales, se puede establecer que la desaparición forzada es aquella acción en la que incurre un agente del estado o por aquiescencia del mismo, donde se aprehende, detiene o secuestra a una persona ocasionando una privación de la libertad, seguida de una negativa de reconocer dicha privación u ocultando el paradero de la persona desaparecida. </w:t>
      </w:r>
    </w:p>
    <w:p w14:paraId="70C75669" w14:textId="77777777" w:rsidR="0002107B" w:rsidRPr="00163BF5" w:rsidRDefault="0002107B" w:rsidP="0002107B">
      <w:pPr>
        <w:jc w:val="both"/>
        <w:rPr>
          <w:rFonts w:eastAsia="Calibri"/>
          <w:color w:val="000000" w:themeColor="text1"/>
          <w:shd w:val="clear" w:color="auto" w:fill="FFFFFF"/>
          <w:lang w:val="es-ES_tradnl" w:eastAsia="es-ES_tradnl"/>
        </w:rPr>
      </w:pPr>
    </w:p>
    <w:p w14:paraId="2A4AEE5C" w14:textId="77777777" w:rsidR="0002107B" w:rsidRPr="00163BF5" w:rsidRDefault="0002107B" w:rsidP="0002107B">
      <w:pPr>
        <w:spacing w:line="480" w:lineRule="auto"/>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ab/>
        <w:t xml:space="preserve">En cuanto a los elementos que debe concurrir para que la desaparición de una persona sea considerada como forzada, el marco interamericano por medio de la Corte IDH en varios casos ha establecido que: </w:t>
      </w:r>
    </w:p>
    <w:p w14:paraId="17A70EC6" w14:textId="42C56FC5"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 xml:space="preserve">La caracterización pluriofensiva y continuada o permanente de la desaparición forzada se desprende no sólo de la propia definición del artículo III de la Convención Interamericana sobre Desaparición Forzada de Personas, de la cual el Estado mexicano es parte desde el 9 de abril de 2002, los </w:t>
      </w:r>
      <w:proofErr w:type="spellStart"/>
      <w:r w:rsidRPr="00163BF5">
        <w:rPr>
          <w:rFonts w:eastAsia="Calibri"/>
          <w:color w:val="000000" w:themeColor="text1"/>
          <w:sz w:val="22"/>
          <w:szCs w:val="22"/>
          <w:lang w:val="es-ES_tradnl" w:eastAsia="es-ES_tradnl"/>
        </w:rPr>
        <w:t>travaux</w:t>
      </w:r>
      <w:proofErr w:type="spellEnd"/>
      <w:r w:rsidRPr="00163BF5">
        <w:rPr>
          <w:rFonts w:eastAsia="Calibri"/>
          <w:color w:val="000000" w:themeColor="text1"/>
          <w:sz w:val="22"/>
          <w:szCs w:val="22"/>
          <w:lang w:val="es-ES_tradnl" w:eastAsia="es-ES_tradnl"/>
        </w:rPr>
        <w:t xml:space="preserve"> </w:t>
      </w:r>
      <w:proofErr w:type="spellStart"/>
      <w:r w:rsidRPr="00163BF5">
        <w:rPr>
          <w:rFonts w:eastAsia="Calibri"/>
          <w:color w:val="000000" w:themeColor="text1"/>
          <w:sz w:val="22"/>
          <w:szCs w:val="22"/>
          <w:lang w:val="es-ES_tradnl" w:eastAsia="es-ES_tradnl"/>
        </w:rPr>
        <w:t>préparatoires</w:t>
      </w:r>
      <w:proofErr w:type="spellEnd"/>
      <w:r w:rsidRPr="00163BF5">
        <w:rPr>
          <w:rFonts w:eastAsia="Calibri"/>
          <w:color w:val="000000" w:themeColor="text1"/>
          <w:sz w:val="22"/>
          <w:szCs w:val="22"/>
          <w:lang w:val="es-ES_tradnl" w:eastAsia="es-ES_tradnl"/>
        </w:rPr>
        <w:t xml:space="preserve"> a ésta, su preámbulo y normativa, sino también de otras definiciones contenidas en diferentes instrumentos internacionales que, asimismo, señalan como elementos concurrentes y constitutivos de la desaparición forzada: a) la privación de la libertad; b) la intervención directa de agentes estatales o por la aquiescencia de éstos, y c) la negativa de reconocer la detención y de revelar la suerte o paradero de la persona interesada. Además, la jurisprudencia del Sistema Europeo de Derechos Humanos, al igual que varias Cortes Constitucionales de los Estados americanos y altos tribunales nacionales, coinciden con la caracterización indicada. (</w:t>
      </w:r>
      <w:bookmarkStart w:id="30" w:name="_Hlk60751974"/>
      <w:r w:rsidRPr="00163BF5">
        <w:rPr>
          <w:rFonts w:eastAsia="Calibri"/>
          <w:color w:val="000000" w:themeColor="text1"/>
          <w:sz w:val="22"/>
          <w:szCs w:val="22"/>
          <w:lang w:val="es-ES_tradnl" w:eastAsia="es-ES_tradnl"/>
        </w:rPr>
        <w:t xml:space="preserve">Corte IDH, Caso </w:t>
      </w:r>
      <w:r w:rsidR="00653733" w:rsidRPr="00163BF5">
        <w:rPr>
          <w:rFonts w:eastAsia="Calibri"/>
          <w:color w:val="000000" w:themeColor="text1"/>
          <w:sz w:val="22"/>
          <w:szCs w:val="22"/>
          <w:lang w:val="es-ES_tradnl" w:eastAsia="es-ES_tradnl"/>
        </w:rPr>
        <w:t xml:space="preserve">Rosendo </w:t>
      </w:r>
      <w:r w:rsidRPr="00163BF5">
        <w:rPr>
          <w:rFonts w:eastAsia="Calibri"/>
          <w:color w:val="000000" w:themeColor="text1"/>
          <w:sz w:val="22"/>
          <w:szCs w:val="22"/>
          <w:lang w:val="es-ES_tradnl" w:eastAsia="es-ES_tradnl"/>
        </w:rPr>
        <w:t xml:space="preserve">Radilla Pacheco Vs. México, 2009, párr. 140) </w:t>
      </w:r>
    </w:p>
    <w:p w14:paraId="7EEE831D" w14:textId="77777777" w:rsidR="0002107B" w:rsidRPr="00163BF5" w:rsidRDefault="0002107B" w:rsidP="0002107B">
      <w:pPr>
        <w:ind w:left="1440"/>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ab/>
      </w:r>
    </w:p>
    <w:bookmarkEnd w:id="30"/>
    <w:p w14:paraId="1F28F0CA" w14:textId="77777777" w:rsidR="0002107B" w:rsidRPr="00163BF5" w:rsidRDefault="0002107B" w:rsidP="0002107B">
      <w:pPr>
        <w:ind w:firstLine="709"/>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 xml:space="preserve">De igual manera en el caso </w:t>
      </w:r>
      <w:proofErr w:type="spellStart"/>
      <w:r w:rsidRPr="00163BF5">
        <w:rPr>
          <w:rFonts w:eastAsia="Calibri"/>
          <w:color w:val="000000" w:themeColor="text1"/>
          <w:shd w:val="clear" w:color="auto" w:fill="FFFFFF"/>
          <w:lang w:val="es-ES_tradnl" w:eastAsia="es-ES_tradnl"/>
        </w:rPr>
        <w:t>Chitay</w:t>
      </w:r>
      <w:proofErr w:type="spellEnd"/>
      <w:r w:rsidRPr="00163BF5">
        <w:rPr>
          <w:rFonts w:eastAsia="Calibri"/>
          <w:color w:val="000000" w:themeColor="text1"/>
          <w:shd w:val="clear" w:color="auto" w:fill="FFFFFF"/>
          <w:lang w:val="es-ES_tradnl" w:eastAsia="es-ES_tradnl"/>
        </w:rPr>
        <w:t xml:space="preserve"> </w:t>
      </w:r>
      <w:proofErr w:type="spellStart"/>
      <w:r w:rsidRPr="00163BF5">
        <w:rPr>
          <w:rFonts w:eastAsia="Calibri"/>
          <w:color w:val="000000" w:themeColor="text1"/>
          <w:shd w:val="clear" w:color="auto" w:fill="FFFFFF"/>
          <w:lang w:val="es-ES_tradnl" w:eastAsia="es-ES_tradnl"/>
        </w:rPr>
        <w:t>Nech</w:t>
      </w:r>
      <w:proofErr w:type="spellEnd"/>
      <w:r w:rsidRPr="00163BF5">
        <w:rPr>
          <w:rFonts w:eastAsia="Calibri"/>
          <w:color w:val="000000" w:themeColor="text1"/>
          <w:shd w:val="clear" w:color="auto" w:fill="FFFFFF"/>
          <w:lang w:val="es-ES_tradnl" w:eastAsia="es-ES_tradnl"/>
        </w:rPr>
        <w:t xml:space="preserve"> y otros Vs. Guatemala se expone lo siguiente: </w:t>
      </w:r>
    </w:p>
    <w:p w14:paraId="00AA359A" w14:textId="77777777" w:rsidR="0002107B" w:rsidRPr="00163BF5" w:rsidRDefault="0002107B" w:rsidP="0002107B">
      <w:pPr>
        <w:jc w:val="both"/>
        <w:rPr>
          <w:rFonts w:eastAsia="Calibri"/>
          <w:color w:val="000000" w:themeColor="text1"/>
          <w:shd w:val="clear" w:color="auto" w:fill="FFFFFF"/>
          <w:lang w:val="es-ES_tradnl" w:eastAsia="es-ES_tradnl"/>
        </w:rPr>
      </w:pPr>
    </w:p>
    <w:p w14:paraId="1CD6FB9C"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 xml:space="preserve">[…] tanto en las definiciones del Grupo de Trabajo sobre Desapariciones Forzadas e Involuntarias de Personas de las Naciones Unidas, de la Declaración sobre la Protección de Todas las Personas contra las Desapariciones Forzadas de la ONU, la CIDFP, otros instrumentos internacionales, la jurisprudencia del Sistema Europeo de Derechos Humanos, las decisiones de diferentes instancias de las Naciones Unidas, así como en el Estatuto de Roma, se señalan los elementos concurrentes constitutivos de la desaparición forzada: a) la privación de la libertad; b) la intervención directa de agentes estatales o la aquiescencia de éstos, y c) la negativa de reconocer la detención o de revelar la suerte o paradero de la persona interesada. (Corte IDH, Caso </w:t>
      </w:r>
      <w:proofErr w:type="spellStart"/>
      <w:r w:rsidRPr="00163BF5">
        <w:rPr>
          <w:rFonts w:eastAsia="Calibri"/>
          <w:color w:val="000000" w:themeColor="text1"/>
          <w:sz w:val="22"/>
          <w:szCs w:val="22"/>
          <w:lang w:val="es-ES_tradnl" w:eastAsia="es-ES_tradnl"/>
        </w:rPr>
        <w:t>Chitay</w:t>
      </w:r>
      <w:proofErr w:type="spellEnd"/>
      <w:r w:rsidRPr="00163BF5">
        <w:rPr>
          <w:rFonts w:eastAsia="Calibri"/>
          <w:color w:val="000000" w:themeColor="text1"/>
          <w:sz w:val="22"/>
          <w:szCs w:val="22"/>
          <w:lang w:val="es-ES_tradnl" w:eastAsia="es-ES_tradnl"/>
        </w:rPr>
        <w:t xml:space="preserve"> </w:t>
      </w:r>
      <w:proofErr w:type="spellStart"/>
      <w:r w:rsidRPr="00163BF5">
        <w:rPr>
          <w:rFonts w:eastAsia="Calibri"/>
          <w:color w:val="000000" w:themeColor="text1"/>
          <w:sz w:val="22"/>
          <w:szCs w:val="22"/>
          <w:lang w:val="es-ES_tradnl" w:eastAsia="es-ES_tradnl"/>
        </w:rPr>
        <w:t>Nech</w:t>
      </w:r>
      <w:proofErr w:type="spellEnd"/>
      <w:r w:rsidRPr="00163BF5">
        <w:rPr>
          <w:rFonts w:eastAsia="Calibri"/>
          <w:color w:val="000000" w:themeColor="text1"/>
          <w:sz w:val="22"/>
          <w:szCs w:val="22"/>
          <w:lang w:val="es-ES_tradnl" w:eastAsia="es-ES_tradnl"/>
        </w:rPr>
        <w:t xml:space="preserve"> y otros Vs. Guatemala, 2010, párr. 35)</w:t>
      </w:r>
    </w:p>
    <w:p w14:paraId="7E7F5F05" w14:textId="77777777" w:rsidR="0002107B" w:rsidRPr="00163BF5" w:rsidRDefault="0002107B" w:rsidP="0002107B">
      <w:pPr>
        <w:ind w:left="1440"/>
        <w:jc w:val="both"/>
        <w:rPr>
          <w:rFonts w:eastAsia="Calibri"/>
          <w:color w:val="000000" w:themeColor="text1"/>
          <w:lang w:val="es-ES_tradnl" w:eastAsia="es-ES_tradnl"/>
        </w:rPr>
      </w:pPr>
    </w:p>
    <w:p w14:paraId="776D35DE" w14:textId="77777777" w:rsidR="0002107B" w:rsidRPr="00163BF5" w:rsidRDefault="0002107B" w:rsidP="0002107B">
      <w:pPr>
        <w:ind w:firstLine="709"/>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En el mismo sentido en el caso Gudiel Álvarez y otros (Diario Militar) Vs Guatemala la Corte ha establecido que: </w:t>
      </w:r>
    </w:p>
    <w:p w14:paraId="33B86F39" w14:textId="77777777" w:rsidR="0002107B" w:rsidRPr="00163BF5" w:rsidRDefault="0002107B" w:rsidP="0002107B">
      <w:pPr>
        <w:ind w:firstLine="709"/>
        <w:jc w:val="both"/>
        <w:rPr>
          <w:rFonts w:eastAsia="Calibri"/>
          <w:color w:val="000000" w:themeColor="text1"/>
          <w:lang w:val="es-ES_tradnl" w:eastAsia="es-ES_tradnl"/>
        </w:rPr>
      </w:pPr>
      <w:r w:rsidRPr="00163BF5">
        <w:rPr>
          <w:rFonts w:eastAsia="Calibri"/>
          <w:color w:val="000000" w:themeColor="text1"/>
          <w:lang w:val="es-ES_tradnl" w:eastAsia="es-ES_tradnl"/>
        </w:rPr>
        <w:tab/>
      </w:r>
    </w:p>
    <w:p w14:paraId="458FB500"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 se ha señalado como elementos concurrentes y constitutivos de la desaparición forzada: a) la privación de la libertad; b) la intervención directa de agentes estatales o la aquiescencia de éstos, y c) la negativa de reconocer la detención y de revelar la suerte o el paradero de la persona interesada. Esta Corte realizó dicha caracterización de la desaparición forzada incluso con anterioridad a la definición contenida en el artículo II de la Convención Interamericana sobre Desaparición Forzada y es consistente con otras definiciones contenidas en diferentes instrumentos internacionales, la jurisprudencia del Sistema Europeo de Derechos Humanos, decisiones del Comité de Derechos Humanos del Pacto Internacional de Derechos Civiles y Políticos, y decisiones de altos tribunales nacionales. (Corte IDH, Caso Gudiel Álvarez y otros (“Diario Militar”) Vs. Guatemala, 2010, párr. 193)</w:t>
      </w:r>
    </w:p>
    <w:p w14:paraId="351F8BEE" w14:textId="77777777" w:rsidR="0002107B" w:rsidRPr="00163BF5" w:rsidRDefault="0002107B" w:rsidP="0002107B">
      <w:pPr>
        <w:jc w:val="both"/>
        <w:rPr>
          <w:rFonts w:eastAsia="Calibri"/>
          <w:color w:val="000000" w:themeColor="text1"/>
          <w:sz w:val="22"/>
          <w:szCs w:val="22"/>
          <w:lang w:val="es-ES_tradnl" w:eastAsia="es-ES_tradnl"/>
        </w:rPr>
      </w:pPr>
    </w:p>
    <w:p w14:paraId="1647F584" w14:textId="77777777" w:rsidR="0002107B" w:rsidRPr="00163BF5" w:rsidRDefault="0002107B" w:rsidP="0002107B">
      <w:pPr>
        <w:spacing w:line="480" w:lineRule="auto"/>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 </w:t>
      </w:r>
      <w:r w:rsidRPr="00163BF5">
        <w:rPr>
          <w:rFonts w:eastAsia="Calibri"/>
          <w:color w:val="000000" w:themeColor="text1"/>
          <w:lang w:val="es-ES_tradnl" w:eastAsia="es-ES_tradnl"/>
        </w:rPr>
        <w:tab/>
        <w:t xml:space="preserve">Por lo manifestado por la Corte IDH en los casos citados anteriormente, existe un criterio unificado sobre los elementos constitutivos y concurrentes que deben existir en la desaparición de una persona para ser considerada forzada, estos elementos son los siguientes: tiene tres 1) la privación de la libertad; 2) la intervención de un agente estatal o por aquiescencia del mismo; 3) la negativa de reconocer la detención o el paradero de la persona. </w:t>
      </w:r>
    </w:p>
    <w:p w14:paraId="61A28A70" w14:textId="77777777" w:rsidR="0002107B" w:rsidRPr="00163BF5" w:rsidRDefault="0002107B" w:rsidP="0002107B">
      <w:pPr>
        <w:spacing w:line="480" w:lineRule="auto"/>
        <w:jc w:val="both"/>
        <w:rPr>
          <w:rFonts w:eastAsia="Calibri"/>
          <w:color w:val="000000" w:themeColor="text1"/>
          <w:lang w:val="es-ES_tradnl" w:eastAsia="es-ES_tradnl"/>
        </w:rPr>
      </w:pPr>
      <w:r w:rsidRPr="00163BF5">
        <w:rPr>
          <w:rFonts w:eastAsia="Calibri"/>
          <w:color w:val="000000" w:themeColor="text1"/>
          <w:lang w:val="es-ES_tradnl" w:eastAsia="es-ES_tradnl"/>
        </w:rPr>
        <w:tab/>
        <w:t xml:space="preserve">En cuanto a la diferencia entre la desaparición forzada y la ejecución extrajudicial, términos que muchas veces son confundidos, en el caso Rodríguez Vera y otros (Desaparecidos del Palacio de Justicia) Vs Colombia se menciona que: </w:t>
      </w:r>
    </w:p>
    <w:p w14:paraId="33A5E173" w14:textId="38740CAB"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 xml:space="preserve">[…] una de las características de la desaparición forzada, a diferencia de la ejecución extrajudicial, es que conlleva la negativa del Estado de reconocer que la víctima está bajo su control y de proporcionar información al respecto, con el propósito de generar incertidumbre acerca de su paradero, vida o muerte, de provocar intimidación y supresión de derechos. (Corte IDH, Caso Rodríguez Vera y otros (Desaparecidos del Palacio de Justicia Vs. Colombia, 2014, párr. 366) </w:t>
      </w:r>
    </w:p>
    <w:p w14:paraId="5716DCED" w14:textId="77777777" w:rsidR="00F92151" w:rsidRPr="00163BF5" w:rsidRDefault="00F92151" w:rsidP="0002107B">
      <w:pPr>
        <w:ind w:left="1440"/>
        <w:jc w:val="both"/>
        <w:rPr>
          <w:rFonts w:eastAsia="Calibri"/>
          <w:color w:val="000000" w:themeColor="text1"/>
          <w:sz w:val="22"/>
          <w:szCs w:val="22"/>
          <w:lang w:val="es-ES_tradnl" w:eastAsia="es-ES_tradnl"/>
        </w:rPr>
      </w:pPr>
    </w:p>
    <w:p w14:paraId="4EF82FAA" w14:textId="6BDE8A41" w:rsidR="0002107B" w:rsidRPr="00163BF5" w:rsidRDefault="009F5901" w:rsidP="00F92151">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A</w:t>
      </w:r>
      <w:r w:rsidR="0002107B" w:rsidRPr="00163BF5">
        <w:rPr>
          <w:rFonts w:eastAsia="Calibri"/>
          <w:color w:val="000000" w:themeColor="text1"/>
          <w:lang w:val="es-ES_tradnl" w:eastAsia="es-ES_tradnl"/>
        </w:rPr>
        <w:t>sí, la distinción entre la desaparición forzada y la ejecución extrajudicial radica en que en la desaparición forzada existe una negativa del Estado de reconocer que la víctima está bajo su control y no proporciona información al respecto, lo que genera incertidumbre acerca del paradero, vida o muerte de la persona. Mientras que en la ejecución extrajudicial no existe esta negativa.</w:t>
      </w:r>
    </w:p>
    <w:p w14:paraId="22497895" w14:textId="77777777" w:rsidR="0002107B" w:rsidRPr="00163BF5" w:rsidRDefault="0002107B" w:rsidP="0002107B">
      <w:pPr>
        <w:spacing w:line="480" w:lineRule="auto"/>
        <w:jc w:val="both"/>
        <w:rPr>
          <w:rFonts w:eastAsia="Calibri"/>
          <w:color w:val="000000" w:themeColor="text1"/>
          <w:lang w:val="es-ES_tradnl" w:eastAsia="es-ES_tradnl"/>
        </w:rPr>
      </w:pPr>
      <w:r w:rsidRPr="00163BF5">
        <w:rPr>
          <w:rFonts w:eastAsia="Calibri"/>
          <w:color w:val="000000" w:themeColor="text1"/>
          <w:sz w:val="32"/>
          <w:szCs w:val="32"/>
          <w:lang w:val="es-ES_tradnl" w:eastAsia="es-ES_tradnl"/>
        </w:rPr>
        <w:tab/>
      </w:r>
      <w:r w:rsidRPr="00163BF5">
        <w:rPr>
          <w:rFonts w:eastAsia="Calibri"/>
          <w:color w:val="000000" w:themeColor="text1"/>
          <w:lang w:val="es-ES_tradnl" w:eastAsia="es-ES_tradnl"/>
        </w:rPr>
        <w:t xml:space="preserve">En el marco normativo ecuatoriano, la desaparición forzada está estipulada en el artículo 84 del COIP: </w:t>
      </w:r>
    </w:p>
    <w:p w14:paraId="5D5F55C3" w14:textId="307BC9C5" w:rsidR="0002107B" w:rsidRPr="00163BF5" w:rsidRDefault="0002107B" w:rsidP="00F92151">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 xml:space="preserve">Art. 84.- Desaparición forzada.- La o el agente del Estado o quien actúe con su consentimiento; o los grupos armados organizados, que por cualquier medio, someta a privación de libertad a una persona, seguida de la falta de información o de la negativa a reconocer dicha privación de libertad o de informar sobre el paradero o destino de una persona, con lo cual se impida el ejercicio de los derechos y garantías constitucionales o legales, será sancionada con pena privativa de libertad de veintidós a veintiséis años. (COIP, 2014, art. 84) </w:t>
      </w:r>
    </w:p>
    <w:p w14:paraId="17F84B15" w14:textId="77777777" w:rsidR="00F92151" w:rsidRPr="00163BF5" w:rsidRDefault="00F92151" w:rsidP="00F92151">
      <w:pPr>
        <w:ind w:left="1440"/>
        <w:jc w:val="both"/>
        <w:rPr>
          <w:rFonts w:eastAsia="Calibri"/>
          <w:color w:val="000000" w:themeColor="text1"/>
          <w:sz w:val="22"/>
          <w:szCs w:val="22"/>
          <w:lang w:val="es-ES_tradnl" w:eastAsia="es-ES_tradnl"/>
        </w:rPr>
      </w:pPr>
    </w:p>
    <w:p w14:paraId="2D69F554" w14:textId="77777777" w:rsidR="0002107B" w:rsidRPr="00163BF5" w:rsidRDefault="0002107B" w:rsidP="0002107B">
      <w:pPr>
        <w:spacing w:line="480" w:lineRule="auto"/>
        <w:jc w:val="both"/>
        <w:rPr>
          <w:rFonts w:eastAsia="Calibri"/>
          <w:color w:val="000000" w:themeColor="text1"/>
          <w:sz w:val="28"/>
          <w:szCs w:val="28"/>
          <w:lang w:val="es-ES_tradnl" w:eastAsia="es-ES_tradnl"/>
        </w:rPr>
      </w:pPr>
      <w:r w:rsidRPr="00163BF5">
        <w:rPr>
          <w:rFonts w:eastAsia="Calibri"/>
          <w:color w:val="000000" w:themeColor="text1"/>
          <w:lang w:val="es-ES_tradnl" w:eastAsia="es-ES_tradnl"/>
        </w:rPr>
        <w:tab/>
        <w:t xml:space="preserve">Por el artículo citado en el párrafo precedente se puede concluir mencionando que la desaparición forzada en el Ecuador es un delito tipificado en el COIP que expresa los tres elementos constitutivos para que la desaparición de una persona sea catalogada como forzada, siguiendo los estándares emitidos por parte de la Corte IDH. </w:t>
      </w:r>
    </w:p>
    <w:p w14:paraId="54F56909" w14:textId="47388D25" w:rsidR="0002107B" w:rsidRPr="00163BF5" w:rsidRDefault="0002107B" w:rsidP="00F24FF8">
      <w:pPr>
        <w:pStyle w:val="Ttulo3"/>
        <w:numPr>
          <w:ilvl w:val="1"/>
          <w:numId w:val="26"/>
        </w:numPr>
        <w:rPr>
          <w:rFonts w:eastAsia="Calibri"/>
          <w:shd w:val="clear" w:color="auto" w:fill="FFFFFF"/>
          <w:lang w:val="es-ES_tradnl" w:eastAsia="es-ES_tradnl"/>
        </w:rPr>
      </w:pPr>
      <w:bookmarkStart w:id="31" w:name="_Toc67513380"/>
      <w:r w:rsidRPr="00163BF5">
        <w:rPr>
          <w:rFonts w:eastAsia="Calibri"/>
          <w:shd w:val="clear" w:color="auto" w:fill="FFFFFF"/>
          <w:lang w:val="es-ES_tradnl" w:eastAsia="es-ES_tradnl"/>
        </w:rPr>
        <w:t>Elementos semejantes y diferentes de la desaparición forzada y desaparición involuntaria</w:t>
      </w:r>
      <w:bookmarkEnd w:id="31"/>
      <w:r w:rsidRPr="00163BF5">
        <w:rPr>
          <w:rFonts w:eastAsia="Calibri"/>
          <w:shd w:val="clear" w:color="auto" w:fill="FFFFFF"/>
          <w:lang w:val="es-ES_tradnl" w:eastAsia="es-ES_tradnl"/>
        </w:rPr>
        <w:t xml:space="preserve"> </w:t>
      </w:r>
    </w:p>
    <w:p w14:paraId="65CB7015" w14:textId="75B06619" w:rsidR="0002107B" w:rsidRPr="00163BF5" w:rsidRDefault="0002107B" w:rsidP="0002107B">
      <w:pPr>
        <w:spacing w:line="480" w:lineRule="auto"/>
        <w:ind w:firstLine="537"/>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 xml:space="preserve">Como se observó en el acápite anterior, la desaparición forzada e involuntaria son dos tipos de desapariciones </w:t>
      </w:r>
      <w:r w:rsidR="00931CA6" w:rsidRPr="00163BF5">
        <w:rPr>
          <w:rFonts w:eastAsia="Calibri"/>
          <w:color w:val="000000" w:themeColor="text1"/>
          <w:shd w:val="clear" w:color="auto" w:fill="FFFFFF"/>
          <w:lang w:val="es-ES_tradnl" w:eastAsia="es-ES_tradnl"/>
        </w:rPr>
        <w:t>diferentes,</w:t>
      </w:r>
      <w:r w:rsidRPr="00163BF5">
        <w:rPr>
          <w:rFonts w:eastAsia="Calibri"/>
          <w:color w:val="000000" w:themeColor="text1"/>
          <w:shd w:val="clear" w:color="auto" w:fill="FFFFFF"/>
          <w:lang w:val="es-ES_tradnl" w:eastAsia="es-ES_tradnl"/>
        </w:rPr>
        <w:t xml:space="preserve"> sin embargo</w:t>
      </w:r>
      <w:r w:rsidR="00E63628" w:rsidRPr="00163BF5">
        <w:rPr>
          <w:rFonts w:eastAsia="Calibri"/>
          <w:color w:val="000000" w:themeColor="text1"/>
          <w:shd w:val="clear" w:color="auto" w:fill="FFFFFF"/>
          <w:lang w:val="es-ES_tradnl" w:eastAsia="es-ES_tradnl"/>
        </w:rPr>
        <w:t xml:space="preserve">, </w:t>
      </w:r>
      <w:r w:rsidRPr="00163BF5">
        <w:rPr>
          <w:rFonts w:eastAsia="Calibri"/>
          <w:color w:val="000000" w:themeColor="text1"/>
          <w:shd w:val="clear" w:color="auto" w:fill="FFFFFF"/>
          <w:lang w:val="es-ES_tradnl" w:eastAsia="es-ES_tradnl"/>
        </w:rPr>
        <w:t xml:space="preserve">por sus elementos similares son confundidas y se señala a la desaparición involuntaria como desaparición forzada. </w:t>
      </w:r>
    </w:p>
    <w:p w14:paraId="4897D276" w14:textId="7043EB2B" w:rsidR="0002107B" w:rsidRPr="00163BF5" w:rsidRDefault="0002107B" w:rsidP="0002107B">
      <w:pPr>
        <w:spacing w:line="480" w:lineRule="auto"/>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ab/>
        <w:t>Es por ello</w:t>
      </w:r>
      <w:r w:rsidR="009025F0" w:rsidRPr="00163BF5">
        <w:rPr>
          <w:rFonts w:eastAsia="Calibri"/>
          <w:color w:val="000000" w:themeColor="text1"/>
          <w:shd w:val="clear" w:color="auto" w:fill="FFFFFF"/>
          <w:lang w:val="es-ES_tradnl" w:eastAsia="es-ES_tradnl"/>
        </w:rPr>
        <w:t xml:space="preserve"> que</w:t>
      </w:r>
      <w:r w:rsidRPr="00163BF5">
        <w:rPr>
          <w:rFonts w:eastAsia="Calibri"/>
          <w:color w:val="000000" w:themeColor="text1"/>
          <w:shd w:val="clear" w:color="auto" w:fill="FFFFFF"/>
          <w:lang w:val="es-ES_tradnl" w:eastAsia="es-ES_tradnl"/>
        </w:rPr>
        <w:t xml:space="preserve"> se va a señalar los elementos semejantes y diferentes con el fin de distinguir y diferenciar ambos tipos de desaparición. Añadiendo que al final de la sección se </w:t>
      </w:r>
      <w:r w:rsidR="00E63628" w:rsidRPr="00163BF5">
        <w:rPr>
          <w:rFonts w:eastAsia="Calibri"/>
          <w:color w:val="000000" w:themeColor="text1"/>
          <w:shd w:val="clear" w:color="auto" w:fill="FFFFFF"/>
          <w:lang w:val="es-ES_tradnl" w:eastAsia="es-ES_tradnl"/>
        </w:rPr>
        <w:t>realizará</w:t>
      </w:r>
      <w:r w:rsidRPr="00163BF5">
        <w:rPr>
          <w:rFonts w:eastAsia="Calibri"/>
          <w:color w:val="000000" w:themeColor="text1"/>
          <w:shd w:val="clear" w:color="auto" w:fill="FFFFFF"/>
          <w:lang w:val="es-ES_tradnl" w:eastAsia="es-ES_tradnl"/>
        </w:rPr>
        <w:t xml:space="preserve"> un cuadro comparativo entre los elementos de ambos tipos de desapariciones.</w:t>
      </w:r>
    </w:p>
    <w:p w14:paraId="0371C3E0" w14:textId="554BE2E7" w:rsidR="0002107B" w:rsidRPr="00163BF5" w:rsidRDefault="0002107B" w:rsidP="00F24FF8">
      <w:pPr>
        <w:pStyle w:val="Ttulo4"/>
        <w:numPr>
          <w:ilvl w:val="2"/>
          <w:numId w:val="27"/>
        </w:numPr>
        <w:rPr>
          <w:rFonts w:ascii="Times New Roman" w:hAnsi="Times New Roman" w:cs="Times New Roman"/>
          <w:color w:val="000000" w:themeColor="text1"/>
          <w:shd w:val="clear" w:color="auto" w:fill="FFFFFF"/>
        </w:rPr>
      </w:pPr>
      <w:bookmarkStart w:id="32" w:name="_Toc67513381"/>
      <w:r w:rsidRPr="00163BF5">
        <w:rPr>
          <w:rFonts w:ascii="Times New Roman" w:hAnsi="Times New Roman" w:cs="Times New Roman"/>
          <w:color w:val="000000" w:themeColor="text1"/>
          <w:shd w:val="clear" w:color="auto" w:fill="FFFFFF"/>
        </w:rPr>
        <w:t>Semejanzas</w:t>
      </w:r>
      <w:bookmarkEnd w:id="32"/>
    </w:p>
    <w:p w14:paraId="3E741508" w14:textId="2A97C52B" w:rsidR="0002107B" w:rsidRPr="00163BF5" w:rsidRDefault="0002107B" w:rsidP="00F24FF8">
      <w:pPr>
        <w:pStyle w:val="Ttulo5"/>
        <w:numPr>
          <w:ilvl w:val="3"/>
          <w:numId w:val="27"/>
        </w:numPr>
        <w:rPr>
          <w:rFonts w:ascii="Times New Roman" w:hAnsi="Times New Roman" w:cs="Times New Roman"/>
          <w:color w:val="000000" w:themeColor="text1"/>
          <w:sz w:val="24"/>
          <w:szCs w:val="24"/>
          <w:shd w:val="clear" w:color="auto" w:fill="FFFFFF"/>
        </w:rPr>
      </w:pPr>
      <w:bookmarkStart w:id="33" w:name="_Toc67513382"/>
      <w:r w:rsidRPr="00163BF5">
        <w:rPr>
          <w:rFonts w:ascii="Times New Roman" w:hAnsi="Times New Roman" w:cs="Times New Roman"/>
          <w:color w:val="000000" w:themeColor="text1"/>
          <w:sz w:val="24"/>
          <w:szCs w:val="24"/>
          <w:shd w:val="clear" w:color="auto" w:fill="FFFFFF"/>
        </w:rPr>
        <w:t>Privación ilegal de la libertad</w:t>
      </w:r>
      <w:bookmarkEnd w:id="33"/>
    </w:p>
    <w:p w14:paraId="0657B7A4" w14:textId="06785E13" w:rsidR="0002107B" w:rsidRPr="00163BF5" w:rsidRDefault="0002107B" w:rsidP="0002107B">
      <w:pPr>
        <w:spacing w:line="480" w:lineRule="auto"/>
        <w:ind w:firstLine="709"/>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La privación de la libertad es la conducta central de la desaparición forzada y de la desaparición involuntaria. Sin embargo, para que est</w:t>
      </w:r>
      <w:r w:rsidR="00E63628" w:rsidRPr="00163BF5">
        <w:rPr>
          <w:rFonts w:eastAsia="Calibri"/>
          <w:color w:val="000000" w:themeColor="text1"/>
          <w:shd w:val="clear" w:color="auto" w:fill="FFFFFF"/>
          <w:lang w:val="es-ES_tradnl" w:eastAsia="es-ES_tradnl"/>
        </w:rPr>
        <w:t xml:space="preserve">é </w:t>
      </w:r>
      <w:r w:rsidRPr="00163BF5">
        <w:rPr>
          <w:rFonts w:eastAsia="Calibri"/>
          <w:color w:val="000000" w:themeColor="text1"/>
          <w:shd w:val="clear" w:color="auto" w:fill="FFFFFF"/>
          <w:lang w:val="es-ES_tradnl" w:eastAsia="es-ES_tradnl"/>
        </w:rPr>
        <w:t xml:space="preserve">configurada es necesario que la detención sea realizada de manera ilegal o arbitraria, ambas contraviniendo a las garantías establecidas en el ordenamiento jurídico interno y la CADH. </w:t>
      </w:r>
    </w:p>
    <w:p w14:paraId="6E2CB8FC" w14:textId="77777777" w:rsidR="0002107B" w:rsidRPr="00163BF5" w:rsidRDefault="0002107B" w:rsidP="0002107B">
      <w:pPr>
        <w:spacing w:line="480" w:lineRule="auto"/>
        <w:ind w:firstLine="708"/>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 xml:space="preserve">El primer caso de la Corte IDH que abarca esta temática es el caso Velásquez Rodríguez Vs. Honduras donde establece que la víctima sufrió una “detención arbitraria, que lo privó de su libertad física sin fundamento en causas legales y sin ser llevado ante un juez o tribunal competente que conociera su detención” (Corte IDH, Caso Velásquez Rodríguez Vs. Honduras, 1989, párr. 196). </w:t>
      </w:r>
    </w:p>
    <w:p w14:paraId="44C19468" w14:textId="59EBD9F8" w:rsidR="0002107B" w:rsidRPr="00163BF5" w:rsidRDefault="0002107B" w:rsidP="0002107B">
      <w:pPr>
        <w:spacing w:line="480" w:lineRule="auto"/>
        <w:ind w:firstLine="708"/>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A partir del caso Velásquez Rodríguez Vs Honduras la jurisprudencia de la Corte IDH ha ido desarrollando lo relativo a la privación de libertad, tanto de manera arbitraria como ilegal</w:t>
      </w:r>
      <w:r w:rsidR="00523543" w:rsidRPr="00163BF5">
        <w:rPr>
          <w:rFonts w:eastAsia="Calibri"/>
          <w:color w:val="000000" w:themeColor="text1"/>
          <w:shd w:val="clear" w:color="auto" w:fill="FFFFFF"/>
          <w:lang w:val="es-ES_tradnl" w:eastAsia="es-ES_tradnl"/>
        </w:rPr>
        <w:t xml:space="preserve"> </w:t>
      </w:r>
      <w:r w:rsidRPr="00163BF5">
        <w:rPr>
          <w:rFonts w:eastAsia="Calibri"/>
          <w:color w:val="000000" w:themeColor="text1"/>
          <w:shd w:val="clear" w:color="auto" w:fill="FFFFFF"/>
          <w:lang w:val="es-ES_tradnl" w:eastAsia="es-ES_tradnl"/>
        </w:rPr>
        <w:t>en sus sentencias posteriores.</w:t>
      </w:r>
      <w:r w:rsidRPr="00163BF5">
        <w:rPr>
          <w:rFonts w:eastAsia="Calibri"/>
          <w:color w:val="000000" w:themeColor="text1"/>
          <w:shd w:val="clear" w:color="auto" w:fill="FFFFFF"/>
          <w:lang w:val="es-ES_tradnl" w:eastAsia="es-ES_tradnl"/>
        </w:rPr>
        <w:tab/>
      </w:r>
    </w:p>
    <w:p w14:paraId="5167332C" w14:textId="77777777" w:rsidR="0002107B" w:rsidRPr="00163BF5" w:rsidRDefault="0002107B" w:rsidP="0002107B">
      <w:pPr>
        <w:spacing w:line="480" w:lineRule="auto"/>
        <w:ind w:firstLine="708"/>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 xml:space="preserve">En el caso </w:t>
      </w:r>
      <w:proofErr w:type="spellStart"/>
      <w:r w:rsidRPr="00163BF5">
        <w:rPr>
          <w:rFonts w:eastAsia="Calibri"/>
          <w:color w:val="000000" w:themeColor="text1"/>
          <w:shd w:val="clear" w:color="auto" w:fill="FFFFFF"/>
          <w:lang w:val="es-ES_tradnl" w:eastAsia="es-ES_tradnl"/>
        </w:rPr>
        <w:t>Gangaram</w:t>
      </w:r>
      <w:proofErr w:type="spellEnd"/>
      <w:r w:rsidRPr="00163BF5">
        <w:rPr>
          <w:rFonts w:eastAsia="Calibri"/>
          <w:color w:val="000000" w:themeColor="text1"/>
          <w:shd w:val="clear" w:color="auto" w:fill="FFFFFF"/>
          <w:lang w:val="es-ES_tradnl" w:eastAsia="es-ES_tradnl"/>
        </w:rPr>
        <w:t xml:space="preserve"> </w:t>
      </w:r>
      <w:proofErr w:type="spellStart"/>
      <w:r w:rsidRPr="00163BF5">
        <w:rPr>
          <w:rFonts w:eastAsia="Calibri"/>
          <w:color w:val="000000" w:themeColor="text1"/>
          <w:shd w:val="clear" w:color="auto" w:fill="FFFFFF"/>
          <w:lang w:val="es-ES_tradnl" w:eastAsia="es-ES_tradnl"/>
        </w:rPr>
        <w:t>Panday</w:t>
      </w:r>
      <w:proofErr w:type="spellEnd"/>
      <w:r w:rsidRPr="00163BF5">
        <w:rPr>
          <w:rFonts w:eastAsia="Calibri"/>
          <w:color w:val="000000" w:themeColor="text1"/>
          <w:shd w:val="clear" w:color="auto" w:fill="FFFFFF"/>
          <w:lang w:val="es-ES_tradnl" w:eastAsia="es-ES_tradnl"/>
        </w:rPr>
        <w:t xml:space="preserve"> Vs. </w:t>
      </w:r>
      <w:proofErr w:type="spellStart"/>
      <w:r w:rsidRPr="00163BF5">
        <w:rPr>
          <w:rFonts w:eastAsia="Calibri"/>
          <w:color w:val="000000" w:themeColor="text1"/>
          <w:shd w:val="clear" w:color="auto" w:fill="FFFFFF"/>
          <w:lang w:val="es-ES_tradnl" w:eastAsia="es-ES_tradnl"/>
        </w:rPr>
        <w:t>Suriname</w:t>
      </w:r>
      <w:proofErr w:type="spellEnd"/>
      <w:r w:rsidRPr="00163BF5">
        <w:rPr>
          <w:rFonts w:eastAsia="Calibri"/>
          <w:color w:val="000000" w:themeColor="text1"/>
          <w:shd w:val="clear" w:color="auto" w:fill="FFFFFF"/>
          <w:lang w:val="es-ES_tradnl" w:eastAsia="es-ES_tradnl"/>
        </w:rPr>
        <w:t xml:space="preserve"> la Corte IDH realiza la distinción entre detención ilegal y detención arbitraria basándose en la prohibición de ambas en de los en los numerales 2 y 3 del artículo 7 de la CADH. Es así como según el tribunal menciona que: </w:t>
      </w:r>
    </w:p>
    <w:p w14:paraId="7F22ED35"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shd w:val="clear" w:color="auto" w:fill="FFFFFF"/>
          <w:lang w:val="es-ES_tradnl" w:eastAsia="es-ES_tradnl"/>
        </w:rPr>
        <w:t xml:space="preserve">[…] </w:t>
      </w:r>
      <w:r w:rsidRPr="00163BF5">
        <w:rPr>
          <w:rFonts w:eastAsia="Calibri"/>
          <w:color w:val="000000" w:themeColor="text1"/>
          <w:sz w:val="22"/>
          <w:szCs w:val="22"/>
          <w:lang w:val="es-ES_tradnl" w:eastAsia="es-ES_tradnl"/>
        </w:rPr>
        <w:t xml:space="preserve">la prohibición de detenciones o arrestos ilegales o arbitrarios, respectivamente. Según el primero de tales supuestos normativos, nadie puede verse privado de la libertad personal sino por las causas, casos o circunstancias expresamente tipificadas en la ley (aspecto material), pero, además, con estricta sujeción a los procedimientos objetivamente definidos por la misma (aspecto formal). En el segundo supuesto, se está en presencia de una condición según la cual nadie puede ser sometido a detención o encarcelamiento por causas y métodos que -aun calificados de legales- puedan reputarse como incompatibles con el respeto a los derechos fundamentales del individuo por ser, entre otras cosas, irrazonables, imprevisibles, o faltos de proporcionalidad. (Corte IDH, caso </w:t>
      </w:r>
      <w:proofErr w:type="spellStart"/>
      <w:r w:rsidRPr="00163BF5">
        <w:rPr>
          <w:rFonts w:eastAsia="Calibri"/>
          <w:color w:val="000000" w:themeColor="text1"/>
          <w:sz w:val="22"/>
          <w:szCs w:val="22"/>
          <w:lang w:val="es-ES_tradnl" w:eastAsia="es-ES_tradnl"/>
        </w:rPr>
        <w:t>Gangaram</w:t>
      </w:r>
      <w:proofErr w:type="spellEnd"/>
      <w:r w:rsidRPr="00163BF5">
        <w:rPr>
          <w:rFonts w:eastAsia="Calibri"/>
          <w:color w:val="000000" w:themeColor="text1"/>
          <w:sz w:val="22"/>
          <w:szCs w:val="22"/>
          <w:lang w:val="es-ES_tradnl" w:eastAsia="es-ES_tradnl"/>
        </w:rPr>
        <w:t xml:space="preserve"> </w:t>
      </w:r>
      <w:proofErr w:type="spellStart"/>
      <w:r w:rsidRPr="00163BF5">
        <w:rPr>
          <w:rFonts w:eastAsia="Calibri"/>
          <w:color w:val="000000" w:themeColor="text1"/>
          <w:sz w:val="22"/>
          <w:szCs w:val="22"/>
          <w:lang w:val="es-ES_tradnl" w:eastAsia="es-ES_tradnl"/>
        </w:rPr>
        <w:t>Panday</w:t>
      </w:r>
      <w:proofErr w:type="spellEnd"/>
      <w:r w:rsidRPr="00163BF5">
        <w:rPr>
          <w:rFonts w:eastAsia="Calibri"/>
          <w:color w:val="000000" w:themeColor="text1"/>
          <w:sz w:val="22"/>
          <w:szCs w:val="22"/>
          <w:lang w:val="es-ES_tradnl" w:eastAsia="es-ES_tradnl"/>
        </w:rPr>
        <w:t xml:space="preserve"> Vs, </w:t>
      </w:r>
      <w:proofErr w:type="spellStart"/>
      <w:r w:rsidRPr="00163BF5">
        <w:rPr>
          <w:rFonts w:eastAsia="Calibri"/>
          <w:color w:val="000000" w:themeColor="text1"/>
          <w:sz w:val="22"/>
          <w:szCs w:val="22"/>
          <w:lang w:val="es-ES_tradnl" w:eastAsia="es-ES_tradnl"/>
        </w:rPr>
        <w:t>Suriname</w:t>
      </w:r>
      <w:proofErr w:type="spellEnd"/>
      <w:r w:rsidRPr="00163BF5">
        <w:rPr>
          <w:rFonts w:eastAsia="Calibri"/>
          <w:color w:val="000000" w:themeColor="text1"/>
          <w:sz w:val="22"/>
          <w:szCs w:val="22"/>
          <w:lang w:val="es-ES_tradnl" w:eastAsia="es-ES_tradnl"/>
        </w:rPr>
        <w:t xml:space="preserve">, 1994, párr. 47) </w:t>
      </w:r>
    </w:p>
    <w:p w14:paraId="79F2FC5E" w14:textId="77777777" w:rsidR="0002107B" w:rsidRPr="00163BF5" w:rsidRDefault="0002107B" w:rsidP="0002107B">
      <w:pPr>
        <w:ind w:left="1440"/>
        <w:jc w:val="both"/>
        <w:rPr>
          <w:rFonts w:eastAsia="Calibri"/>
          <w:color w:val="000000" w:themeColor="text1"/>
          <w:sz w:val="22"/>
          <w:szCs w:val="22"/>
          <w:lang w:val="es-ES_tradnl" w:eastAsia="es-ES_tradnl"/>
        </w:rPr>
      </w:pPr>
    </w:p>
    <w:p w14:paraId="79C89490" w14:textId="77777777"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Añadiendo a lo expuesto sobre la detención ilegal por parte de la Corte IDH en el caso anterior, en el caso Chaparro Álvarez y Lapo Íñiguez Vs Ecuador se ha establecido lo siguiente: </w:t>
      </w:r>
    </w:p>
    <w:p w14:paraId="0D8C5BD0" w14:textId="15755387" w:rsidR="0002107B" w:rsidRPr="00163BF5" w:rsidRDefault="0002107B" w:rsidP="00F92151">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 el principio de tipicidad, que obliga a los Estados a establecer, tan concretamente como sea posible y “de antemano”, las “causas” y “condiciones” de la privación de la libertad física. De este modo, el artículo 7.2 de la Convención remite automáticamente a la normativa interna. Por ello, cualquier requisito establecido en la ley nacional que no sea cumplido al privar a una persona de su libertad, generará que tal privación sea ilegal y contraria a la Convención Americana […]</w:t>
      </w:r>
      <w:r w:rsidR="00523543" w:rsidRPr="00163BF5">
        <w:rPr>
          <w:rFonts w:eastAsia="Calibri"/>
          <w:color w:val="000000" w:themeColor="text1"/>
          <w:sz w:val="22"/>
          <w:szCs w:val="22"/>
          <w:lang w:val="es-ES_tradnl" w:eastAsia="es-ES_tradnl"/>
        </w:rPr>
        <w:t>.</w:t>
      </w:r>
      <w:r w:rsidRPr="00163BF5">
        <w:rPr>
          <w:rFonts w:eastAsia="Calibri"/>
          <w:color w:val="000000" w:themeColor="text1"/>
          <w:sz w:val="22"/>
          <w:szCs w:val="22"/>
          <w:lang w:val="es-ES_tradnl" w:eastAsia="es-ES_tradnl"/>
        </w:rPr>
        <w:t xml:space="preserve"> (Corte IDH, caso Chaparro Álvarez y Lapo Íñiguez Vs. Ecuador, 2007, párr. 57)</w:t>
      </w:r>
    </w:p>
    <w:p w14:paraId="4846C4B7" w14:textId="77777777" w:rsidR="00F92151" w:rsidRPr="00163BF5" w:rsidRDefault="00F92151" w:rsidP="00F92151">
      <w:pPr>
        <w:ind w:left="1440"/>
        <w:jc w:val="both"/>
        <w:rPr>
          <w:rFonts w:eastAsia="Calibri"/>
          <w:color w:val="000000" w:themeColor="text1"/>
          <w:sz w:val="22"/>
          <w:szCs w:val="22"/>
          <w:lang w:val="es-ES_tradnl" w:eastAsia="es-ES_tradnl"/>
        </w:rPr>
      </w:pPr>
    </w:p>
    <w:p w14:paraId="5CAAFE5F" w14:textId="4002619A"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En base a lo estipulado</w:t>
      </w:r>
      <w:r w:rsidR="00E63628" w:rsidRPr="00163BF5">
        <w:rPr>
          <w:rFonts w:eastAsia="Calibri"/>
          <w:color w:val="000000" w:themeColor="text1"/>
          <w:lang w:val="es-ES_tradnl" w:eastAsia="es-ES_tradnl"/>
        </w:rPr>
        <w:t>,</w:t>
      </w:r>
      <w:r w:rsidRPr="00163BF5">
        <w:rPr>
          <w:rFonts w:eastAsia="Calibri"/>
          <w:color w:val="000000" w:themeColor="text1"/>
          <w:lang w:val="es-ES_tradnl" w:eastAsia="es-ES_tradnl"/>
        </w:rPr>
        <w:t xml:space="preserve"> en ambas jurisprudencias de la Corte IDH citadas</w:t>
      </w:r>
      <w:r w:rsidR="009025F0" w:rsidRPr="00163BF5">
        <w:rPr>
          <w:rFonts w:eastAsia="Calibri"/>
          <w:color w:val="000000" w:themeColor="text1"/>
          <w:lang w:val="es-ES_tradnl" w:eastAsia="es-ES_tradnl"/>
        </w:rPr>
        <w:t xml:space="preserve">, </w:t>
      </w:r>
      <w:r w:rsidRPr="00163BF5">
        <w:rPr>
          <w:rFonts w:eastAsia="Calibri"/>
          <w:color w:val="000000" w:themeColor="text1"/>
          <w:lang w:val="es-ES_tradnl" w:eastAsia="es-ES_tradnl"/>
        </w:rPr>
        <w:t xml:space="preserve">se puede definir que la detención ilegal se basa en los supuestos en el que una persona verse privada de libertad solo si las causas, casos o circunstancias se encuentra tipificados en la ley y bajo el procedimiento establecido por la norma. Por otro lado, es considerada detención arbitraria el supuesto en que una persona sea privada de libertad por causas o circunstancias consideradas legales pero que transgreden los derechos fundamentales. </w:t>
      </w:r>
    </w:p>
    <w:p w14:paraId="26ED6B1D" w14:textId="04F321BA"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Por parte de la doctrina, </w:t>
      </w:r>
      <w:proofErr w:type="spellStart"/>
      <w:r w:rsidRPr="00163BF5">
        <w:rPr>
          <w:rFonts w:eastAsia="Calibri"/>
          <w:color w:val="000000" w:themeColor="text1"/>
          <w:shd w:val="clear" w:color="auto" w:fill="FFFFFF"/>
          <w:lang w:val="es-ES_tradnl" w:eastAsia="es-ES_tradnl"/>
        </w:rPr>
        <w:t>Sferrazza</w:t>
      </w:r>
      <w:proofErr w:type="spellEnd"/>
      <w:r w:rsidRPr="00163BF5">
        <w:rPr>
          <w:rFonts w:eastAsia="Calibri"/>
          <w:color w:val="000000" w:themeColor="text1"/>
          <w:shd w:val="clear" w:color="auto" w:fill="FFFFFF"/>
          <w:lang w:val="es-ES_tradnl" w:eastAsia="es-ES_tradnl"/>
        </w:rPr>
        <w:t xml:space="preserve"> (2019) menciona que esta ilegalidad de la privación de la libertad “comprende l</w:t>
      </w:r>
      <w:r w:rsidRPr="00163BF5">
        <w:rPr>
          <w:rFonts w:eastAsia="Calibri"/>
          <w:color w:val="000000" w:themeColor="text1"/>
          <w:lang w:val="es-ES_tradnl" w:eastAsia="es-ES_tradnl"/>
        </w:rPr>
        <w:t>os supuestos en que una persona sufre una afectación de su libertad personal en contravención a normas jurídicas y también los casos en que dicha afectación sea arbitraria, esto es, carente de un fundamento razonable</w:t>
      </w:r>
      <w:r w:rsidRPr="00163BF5">
        <w:rPr>
          <w:rFonts w:eastAsia="Calibri"/>
          <w:color w:val="000000" w:themeColor="text1"/>
          <w:shd w:val="clear" w:color="auto" w:fill="FFFFFF"/>
          <w:lang w:val="es-ES_tradnl" w:eastAsia="es-ES_tradnl"/>
        </w:rPr>
        <w:t xml:space="preserve">” </w:t>
      </w:r>
      <w:r w:rsidR="00651EBA" w:rsidRPr="00163BF5">
        <w:rPr>
          <w:rFonts w:eastAsia="Calibri"/>
          <w:noProof/>
          <w:color w:val="000000" w:themeColor="text1"/>
          <w:shd w:val="clear" w:color="auto" w:fill="FFFFFF"/>
          <w:lang w:eastAsia="es-ES_tradnl"/>
        </w:rPr>
        <w:t>(p. 10)</w:t>
      </w:r>
      <w:r w:rsidRPr="00163BF5">
        <w:rPr>
          <w:rFonts w:eastAsia="Calibri"/>
          <w:color w:val="000000" w:themeColor="text1"/>
          <w:shd w:val="clear" w:color="auto" w:fill="FFFFFF"/>
          <w:lang w:val="es-ES_tradnl" w:eastAsia="es-ES_tradnl"/>
        </w:rPr>
        <w:t>.</w:t>
      </w:r>
    </w:p>
    <w:p w14:paraId="7D3300E3" w14:textId="77777777" w:rsidR="0002107B" w:rsidRPr="00163BF5" w:rsidRDefault="0002107B" w:rsidP="0002107B">
      <w:pPr>
        <w:spacing w:line="480" w:lineRule="auto"/>
        <w:ind w:firstLine="708"/>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 xml:space="preserve">Lo expuesto por </w:t>
      </w:r>
      <w:proofErr w:type="spellStart"/>
      <w:r w:rsidRPr="00163BF5">
        <w:rPr>
          <w:rFonts w:eastAsia="Calibri"/>
          <w:color w:val="000000" w:themeColor="text1"/>
          <w:shd w:val="clear" w:color="auto" w:fill="FFFFFF"/>
          <w:lang w:val="es-ES_tradnl" w:eastAsia="es-ES_tradnl"/>
        </w:rPr>
        <w:t>Sferrazza</w:t>
      </w:r>
      <w:proofErr w:type="spellEnd"/>
      <w:r w:rsidRPr="00163BF5">
        <w:rPr>
          <w:rFonts w:eastAsia="Calibri"/>
          <w:color w:val="000000" w:themeColor="text1"/>
          <w:shd w:val="clear" w:color="auto" w:fill="FFFFFF"/>
          <w:lang w:val="es-ES_tradnl" w:eastAsia="es-ES_tradnl"/>
        </w:rPr>
        <w:t xml:space="preserve"> se resume en que la privación de la libertad es realizada sin un sustento jurídico y en casos es realizada de manera arbitraria, todo contraviniendo con las garantías mínimas del sistema jurídico y los derechos fundamentales.</w:t>
      </w:r>
    </w:p>
    <w:p w14:paraId="43C6F01B" w14:textId="51123044" w:rsidR="00F24FF8" w:rsidRPr="00163BF5" w:rsidRDefault="0002107B" w:rsidP="009F112D">
      <w:pPr>
        <w:spacing w:line="480" w:lineRule="auto"/>
        <w:ind w:firstLine="709"/>
        <w:jc w:val="both"/>
        <w:rPr>
          <w:rFonts w:eastAsia="Calibri"/>
          <w:color w:val="000000" w:themeColor="text1"/>
          <w:shd w:val="clear" w:color="auto" w:fill="FFFFFF"/>
          <w:lang w:val="es-ES_tradnl" w:eastAsia="es-ES_tradnl"/>
        </w:rPr>
      </w:pPr>
      <w:r w:rsidRPr="00163BF5">
        <w:rPr>
          <w:rFonts w:eastAsia="Calibri"/>
          <w:color w:val="000000" w:themeColor="text1"/>
          <w:shd w:val="clear" w:color="auto" w:fill="FFFFFF"/>
          <w:lang w:val="es-ES_tradnl" w:eastAsia="es-ES_tradnl"/>
        </w:rPr>
        <w:t>En cuanto a la temporalidad para que la privación de la libertad sea considerada ilegal, la Comisión de Derechos Humanos en su “informe sobre los derechos civiles y políticos, en particular la cuestión relacionada con las desapariciones forzadas o involuntarias.” Establece que por general la ilegalidad ocurre al en que se realiza la privación de la libertad, pero esto no excluye la existencia de casos en los que la privación de libertad en su inicio es legal, pero posteriormente se vuelve ilegal, esto ocurre cuando se realiza el ocultamiento o negación de información de la persona privada de libertad</w:t>
      </w:r>
      <w:sdt>
        <w:sdtPr>
          <w:rPr>
            <w:rFonts w:eastAsia="Calibri"/>
            <w:color w:val="000000" w:themeColor="text1"/>
            <w:shd w:val="clear" w:color="auto" w:fill="FFFFFF"/>
            <w:lang w:val="es-ES_tradnl" w:eastAsia="es-ES_tradnl"/>
          </w:rPr>
          <w:id w:val="-530582337"/>
          <w:citation/>
        </w:sdtPr>
        <w:sdtEndPr/>
        <w:sdtContent>
          <w:r w:rsidRPr="00163BF5">
            <w:rPr>
              <w:rFonts w:eastAsia="Calibri"/>
              <w:color w:val="000000" w:themeColor="text1"/>
              <w:shd w:val="clear" w:color="auto" w:fill="FFFFFF"/>
              <w:lang w:val="es-ES_tradnl" w:eastAsia="es-ES_tradnl"/>
            </w:rPr>
            <w:fldChar w:fldCharType="begin"/>
          </w:r>
          <w:r w:rsidRPr="00163BF5">
            <w:rPr>
              <w:rFonts w:eastAsia="Calibri"/>
              <w:color w:val="000000" w:themeColor="text1"/>
              <w:shd w:val="clear" w:color="auto" w:fill="FFFFFF"/>
              <w:lang w:eastAsia="es-ES_tradnl"/>
            </w:rPr>
            <w:instrText xml:space="preserve"> CITATION Com03 \l 12298 </w:instrText>
          </w:r>
          <w:r w:rsidRPr="00163BF5">
            <w:rPr>
              <w:rFonts w:eastAsia="Calibri"/>
              <w:color w:val="000000" w:themeColor="text1"/>
              <w:shd w:val="clear" w:color="auto" w:fill="FFFFFF"/>
              <w:lang w:val="es-ES_tradnl" w:eastAsia="es-ES_tradnl"/>
            </w:rPr>
            <w:fldChar w:fldCharType="separate"/>
          </w:r>
          <w:r w:rsidR="00282214" w:rsidRPr="00163BF5">
            <w:rPr>
              <w:rFonts w:eastAsia="Calibri"/>
              <w:noProof/>
              <w:color w:val="000000" w:themeColor="text1"/>
              <w:shd w:val="clear" w:color="auto" w:fill="FFFFFF"/>
              <w:lang w:eastAsia="es-ES_tradnl"/>
            </w:rPr>
            <w:t xml:space="preserve"> (Comisión de Derechos Humanos, 2003)</w:t>
          </w:r>
          <w:r w:rsidRPr="00163BF5">
            <w:rPr>
              <w:rFonts w:eastAsia="Calibri"/>
              <w:color w:val="000000" w:themeColor="text1"/>
              <w:shd w:val="clear" w:color="auto" w:fill="FFFFFF"/>
              <w:lang w:val="es-ES_tradnl" w:eastAsia="es-ES_tradnl"/>
            </w:rPr>
            <w:fldChar w:fldCharType="end"/>
          </w:r>
        </w:sdtContent>
      </w:sdt>
      <w:r w:rsidR="00523543" w:rsidRPr="00163BF5">
        <w:rPr>
          <w:rFonts w:eastAsia="Calibri"/>
          <w:color w:val="000000" w:themeColor="text1"/>
          <w:shd w:val="clear" w:color="auto" w:fill="FFFFFF"/>
          <w:lang w:val="es-ES_tradnl" w:eastAsia="es-ES_tradnl"/>
        </w:rPr>
        <w:t>.</w:t>
      </w:r>
    </w:p>
    <w:p w14:paraId="68DE1173" w14:textId="0BAFECAB" w:rsidR="0002107B" w:rsidRPr="00163BF5" w:rsidRDefault="0002107B" w:rsidP="00F24FF8">
      <w:pPr>
        <w:pStyle w:val="Ttulo5"/>
        <w:numPr>
          <w:ilvl w:val="3"/>
          <w:numId w:val="27"/>
        </w:numPr>
        <w:rPr>
          <w:rFonts w:ascii="Times New Roman" w:hAnsi="Times New Roman" w:cs="Times New Roman"/>
          <w:color w:val="000000" w:themeColor="text1"/>
          <w:sz w:val="24"/>
          <w:szCs w:val="24"/>
        </w:rPr>
      </w:pPr>
      <w:bookmarkStart w:id="34" w:name="_Toc67513383"/>
      <w:r w:rsidRPr="00163BF5">
        <w:rPr>
          <w:rFonts w:ascii="Times New Roman" w:hAnsi="Times New Roman" w:cs="Times New Roman"/>
          <w:color w:val="000000" w:themeColor="text1"/>
          <w:sz w:val="24"/>
          <w:szCs w:val="24"/>
        </w:rPr>
        <w:t>La denegación de información.</w:t>
      </w:r>
      <w:bookmarkEnd w:id="34"/>
    </w:p>
    <w:p w14:paraId="2A50659C" w14:textId="77777777"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Al igual que el elemento anterior, la negativa de reconocer la detención, paradero o denegar información sobre la víctima, es parte tanto de la desaparición involuntaria como de la desaparición forzada. </w:t>
      </w:r>
    </w:p>
    <w:p w14:paraId="6956DCAC" w14:textId="1D8D8E0F"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Este elemento es esencial en ambos tipos de desaparición, dado que permite diferenciar la desaparición involuntaria y desaparición forzada de otros tipos penales</w:t>
      </w:r>
      <w:r w:rsidR="00E63628" w:rsidRPr="00163BF5">
        <w:rPr>
          <w:rFonts w:eastAsia="Calibri"/>
          <w:color w:val="000000" w:themeColor="text1"/>
          <w:lang w:val="es-ES_tradnl" w:eastAsia="es-ES_tradnl"/>
        </w:rPr>
        <w:t xml:space="preserve">, </w:t>
      </w:r>
      <w:r w:rsidRPr="00163BF5">
        <w:rPr>
          <w:rFonts w:eastAsia="Calibri"/>
          <w:color w:val="000000" w:themeColor="text1"/>
          <w:lang w:val="es-ES_tradnl" w:eastAsia="es-ES_tradnl"/>
        </w:rPr>
        <w:t xml:space="preserve">como el secuestro y la ejecución extrajudicial. </w:t>
      </w:r>
    </w:p>
    <w:p w14:paraId="445CABDE" w14:textId="77777777"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Es preciso señalar que la denegación de información vulnera derechos tanto de la víctima directa (persona desaparecida) como de las víctimas indirectas (familiares).</w:t>
      </w:r>
    </w:p>
    <w:p w14:paraId="323A4761" w14:textId="7AD5E8D8"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Es menester mencionar </w:t>
      </w:r>
      <w:r w:rsidR="00E63628" w:rsidRPr="00163BF5">
        <w:rPr>
          <w:rFonts w:eastAsia="Calibri"/>
          <w:color w:val="000000" w:themeColor="text1"/>
          <w:lang w:val="es-ES_tradnl" w:eastAsia="es-ES_tradnl"/>
        </w:rPr>
        <w:t xml:space="preserve">también </w:t>
      </w:r>
      <w:r w:rsidRPr="00163BF5">
        <w:rPr>
          <w:rFonts w:eastAsia="Calibri"/>
          <w:color w:val="000000" w:themeColor="text1"/>
          <w:lang w:val="es-ES_tradnl" w:eastAsia="es-ES_tradnl"/>
        </w:rPr>
        <w:t xml:space="preserve">que esta denegación de información es cronológicamente posterior a la privación de la libertad </w:t>
      </w:r>
      <w:sdt>
        <w:sdtPr>
          <w:rPr>
            <w:rFonts w:eastAsia="Calibri"/>
            <w:color w:val="000000" w:themeColor="text1"/>
            <w:lang w:val="es-ES_tradnl" w:eastAsia="es-ES_tradnl"/>
          </w:rPr>
          <w:id w:val="-1016544705"/>
          <w:citation/>
        </w:sdtPr>
        <w:sdtEndPr/>
        <w:sdtContent>
          <w:r w:rsidRPr="00163BF5">
            <w:rPr>
              <w:rFonts w:eastAsia="Calibri"/>
              <w:color w:val="000000" w:themeColor="text1"/>
              <w:lang w:val="es-ES_tradnl" w:eastAsia="es-ES_tradnl"/>
            </w:rPr>
            <w:fldChar w:fldCharType="begin"/>
          </w:r>
          <w:r w:rsidRPr="00163BF5">
            <w:rPr>
              <w:rFonts w:eastAsia="Calibri"/>
              <w:color w:val="000000" w:themeColor="text1"/>
              <w:lang w:eastAsia="es-ES_tradnl"/>
            </w:rPr>
            <w:instrText xml:space="preserve"> CITATION Sfe19 \l 12298 </w:instrText>
          </w:r>
          <w:r w:rsidRPr="00163BF5">
            <w:rPr>
              <w:rFonts w:eastAsia="Calibri"/>
              <w:color w:val="000000" w:themeColor="text1"/>
              <w:lang w:val="es-ES_tradnl" w:eastAsia="es-ES_tradnl"/>
            </w:rPr>
            <w:fldChar w:fldCharType="separate"/>
          </w:r>
          <w:r w:rsidR="00282214" w:rsidRPr="00163BF5">
            <w:rPr>
              <w:rFonts w:eastAsia="Calibri"/>
              <w:noProof/>
              <w:color w:val="000000" w:themeColor="text1"/>
              <w:lang w:eastAsia="es-ES_tradnl"/>
            </w:rPr>
            <w:t>(Sferrazza, 2019)</w:t>
          </w:r>
          <w:r w:rsidRPr="00163BF5">
            <w:rPr>
              <w:rFonts w:eastAsia="Calibri"/>
              <w:color w:val="000000" w:themeColor="text1"/>
              <w:lang w:val="es-ES_tradnl" w:eastAsia="es-ES_tradnl"/>
            </w:rPr>
            <w:fldChar w:fldCharType="end"/>
          </w:r>
        </w:sdtContent>
      </w:sdt>
      <w:r w:rsidRPr="00163BF5">
        <w:rPr>
          <w:rFonts w:eastAsia="Calibri"/>
          <w:color w:val="000000" w:themeColor="text1"/>
          <w:lang w:val="es-ES_tradnl" w:eastAsia="es-ES_tradnl"/>
        </w:rPr>
        <w:t xml:space="preserve">. Sin embargo, existen casos en los que es posible que la privación de la libertad se realice con el fin de ocultar el paradero de la víctima. </w:t>
      </w:r>
    </w:p>
    <w:p w14:paraId="00D12504" w14:textId="2D804FCF"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En lo referente a </w:t>
      </w:r>
      <w:r w:rsidR="00AE14F4" w:rsidRPr="00163BF5">
        <w:rPr>
          <w:rFonts w:eastAsia="Calibri"/>
          <w:color w:val="000000" w:themeColor="text1"/>
          <w:lang w:val="es-ES_tradnl" w:eastAsia="es-ES_tradnl"/>
        </w:rPr>
        <w:t>cuál</w:t>
      </w:r>
      <w:r w:rsidRPr="00163BF5">
        <w:rPr>
          <w:rFonts w:eastAsia="Calibri"/>
          <w:color w:val="000000" w:themeColor="text1"/>
          <w:lang w:val="es-ES_tradnl" w:eastAsia="es-ES_tradnl"/>
        </w:rPr>
        <w:t xml:space="preserve"> es el contenido exacto de la información que debe ser proporcionado a los interesados, distintas definiciones internacionales, entre ellas la Asociación para la Prevención de la Tortura (2006) “exigen que se proporcione información sobre el hecho mismo de la privación de libertad, el destino y el paradero de la persona desaparecida” (citado por </w:t>
      </w:r>
      <w:proofErr w:type="spellStart"/>
      <w:r w:rsidRPr="00163BF5">
        <w:rPr>
          <w:rFonts w:eastAsia="Calibri"/>
          <w:color w:val="000000" w:themeColor="text1"/>
          <w:lang w:val="es-ES_tradnl" w:eastAsia="es-ES_tradnl"/>
        </w:rPr>
        <w:t>Sferrazza</w:t>
      </w:r>
      <w:proofErr w:type="spellEnd"/>
      <w:r w:rsidRPr="00163BF5">
        <w:rPr>
          <w:rFonts w:eastAsia="Calibri"/>
          <w:color w:val="000000" w:themeColor="text1"/>
          <w:lang w:val="es-ES_tradnl" w:eastAsia="es-ES_tradnl"/>
        </w:rPr>
        <w:t xml:space="preserve">, 2019, </w:t>
      </w:r>
      <w:r w:rsidR="00931CA6" w:rsidRPr="00163BF5">
        <w:rPr>
          <w:rFonts w:eastAsia="Calibri"/>
          <w:color w:val="000000" w:themeColor="text1"/>
          <w:lang w:val="es-ES_tradnl" w:eastAsia="es-ES_tradnl"/>
        </w:rPr>
        <w:t xml:space="preserve">p. </w:t>
      </w:r>
      <w:r w:rsidRPr="00163BF5">
        <w:rPr>
          <w:rFonts w:eastAsia="Calibri"/>
          <w:color w:val="000000" w:themeColor="text1"/>
          <w:lang w:val="es-ES_tradnl" w:eastAsia="es-ES_tradnl"/>
        </w:rPr>
        <w:t xml:space="preserve">142). Es decir, la autoridad competente, en caso de la desaparición forzada, o la persona que supuestamente comete la desaparición involuntaria, deben aclarar si la persona ha sido privada de la libertad e indicar su paradero. </w:t>
      </w:r>
    </w:p>
    <w:p w14:paraId="7285B695" w14:textId="1E626796" w:rsidR="0002107B" w:rsidRPr="00163BF5" w:rsidRDefault="0002107B" w:rsidP="0002107B">
      <w:pPr>
        <w:spacing w:line="480" w:lineRule="auto"/>
        <w:ind w:firstLine="708"/>
        <w:jc w:val="both"/>
        <w:rPr>
          <w:rFonts w:eastAsia="Calibri"/>
          <w:noProof/>
          <w:color w:val="000000" w:themeColor="text1"/>
          <w:lang w:eastAsia="es-ES_tradnl"/>
        </w:rPr>
      </w:pPr>
      <w:r w:rsidRPr="00163BF5">
        <w:rPr>
          <w:rFonts w:eastAsia="Calibri"/>
          <w:color w:val="000000" w:themeColor="text1"/>
          <w:lang w:val="es-ES_tradnl" w:eastAsia="es-ES_tradnl"/>
        </w:rPr>
        <w:t xml:space="preserve">Es de suma importancia señalar el nexo que existe entre la denegación de información y el carácter permanente de la desaparición forzada y desaparición involuntaria. Dado que ambos son ilícitos se siguen cometiendo hasta que exista información sobre el paradero o destino de la persona desaparecida </w:t>
      </w:r>
      <w:r w:rsidRPr="00163BF5">
        <w:rPr>
          <w:rFonts w:eastAsia="Calibri"/>
          <w:noProof/>
          <w:color w:val="000000" w:themeColor="text1"/>
          <w:lang w:eastAsia="es-ES_tradnl"/>
        </w:rPr>
        <w:t>(Ambos</w:t>
      </w:r>
      <w:r w:rsidR="00EC7B7B" w:rsidRPr="00163BF5">
        <w:rPr>
          <w:rFonts w:eastAsia="Calibri"/>
          <w:noProof/>
          <w:color w:val="000000" w:themeColor="text1"/>
          <w:lang w:eastAsia="es-ES_tradnl"/>
        </w:rPr>
        <w:t xml:space="preserve"> </w:t>
      </w:r>
      <w:r w:rsidR="00374E84" w:rsidRPr="00163BF5">
        <w:rPr>
          <w:rFonts w:eastAsia="Calibri"/>
          <w:noProof/>
          <w:color w:val="000000" w:themeColor="text1"/>
          <w:lang w:eastAsia="es-ES_tradnl"/>
        </w:rPr>
        <w:t xml:space="preserve"> y </w:t>
      </w:r>
      <w:r w:rsidRPr="00163BF5">
        <w:rPr>
          <w:rFonts w:eastAsia="Calibri"/>
          <w:noProof/>
          <w:color w:val="000000" w:themeColor="text1"/>
          <w:lang w:eastAsia="es-ES_tradnl"/>
        </w:rPr>
        <w:t>Bohm, 2009)</w:t>
      </w:r>
      <w:r w:rsidR="00523543" w:rsidRPr="00163BF5">
        <w:rPr>
          <w:rFonts w:eastAsia="Calibri"/>
          <w:noProof/>
          <w:color w:val="000000" w:themeColor="text1"/>
          <w:lang w:eastAsia="es-ES_tradnl"/>
        </w:rPr>
        <w:t>.</w:t>
      </w:r>
    </w:p>
    <w:p w14:paraId="0EBA71D0" w14:textId="402CBA03"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Es decir, la desaparición se prolonga hasta que la persona desaparecida aparece</w:t>
      </w:r>
      <w:r w:rsidR="00E63628" w:rsidRPr="00163BF5">
        <w:rPr>
          <w:rFonts w:eastAsia="Calibri"/>
          <w:color w:val="000000" w:themeColor="text1"/>
          <w:lang w:val="es-ES_tradnl" w:eastAsia="es-ES_tradnl"/>
        </w:rPr>
        <w:t xml:space="preserve">, </w:t>
      </w:r>
      <w:r w:rsidRPr="00163BF5">
        <w:rPr>
          <w:rFonts w:eastAsia="Calibri"/>
          <w:color w:val="000000" w:themeColor="text1"/>
          <w:lang w:val="es-ES_tradnl" w:eastAsia="es-ES_tradnl"/>
        </w:rPr>
        <w:t>o cuando se encuentran sus restos mortales</w:t>
      </w:r>
      <w:r w:rsidR="00E63628" w:rsidRPr="00163BF5">
        <w:rPr>
          <w:rFonts w:eastAsia="Calibri"/>
          <w:color w:val="000000" w:themeColor="text1"/>
          <w:lang w:val="es-ES_tradnl" w:eastAsia="es-ES_tradnl"/>
        </w:rPr>
        <w:t>,</w:t>
      </w:r>
      <w:r w:rsidRPr="00163BF5">
        <w:rPr>
          <w:rFonts w:eastAsia="Calibri"/>
          <w:color w:val="000000" w:themeColor="text1"/>
          <w:lang w:val="es-ES_tradnl" w:eastAsia="es-ES_tradnl"/>
        </w:rPr>
        <w:t xml:space="preserve"> en caso de que la persona haya fallecido</w:t>
      </w:r>
      <w:r w:rsidR="00523543" w:rsidRPr="00163BF5">
        <w:rPr>
          <w:rFonts w:eastAsia="Calibri"/>
          <w:color w:val="000000" w:themeColor="text1"/>
          <w:lang w:val="es-ES_tradnl" w:eastAsia="es-ES_tradnl"/>
        </w:rPr>
        <w:t>.</w:t>
      </w:r>
    </w:p>
    <w:p w14:paraId="21ACE4FF" w14:textId="301D94C5" w:rsidR="0002107B" w:rsidRPr="00163BF5" w:rsidRDefault="0002107B" w:rsidP="0002107B">
      <w:pPr>
        <w:spacing w:line="480" w:lineRule="auto"/>
        <w:ind w:firstLine="708"/>
        <w:jc w:val="both"/>
        <w:rPr>
          <w:rFonts w:eastAsia="Calibri"/>
          <w:color w:val="000000" w:themeColor="text1"/>
          <w:shd w:val="clear" w:color="auto" w:fill="FFFFFF"/>
          <w:lang w:val="es-ES_tradnl" w:eastAsia="es-ES_tradnl"/>
        </w:rPr>
      </w:pPr>
      <w:r w:rsidRPr="00163BF5">
        <w:rPr>
          <w:rFonts w:eastAsia="Calibri"/>
          <w:color w:val="000000" w:themeColor="text1"/>
          <w:lang w:val="es-ES_tradnl" w:eastAsia="es-ES_tradnl"/>
        </w:rPr>
        <w:t xml:space="preserve">En lo referente a la desaparición forzada, en base al artículo 18 numeral primero de la </w:t>
      </w:r>
      <w:r w:rsidRPr="00163BF5">
        <w:rPr>
          <w:rFonts w:eastAsia="Calibri"/>
          <w:color w:val="000000" w:themeColor="text1"/>
          <w:shd w:val="clear" w:color="auto" w:fill="FFFFFF"/>
          <w:lang w:val="es-ES_tradnl" w:eastAsia="es-ES_tradnl"/>
        </w:rPr>
        <w:t xml:space="preserve">Convención Internacional para la Protección de todas las Personas Contra las Desapariciones Forzadas que establece: </w:t>
      </w:r>
    </w:p>
    <w:p w14:paraId="00D9D977" w14:textId="77777777" w:rsidR="0002107B" w:rsidRPr="00163BF5" w:rsidRDefault="0002107B" w:rsidP="0002107B">
      <w:pPr>
        <w:shd w:val="clear" w:color="auto" w:fill="FFFFFF"/>
        <w:spacing w:after="150"/>
        <w:ind w:left="1440"/>
        <w:jc w:val="both"/>
        <w:rPr>
          <w:color w:val="000000" w:themeColor="text1"/>
          <w:sz w:val="22"/>
          <w:szCs w:val="22"/>
          <w:lang w:eastAsia="es-EC"/>
        </w:rPr>
      </w:pPr>
      <w:r w:rsidRPr="00163BF5">
        <w:rPr>
          <w:color w:val="000000" w:themeColor="text1"/>
          <w:sz w:val="22"/>
          <w:szCs w:val="22"/>
          <w:lang w:eastAsia="es-EC"/>
        </w:rPr>
        <w:t>1. Sin perjuicio de los artículos 19 y 20, cada Estado Parte garantizará a toda persona con un interés legítimo en esa información, por ejemplo, los allegados de la persona privada de libertad, su representante o abogado, el acceso, como mínimo, a las informaciones siguientes:</w:t>
      </w:r>
    </w:p>
    <w:p w14:paraId="40786101" w14:textId="77777777" w:rsidR="0002107B" w:rsidRPr="00163BF5" w:rsidRDefault="0002107B" w:rsidP="0002107B">
      <w:pPr>
        <w:shd w:val="clear" w:color="auto" w:fill="FFFFFF"/>
        <w:spacing w:after="150"/>
        <w:ind w:left="1440"/>
        <w:jc w:val="both"/>
        <w:rPr>
          <w:color w:val="000000" w:themeColor="text1"/>
          <w:sz w:val="22"/>
          <w:szCs w:val="22"/>
          <w:lang w:eastAsia="es-EC"/>
        </w:rPr>
      </w:pPr>
      <w:r w:rsidRPr="00163BF5">
        <w:rPr>
          <w:i/>
          <w:iCs/>
          <w:color w:val="000000" w:themeColor="text1"/>
          <w:sz w:val="22"/>
          <w:szCs w:val="22"/>
          <w:lang w:eastAsia="es-EC"/>
        </w:rPr>
        <w:t>a)</w:t>
      </w:r>
      <w:r w:rsidRPr="00163BF5">
        <w:rPr>
          <w:color w:val="000000" w:themeColor="text1"/>
          <w:sz w:val="22"/>
          <w:szCs w:val="22"/>
          <w:lang w:eastAsia="es-EC"/>
        </w:rPr>
        <w:t xml:space="preserve"> La autoridad que decidió la privación de libertad;</w:t>
      </w:r>
    </w:p>
    <w:p w14:paraId="652E34BC" w14:textId="77777777" w:rsidR="0002107B" w:rsidRPr="00163BF5" w:rsidRDefault="0002107B" w:rsidP="0002107B">
      <w:pPr>
        <w:shd w:val="clear" w:color="auto" w:fill="FFFFFF"/>
        <w:spacing w:after="150"/>
        <w:ind w:left="1440"/>
        <w:jc w:val="both"/>
        <w:rPr>
          <w:color w:val="000000" w:themeColor="text1"/>
          <w:sz w:val="22"/>
          <w:szCs w:val="22"/>
          <w:lang w:eastAsia="es-EC"/>
        </w:rPr>
      </w:pPr>
      <w:r w:rsidRPr="00163BF5">
        <w:rPr>
          <w:i/>
          <w:iCs/>
          <w:color w:val="000000" w:themeColor="text1"/>
          <w:sz w:val="22"/>
          <w:szCs w:val="22"/>
          <w:lang w:eastAsia="es-EC"/>
        </w:rPr>
        <w:t>b)</w:t>
      </w:r>
      <w:r w:rsidRPr="00163BF5">
        <w:rPr>
          <w:color w:val="000000" w:themeColor="text1"/>
          <w:sz w:val="22"/>
          <w:szCs w:val="22"/>
          <w:lang w:eastAsia="es-EC"/>
        </w:rPr>
        <w:t xml:space="preserve"> La fecha, la hora y el lugar en que la persona fue privada de libertad y admitida en un lugar de privación de libertad;</w:t>
      </w:r>
    </w:p>
    <w:p w14:paraId="38A9FFA4" w14:textId="77777777" w:rsidR="0002107B" w:rsidRPr="00163BF5" w:rsidRDefault="0002107B" w:rsidP="0002107B">
      <w:pPr>
        <w:shd w:val="clear" w:color="auto" w:fill="FFFFFF"/>
        <w:spacing w:after="150"/>
        <w:ind w:left="1440"/>
        <w:jc w:val="both"/>
        <w:rPr>
          <w:color w:val="000000" w:themeColor="text1"/>
          <w:sz w:val="22"/>
          <w:szCs w:val="22"/>
          <w:lang w:eastAsia="es-EC"/>
        </w:rPr>
      </w:pPr>
      <w:r w:rsidRPr="00163BF5">
        <w:rPr>
          <w:i/>
          <w:iCs/>
          <w:color w:val="000000" w:themeColor="text1"/>
          <w:sz w:val="22"/>
          <w:szCs w:val="22"/>
          <w:lang w:eastAsia="es-EC"/>
        </w:rPr>
        <w:t>c)</w:t>
      </w:r>
      <w:r w:rsidRPr="00163BF5">
        <w:rPr>
          <w:color w:val="000000" w:themeColor="text1"/>
          <w:sz w:val="22"/>
          <w:szCs w:val="22"/>
          <w:lang w:eastAsia="es-EC"/>
        </w:rPr>
        <w:t xml:space="preserve"> La autoridad que controla la privación de libertad;</w:t>
      </w:r>
    </w:p>
    <w:p w14:paraId="6CC10D45" w14:textId="77777777" w:rsidR="0002107B" w:rsidRPr="00163BF5" w:rsidRDefault="0002107B" w:rsidP="0002107B">
      <w:pPr>
        <w:shd w:val="clear" w:color="auto" w:fill="FFFFFF"/>
        <w:spacing w:after="150"/>
        <w:ind w:left="1440"/>
        <w:jc w:val="both"/>
        <w:rPr>
          <w:color w:val="000000" w:themeColor="text1"/>
          <w:sz w:val="22"/>
          <w:szCs w:val="22"/>
          <w:lang w:eastAsia="es-EC"/>
        </w:rPr>
      </w:pPr>
      <w:r w:rsidRPr="00163BF5">
        <w:rPr>
          <w:i/>
          <w:iCs/>
          <w:color w:val="000000" w:themeColor="text1"/>
          <w:sz w:val="22"/>
          <w:szCs w:val="22"/>
          <w:lang w:eastAsia="es-EC"/>
        </w:rPr>
        <w:t>d)</w:t>
      </w:r>
      <w:r w:rsidRPr="00163BF5">
        <w:rPr>
          <w:color w:val="000000" w:themeColor="text1"/>
          <w:sz w:val="22"/>
          <w:szCs w:val="22"/>
          <w:lang w:eastAsia="es-EC"/>
        </w:rPr>
        <w:t xml:space="preserve"> El lugar donde se encuentra la persona privada de libertad y, en caso de traslado hacia otro lugar de privación de libertad, el destino y la autoridad responsable del traslado;</w:t>
      </w:r>
    </w:p>
    <w:p w14:paraId="4526EFFA" w14:textId="77777777" w:rsidR="0002107B" w:rsidRPr="00163BF5" w:rsidRDefault="0002107B" w:rsidP="0002107B">
      <w:pPr>
        <w:shd w:val="clear" w:color="auto" w:fill="FFFFFF"/>
        <w:spacing w:after="150"/>
        <w:ind w:left="1440"/>
        <w:jc w:val="both"/>
        <w:rPr>
          <w:color w:val="000000" w:themeColor="text1"/>
          <w:sz w:val="22"/>
          <w:szCs w:val="22"/>
          <w:lang w:eastAsia="es-EC"/>
        </w:rPr>
      </w:pPr>
      <w:r w:rsidRPr="00163BF5">
        <w:rPr>
          <w:i/>
          <w:iCs/>
          <w:color w:val="000000" w:themeColor="text1"/>
          <w:sz w:val="22"/>
          <w:szCs w:val="22"/>
          <w:lang w:eastAsia="es-EC"/>
        </w:rPr>
        <w:t>e)</w:t>
      </w:r>
      <w:r w:rsidRPr="00163BF5">
        <w:rPr>
          <w:color w:val="000000" w:themeColor="text1"/>
          <w:sz w:val="22"/>
          <w:szCs w:val="22"/>
          <w:lang w:eastAsia="es-EC"/>
        </w:rPr>
        <w:t xml:space="preserve"> La fecha, la hora y el lugar de la liberación;</w:t>
      </w:r>
    </w:p>
    <w:p w14:paraId="01D1107B" w14:textId="77777777" w:rsidR="0002107B" w:rsidRPr="00163BF5" w:rsidRDefault="0002107B" w:rsidP="0002107B">
      <w:pPr>
        <w:shd w:val="clear" w:color="auto" w:fill="FFFFFF"/>
        <w:spacing w:after="150"/>
        <w:ind w:left="1440"/>
        <w:jc w:val="both"/>
        <w:rPr>
          <w:color w:val="000000" w:themeColor="text1"/>
          <w:sz w:val="22"/>
          <w:szCs w:val="22"/>
          <w:lang w:eastAsia="es-EC"/>
        </w:rPr>
      </w:pPr>
      <w:r w:rsidRPr="00163BF5">
        <w:rPr>
          <w:i/>
          <w:iCs/>
          <w:color w:val="000000" w:themeColor="text1"/>
          <w:sz w:val="22"/>
          <w:szCs w:val="22"/>
          <w:lang w:eastAsia="es-EC"/>
        </w:rPr>
        <w:t>f)</w:t>
      </w:r>
      <w:r w:rsidRPr="00163BF5">
        <w:rPr>
          <w:color w:val="000000" w:themeColor="text1"/>
          <w:sz w:val="22"/>
          <w:szCs w:val="22"/>
          <w:lang w:eastAsia="es-EC"/>
        </w:rPr>
        <w:t xml:space="preserve"> Los elementos relativos al estado de salud de la persona privada de libertad;</w:t>
      </w:r>
    </w:p>
    <w:p w14:paraId="4C71FD2C" w14:textId="77777777" w:rsidR="0002107B" w:rsidRPr="00163BF5" w:rsidRDefault="0002107B" w:rsidP="0002107B">
      <w:pPr>
        <w:shd w:val="clear" w:color="auto" w:fill="FFFFFF"/>
        <w:spacing w:after="150"/>
        <w:ind w:left="1440"/>
        <w:jc w:val="both"/>
        <w:rPr>
          <w:color w:val="000000" w:themeColor="text1"/>
          <w:sz w:val="22"/>
          <w:szCs w:val="22"/>
          <w:shd w:val="clear" w:color="auto" w:fill="FFFFFF"/>
          <w:lang w:eastAsia="es-EC"/>
        </w:rPr>
      </w:pPr>
      <w:r w:rsidRPr="00163BF5">
        <w:rPr>
          <w:i/>
          <w:iCs/>
          <w:color w:val="000000" w:themeColor="text1"/>
          <w:sz w:val="22"/>
          <w:szCs w:val="22"/>
          <w:lang w:eastAsia="es-EC"/>
        </w:rPr>
        <w:t>g)</w:t>
      </w:r>
      <w:r w:rsidRPr="00163BF5">
        <w:rPr>
          <w:color w:val="000000" w:themeColor="text1"/>
          <w:sz w:val="22"/>
          <w:szCs w:val="22"/>
          <w:lang w:eastAsia="es-EC"/>
        </w:rPr>
        <w:t xml:space="preserve"> En caso de fallecimiento durante la privación de libertad, las circunstancias y causas del fallecimiento y el destino de los restos. (</w:t>
      </w:r>
      <w:r w:rsidRPr="00163BF5">
        <w:rPr>
          <w:color w:val="000000" w:themeColor="text1"/>
          <w:sz w:val="22"/>
          <w:szCs w:val="22"/>
          <w:shd w:val="clear" w:color="auto" w:fill="FFFFFF"/>
          <w:lang w:eastAsia="es-EC"/>
        </w:rPr>
        <w:t>Convención Internacional para la Protección de todas las Personas Contra las Desapariciones Forzadas, 2006, art. 18.1)</w:t>
      </w:r>
    </w:p>
    <w:p w14:paraId="4C0A6D8F" w14:textId="4ABC5634" w:rsidR="0002107B" w:rsidRPr="00163BF5" w:rsidRDefault="0002107B" w:rsidP="0002107B">
      <w:pPr>
        <w:shd w:val="clear" w:color="auto" w:fill="FFFFFF"/>
        <w:spacing w:after="150" w:line="480" w:lineRule="auto"/>
        <w:ind w:firstLine="708"/>
        <w:jc w:val="both"/>
        <w:rPr>
          <w:color w:val="000000" w:themeColor="text1"/>
          <w:lang w:eastAsia="es-EC"/>
        </w:rPr>
      </w:pPr>
      <w:r w:rsidRPr="00163BF5">
        <w:rPr>
          <w:color w:val="000000" w:themeColor="text1"/>
          <w:lang w:eastAsia="es-EC"/>
        </w:rPr>
        <w:t>En base a lo señalado en el artículo antes citado</w:t>
      </w:r>
      <w:r w:rsidR="00E63628" w:rsidRPr="00163BF5">
        <w:rPr>
          <w:color w:val="000000" w:themeColor="text1"/>
          <w:lang w:eastAsia="es-EC"/>
        </w:rPr>
        <w:t>,</w:t>
      </w:r>
      <w:r w:rsidRPr="00163BF5">
        <w:rPr>
          <w:color w:val="000000" w:themeColor="text1"/>
          <w:lang w:eastAsia="es-EC"/>
        </w:rPr>
        <w:t xml:space="preserve"> se puede establecer que en los casos de desaparición forzada el Estado tiene el deber de información como obligación internacional, pero esta obligación internacional no existe en los casos de desaparición involuntaria. </w:t>
      </w:r>
    </w:p>
    <w:p w14:paraId="4719D8FF" w14:textId="65688BA6" w:rsidR="0002107B" w:rsidRPr="00163BF5" w:rsidRDefault="0002107B" w:rsidP="00F24FF8">
      <w:pPr>
        <w:pStyle w:val="Ttulo4"/>
        <w:numPr>
          <w:ilvl w:val="2"/>
          <w:numId w:val="27"/>
        </w:numPr>
        <w:rPr>
          <w:rFonts w:ascii="Times New Roman" w:hAnsi="Times New Roman" w:cs="Times New Roman"/>
          <w:color w:val="000000" w:themeColor="text1"/>
        </w:rPr>
      </w:pPr>
      <w:bookmarkStart w:id="35" w:name="_Toc67513384"/>
      <w:r w:rsidRPr="00163BF5">
        <w:rPr>
          <w:rFonts w:ascii="Times New Roman" w:hAnsi="Times New Roman" w:cs="Times New Roman"/>
          <w:color w:val="000000" w:themeColor="text1"/>
        </w:rPr>
        <w:t>Diferencia</w:t>
      </w:r>
      <w:r w:rsidR="00F24FF8" w:rsidRPr="00163BF5">
        <w:rPr>
          <w:rFonts w:ascii="Times New Roman" w:hAnsi="Times New Roman" w:cs="Times New Roman"/>
          <w:color w:val="000000" w:themeColor="text1"/>
        </w:rPr>
        <w:t>s</w:t>
      </w:r>
      <w:bookmarkEnd w:id="35"/>
    </w:p>
    <w:p w14:paraId="45A68481" w14:textId="3BDA6D0A" w:rsidR="0002107B" w:rsidRPr="00163BF5" w:rsidRDefault="0002107B" w:rsidP="00F24FF8">
      <w:pPr>
        <w:pStyle w:val="Ttulo5"/>
        <w:numPr>
          <w:ilvl w:val="3"/>
          <w:numId w:val="27"/>
        </w:numPr>
        <w:rPr>
          <w:rFonts w:ascii="Times New Roman" w:hAnsi="Times New Roman" w:cs="Times New Roman"/>
          <w:color w:val="000000" w:themeColor="text1"/>
          <w:sz w:val="24"/>
          <w:szCs w:val="24"/>
        </w:rPr>
      </w:pPr>
      <w:bookmarkStart w:id="36" w:name="_Toc67513385"/>
      <w:r w:rsidRPr="00163BF5">
        <w:rPr>
          <w:rFonts w:ascii="Times New Roman" w:hAnsi="Times New Roman" w:cs="Times New Roman"/>
          <w:color w:val="000000" w:themeColor="text1"/>
          <w:sz w:val="24"/>
          <w:szCs w:val="24"/>
        </w:rPr>
        <w:t>El sujeto activo que realiza la privación de la libertad</w:t>
      </w:r>
      <w:bookmarkEnd w:id="36"/>
      <w:r w:rsidRPr="00163BF5">
        <w:rPr>
          <w:rFonts w:ascii="Times New Roman" w:hAnsi="Times New Roman" w:cs="Times New Roman"/>
          <w:color w:val="000000" w:themeColor="text1"/>
          <w:sz w:val="24"/>
          <w:szCs w:val="24"/>
        </w:rPr>
        <w:t xml:space="preserve">  </w:t>
      </w:r>
    </w:p>
    <w:p w14:paraId="203628D9" w14:textId="77777777" w:rsidR="0002107B" w:rsidRPr="00163BF5" w:rsidRDefault="0002107B" w:rsidP="0002107B">
      <w:pPr>
        <w:spacing w:line="480" w:lineRule="auto"/>
        <w:ind w:firstLine="709"/>
        <w:jc w:val="both"/>
        <w:rPr>
          <w:rFonts w:eastAsia="Calibri"/>
          <w:b/>
          <w:bCs/>
          <w:color w:val="000000" w:themeColor="text1"/>
          <w:lang w:val="es-ES_tradnl" w:eastAsia="es-ES_tradnl"/>
        </w:rPr>
      </w:pPr>
      <w:r w:rsidRPr="00163BF5">
        <w:rPr>
          <w:rFonts w:eastAsia="Calibri"/>
          <w:color w:val="000000" w:themeColor="text1"/>
          <w:lang w:val="es-ES_tradnl" w:eastAsia="es-ES_tradnl"/>
        </w:rPr>
        <w:t>La principal diferencia entre la desaparición involuntaria y desaparición forzada radica en el sujeto activo que realiza el ilícito, para ello en este acápite se va a establecer que sujeto activo es el que debe cometer el delito para ser determinado ya sea como desaparición forzada o desaparición involuntaria.</w:t>
      </w:r>
    </w:p>
    <w:p w14:paraId="58C9DA75" w14:textId="3D38301D" w:rsidR="0002107B" w:rsidRPr="00163BF5" w:rsidRDefault="0002107B" w:rsidP="00F24FF8">
      <w:pPr>
        <w:pStyle w:val="Ttulo6"/>
        <w:numPr>
          <w:ilvl w:val="4"/>
          <w:numId w:val="27"/>
        </w:numPr>
        <w:rPr>
          <w:rFonts w:ascii="Times New Roman" w:hAnsi="Times New Roman" w:cs="Times New Roman"/>
          <w:color w:val="000000" w:themeColor="text1"/>
          <w:sz w:val="24"/>
          <w:szCs w:val="24"/>
        </w:rPr>
      </w:pPr>
      <w:bookmarkStart w:id="37" w:name="_Toc67513386"/>
      <w:r w:rsidRPr="00163BF5">
        <w:rPr>
          <w:rFonts w:ascii="Times New Roman" w:hAnsi="Times New Roman" w:cs="Times New Roman"/>
          <w:color w:val="000000" w:themeColor="text1"/>
          <w:sz w:val="24"/>
          <w:szCs w:val="24"/>
        </w:rPr>
        <w:t xml:space="preserve">Desaparición </w:t>
      </w:r>
      <w:r w:rsidR="00BA5F87" w:rsidRPr="00163BF5">
        <w:rPr>
          <w:rFonts w:ascii="Times New Roman" w:hAnsi="Times New Roman" w:cs="Times New Roman"/>
          <w:color w:val="000000" w:themeColor="text1"/>
          <w:sz w:val="24"/>
          <w:szCs w:val="24"/>
        </w:rPr>
        <w:t>f</w:t>
      </w:r>
      <w:r w:rsidRPr="00163BF5">
        <w:rPr>
          <w:rFonts w:ascii="Times New Roman" w:hAnsi="Times New Roman" w:cs="Times New Roman"/>
          <w:color w:val="000000" w:themeColor="text1"/>
          <w:sz w:val="24"/>
          <w:szCs w:val="24"/>
        </w:rPr>
        <w:t>orzada</w:t>
      </w:r>
      <w:bookmarkEnd w:id="37"/>
    </w:p>
    <w:p w14:paraId="52CE9B3C" w14:textId="77777777"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En la desaparición forzada, los sujetos activos que deben cometer la privación de libertad para ser considerada como desaparición forzada son: </w:t>
      </w:r>
    </w:p>
    <w:p w14:paraId="0C15A0B7" w14:textId="366732CD" w:rsidR="00F92151" w:rsidRPr="00163BF5" w:rsidRDefault="0002107B" w:rsidP="00F92151">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 xml:space="preserve">Los agentes gubernamentales de cualquier sector o nivel, como grupos organizados que actúen en nombre del gobierno o con su apoyo directo o indirecto, su autorización o su asentimiento, o particulares que igualmente actúen en nombre del gobierno o con su apoyo directo o indirecto, su autorización o su asentimiento. </w:t>
      </w:r>
      <w:r w:rsidR="00651EBA" w:rsidRPr="00163BF5">
        <w:rPr>
          <w:rFonts w:eastAsia="Calibri"/>
          <w:noProof/>
          <w:color w:val="000000" w:themeColor="text1"/>
          <w:sz w:val="22"/>
          <w:szCs w:val="22"/>
          <w:lang w:eastAsia="es-ES_tradnl"/>
        </w:rPr>
        <w:t>(Amuchástegui, 2011, p. 5)</w:t>
      </w:r>
    </w:p>
    <w:p w14:paraId="65DA68AE" w14:textId="77777777" w:rsidR="00F92151" w:rsidRPr="00163BF5" w:rsidRDefault="00F92151" w:rsidP="00F92151">
      <w:pPr>
        <w:ind w:left="1440"/>
        <w:jc w:val="both"/>
        <w:rPr>
          <w:rFonts w:eastAsia="Calibri"/>
          <w:color w:val="000000" w:themeColor="text1"/>
          <w:sz w:val="22"/>
          <w:szCs w:val="22"/>
          <w:lang w:val="es-ES_tradnl" w:eastAsia="es-ES_tradnl"/>
        </w:rPr>
      </w:pPr>
    </w:p>
    <w:p w14:paraId="6C0FB3F9" w14:textId="4B644EA4" w:rsidR="0002107B" w:rsidRPr="00163BF5" w:rsidRDefault="0002107B" w:rsidP="00F92151">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Lo mencionado por Amuchástegui es basado en distintos instrumentos internacionales; la Convención Interamericana sobre Desaparición Forzada de Personas en su artículo 2 establece que debe ser </w:t>
      </w:r>
      <w:r w:rsidR="00931CA6" w:rsidRPr="00163BF5">
        <w:rPr>
          <w:rFonts w:eastAsia="Calibri"/>
          <w:color w:val="000000" w:themeColor="text1"/>
          <w:lang w:val="es-ES_tradnl" w:eastAsia="es-ES_tradnl"/>
        </w:rPr>
        <w:t>cometida “</w:t>
      </w:r>
      <w:r w:rsidRPr="00163BF5">
        <w:rPr>
          <w:rFonts w:eastAsia="Calibri"/>
          <w:color w:val="000000" w:themeColor="text1"/>
          <w:lang w:val="es-ES_tradnl" w:eastAsia="es-ES_tradnl"/>
        </w:rPr>
        <w:t>por agentes del Estado o por personas o grupos de personas que actúen con la autorización, el apoyo o la aquiescencia del Estado” (CIDFP, 1994, art. 2)</w:t>
      </w:r>
      <w:r w:rsidR="00523543" w:rsidRPr="00163BF5">
        <w:rPr>
          <w:rFonts w:eastAsia="Calibri"/>
          <w:color w:val="000000" w:themeColor="text1"/>
          <w:lang w:val="es-ES_tradnl" w:eastAsia="es-ES_tradnl"/>
        </w:rPr>
        <w:t>.</w:t>
      </w:r>
    </w:p>
    <w:p w14:paraId="3178387E" w14:textId="3C5BFAE5"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Así mismo, el Estatuto de Roma de la Corte Penal Internacional en su artículo 7 menciona que la detención para ser catalogada como forzada debe ser realizada “por un Estado o una organización política, o con su autorización, apoyo o aquiescencia” (ER</w:t>
      </w:r>
      <w:r w:rsidR="00575EE6" w:rsidRPr="00163BF5">
        <w:rPr>
          <w:rFonts w:eastAsia="Calibri"/>
          <w:color w:val="000000" w:themeColor="text1"/>
          <w:lang w:val="es-ES_tradnl" w:eastAsia="es-ES_tradnl"/>
        </w:rPr>
        <w:t>CPI</w:t>
      </w:r>
      <w:r w:rsidRPr="00163BF5">
        <w:rPr>
          <w:rFonts w:eastAsia="Calibri"/>
          <w:color w:val="000000" w:themeColor="text1"/>
          <w:lang w:val="es-ES_tradnl" w:eastAsia="es-ES_tradnl"/>
        </w:rPr>
        <w:t>, 2002, art. 7)</w:t>
      </w:r>
      <w:r w:rsidR="00523543" w:rsidRPr="00163BF5">
        <w:rPr>
          <w:rFonts w:eastAsia="Calibri"/>
          <w:color w:val="000000" w:themeColor="text1"/>
          <w:lang w:val="es-ES_tradnl" w:eastAsia="es-ES_tradnl"/>
        </w:rPr>
        <w:t>.</w:t>
      </w:r>
    </w:p>
    <w:p w14:paraId="6C1BF5F0" w14:textId="6E561ECF" w:rsidR="0002107B" w:rsidRPr="00163BF5" w:rsidRDefault="0002107B" w:rsidP="0002107B">
      <w:pPr>
        <w:spacing w:line="480" w:lineRule="auto"/>
        <w:ind w:firstLine="708"/>
        <w:jc w:val="both"/>
        <w:rPr>
          <w:rFonts w:eastAsia="Calibri"/>
          <w:color w:val="000000" w:themeColor="text1"/>
          <w:shd w:val="clear" w:color="auto" w:fill="FFFFFF"/>
          <w:lang w:val="es-ES_tradnl" w:eastAsia="es-ES_tradnl"/>
        </w:rPr>
      </w:pPr>
      <w:r w:rsidRPr="00163BF5">
        <w:rPr>
          <w:rFonts w:eastAsia="Calibri"/>
          <w:color w:val="000000" w:themeColor="text1"/>
          <w:lang w:val="es-ES_tradnl" w:eastAsia="es-ES_tradnl"/>
        </w:rPr>
        <w:t xml:space="preserve">En el mismo sentido la Convención Internacional para la </w:t>
      </w:r>
      <w:r w:rsidR="009025F0" w:rsidRPr="00163BF5">
        <w:rPr>
          <w:rFonts w:eastAsia="Calibri"/>
          <w:color w:val="000000" w:themeColor="text1"/>
          <w:lang w:val="es-ES_tradnl" w:eastAsia="es-ES_tradnl"/>
        </w:rPr>
        <w:t>P</w:t>
      </w:r>
      <w:r w:rsidRPr="00163BF5">
        <w:rPr>
          <w:rFonts w:eastAsia="Calibri"/>
          <w:color w:val="000000" w:themeColor="text1"/>
          <w:lang w:val="es-ES_tradnl" w:eastAsia="es-ES_tradnl"/>
        </w:rPr>
        <w:t xml:space="preserve">rotección de </w:t>
      </w:r>
      <w:r w:rsidR="009025F0" w:rsidRPr="00163BF5">
        <w:rPr>
          <w:rFonts w:eastAsia="Calibri"/>
          <w:color w:val="000000" w:themeColor="text1"/>
          <w:lang w:val="es-ES_tradnl" w:eastAsia="es-ES_tradnl"/>
        </w:rPr>
        <w:t>T</w:t>
      </w:r>
      <w:r w:rsidRPr="00163BF5">
        <w:rPr>
          <w:rFonts w:eastAsia="Calibri"/>
          <w:color w:val="000000" w:themeColor="text1"/>
          <w:lang w:val="es-ES_tradnl" w:eastAsia="es-ES_tradnl"/>
        </w:rPr>
        <w:t xml:space="preserve">odas las </w:t>
      </w:r>
      <w:r w:rsidR="009025F0" w:rsidRPr="00163BF5">
        <w:rPr>
          <w:rFonts w:eastAsia="Calibri"/>
          <w:color w:val="000000" w:themeColor="text1"/>
          <w:lang w:val="es-ES_tradnl" w:eastAsia="es-ES_tradnl"/>
        </w:rPr>
        <w:t>P</w:t>
      </w:r>
      <w:r w:rsidRPr="00163BF5">
        <w:rPr>
          <w:rFonts w:eastAsia="Calibri"/>
          <w:color w:val="000000" w:themeColor="text1"/>
          <w:lang w:val="es-ES_tradnl" w:eastAsia="es-ES_tradnl"/>
        </w:rPr>
        <w:t xml:space="preserve">ersonas </w:t>
      </w:r>
      <w:r w:rsidR="009025F0" w:rsidRPr="00163BF5">
        <w:rPr>
          <w:rFonts w:eastAsia="Calibri"/>
          <w:color w:val="000000" w:themeColor="text1"/>
          <w:lang w:val="es-ES_tradnl" w:eastAsia="es-ES_tradnl"/>
        </w:rPr>
        <w:t>C</w:t>
      </w:r>
      <w:r w:rsidRPr="00163BF5">
        <w:rPr>
          <w:rFonts w:eastAsia="Calibri"/>
          <w:color w:val="000000" w:themeColor="text1"/>
          <w:lang w:val="es-ES_tradnl" w:eastAsia="es-ES_tradnl"/>
        </w:rPr>
        <w:t xml:space="preserve">ontra las </w:t>
      </w:r>
      <w:r w:rsidR="009025F0" w:rsidRPr="00163BF5">
        <w:rPr>
          <w:rFonts w:eastAsia="Calibri"/>
          <w:color w:val="000000" w:themeColor="text1"/>
          <w:lang w:val="es-ES_tradnl" w:eastAsia="es-ES_tradnl"/>
        </w:rPr>
        <w:t>D</w:t>
      </w:r>
      <w:r w:rsidRPr="00163BF5">
        <w:rPr>
          <w:rFonts w:eastAsia="Calibri"/>
          <w:color w:val="000000" w:themeColor="text1"/>
          <w:lang w:val="es-ES_tradnl" w:eastAsia="es-ES_tradnl"/>
        </w:rPr>
        <w:t xml:space="preserve">esapariciones </w:t>
      </w:r>
      <w:r w:rsidR="009025F0" w:rsidRPr="00163BF5">
        <w:rPr>
          <w:rFonts w:eastAsia="Calibri"/>
          <w:color w:val="000000" w:themeColor="text1"/>
          <w:lang w:val="es-ES_tradnl" w:eastAsia="es-ES_tradnl"/>
        </w:rPr>
        <w:t>F</w:t>
      </w:r>
      <w:r w:rsidRPr="00163BF5">
        <w:rPr>
          <w:rFonts w:eastAsia="Calibri"/>
          <w:color w:val="000000" w:themeColor="text1"/>
          <w:lang w:val="es-ES_tradnl" w:eastAsia="es-ES_tradnl"/>
        </w:rPr>
        <w:t>orzadas menciona que “</w:t>
      </w:r>
      <w:r w:rsidRPr="00163BF5">
        <w:rPr>
          <w:rFonts w:eastAsia="Calibri"/>
          <w:color w:val="000000" w:themeColor="text1"/>
          <w:shd w:val="clear" w:color="auto" w:fill="FFFFFF"/>
          <w:lang w:val="es-ES_tradnl" w:eastAsia="es-ES_tradnl"/>
        </w:rPr>
        <w:t>el arresto, la detención, el secuestro o cualquier otra forma de privación de libertad que sean obra de agentes del Estado o por personas o grupos de personas que actúan con la autorización, el apoyo o la aquiescencia del Estado” (CIPPDF, 2010, art. 2)</w:t>
      </w:r>
      <w:r w:rsidR="00523543" w:rsidRPr="00163BF5">
        <w:rPr>
          <w:rFonts w:eastAsia="Calibri"/>
          <w:color w:val="000000" w:themeColor="text1"/>
          <w:shd w:val="clear" w:color="auto" w:fill="FFFFFF"/>
          <w:lang w:val="es-ES_tradnl" w:eastAsia="es-ES_tradnl"/>
        </w:rPr>
        <w:t>. E</w:t>
      </w:r>
      <w:r w:rsidRPr="00163BF5">
        <w:rPr>
          <w:rFonts w:eastAsia="Calibri"/>
          <w:color w:val="000000" w:themeColor="text1"/>
          <w:shd w:val="clear" w:color="auto" w:fill="FFFFFF"/>
          <w:lang w:val="es-ES_tradnl" w:eastAsia="es-ES_tradnl"/>
        </w:rPr>
        <w:t xml:space="preserve">s considerada desaparición forzada. </w:t>
      </w:r>
    </w:p>
    <w:p w14:paraId="07B6F2EC" w14:textId="71D72C1B"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shd w:val="clear" w:color="auto" w:fill="FFFFFF"/>
          <w:lang w:val="es-ES_tradnl" w:eastAsia="es-ES_tradnl"/>
        </w:rPr>
        <w:t xml:space="preserve">En el marco interamericano, la </w:t>
      </w:r>
      <w:r w:rsidRPr="00163BF5">
        <w:rPr>
          <w:rFonts w:eastAsia="Calibri"/>
          <w:color w:val="000000" w:themeColor="text1"/>
          <w:lang w:val="es-ES_tradnl" w:eastAsia="es-ES_tradnl"/>
        </w:rPr>
        <w:t xml:space="preserve">jurisprudencia de la Corte IDH en el caso </w:t>
      </w:r>
      <w:r w:rsidR="00653733" w:rsidRPr="00163BF5">
        <w:rPr>
          <w:rFonts w:eastAsia="Calibri"/>
          <w:color w:val="000000" w:themeColor="text1"/>
          <w:lang w:val="es-ES_tradnl" w:eastAsia="es-ES_tradnl"/>
        </w:rPr>
        <w:t xml:space="preserve">Rosendo </w:t>
      </w:r>
      <w:r w:rsidRPr="00163BF5">
        <w:rPr>
          <w:rFonts w:eastAsia="Calibri"/>
          <w:color w:val="000000" w:themeColor="text1"/>
          <w:lang w:val="es-ES_tradnl" w:eastAsia="es-ES_tradnl"/>
        </w:rPr>
        <w:t xml:space="preserve">Radilla Pacheco Vs México donde se señala como elementos constitutivos de la desaparición forzada: “a) la privación de la libertad; b) la intervención directa de agentes estatales o por la aquiescencia de éstos, y c) la negativa de reconocer la detención y de revelar la suerte o paradero de la persona interesada” </w:t>
      </w:r>
      <w:r w:rsidR="00523543" w:rsidRPr="00163BF5">
        <w:rPr>
          <w:rFonts w:eastAsia="Calibri"/>
          <w:color w:val="000000" w:themeColor="text1"/>
          <w:lang w:val="es-ES_tradnl" w:eastAsia="es-ES_tradnl"/>
        </w:rPr>
        <w:t>(</w:t>
      </w:r>
      <w:r w:rsidRPr="00163BF5">
        <w:rPr>
          <w:rFonts w:eastAsia="Calibri"/>
          <w:color w:val="000000" w:themeColor="text1"/>
          <w:lang w:val="es-ES_tradnl" w:eastAsia="es-ES_tradnl"/>
        </w:rPr>
        <w:t xml:space="preserve">Corte IDH, Caso </w:t>
      </w:r>
      <w:r w:rsidR="00653733" w:rsidRPr="00163BF5">
        <w:rPr>
          <w:rFonts w:eastAsia="Calibri"/>
          <w:color w:val="000000" w:themeColor="text1"/>
          <w:lang w:val="es-ES_tradnl" w:eastAsia="es-ES_tradnl"/>
        </w:rPr>
        <w:t xml:space="preserve">Rosendo </w:t>
      </w:r>
      <w:r w:rsidRPr="00163BF5">
        <w:rPr>
          <w:rFonts w:eastAsia="Calibri"/>
          <w:color w:val="000000" w:themeColor="text1"/>
          <w:lang w:val="es-ES_tradnl" w:eastAsia="es-ES_tradnl"/>
        </w:rPr>
        <w:t xml:space="preserve">Radilla Pacheco Vs. México, 2009, párr. 140). </w:t>
      </w:r>
    </w:p>
    <w:p w14:paraId="10920F98" w14:textId="491E35D7"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En el mismo sentido</w:t>
      </w:r>
      <w:r w:rsidR="00E63628" w:rsidRPr="00163BF5">
        <w:rPr>
          <w:rFonts w:eastAsia="Calibri"/>
          <w:color w:val="000000" w:themeColor="text1"/>
          <w:lang w:val="es-ES_tradnl" w:eastAsia="es-ES_tradnl"/>
        </w:rPr>
        <w:t>,</w:t>
      </w:r>
      <w:r w:rsidRPr="00163BF5">
        <w:rPr>
          <w:rFonts w:eastAsia="Calibri"/>
          <w:color w:val="000000" w:themeColor="text1"/>
          <w:lang w:val="es-ES_tradnl" w:eastAsia="es-ES_tradnl"/>
        </w:rPr>
        <w:t xml:space="preserve"> los casos </w:t>
      </w:r>
      <w:proofErr w:type="spellStart"/>
      <w:r w:rsidRPr="00163BF5">
        <w:rPr>
          <w:rFonts w:eastAsia="Calibri"/>
          <w:color w:val="000000" w:themeColor="text1"/>
          <w:lang w:val="es-ES_tradnl" w:eastAsia="es-ES_tradnl"/>
        </w:rPr>
        <w:t>Chitay</w:t>
      </w:r>
      <w:proofErr w:type="spellEnd"/>
      <w:r w:rsidRPr="00163BF5">
        <w:rPr>
          <w:rFonts w:eastAsia="Calibri"/>
          <w:color w:val="000000" w:themeColor="text1"/>
          <w:lang w:val="es-ES_tradnl" w:eastAsia="es-ES_tradnl"/>
        </w:rPr>
        <w:t xml:space="preserve"> </w:t>
      </w:r>
      <w:proofErr w:type="spellStart"/>
      <w:r w:rsidRPr="00163BF5">
        <w:rPr>
          <w:rFonts w:eastAsia="Calibri"/>
          <w:color w:val="000000" w:themeColor="text1"/>
          <w:lang w:val="es-ES_tradnl" w:eastAsia="es-ES_tradnl"/>
        </w:rPr>
        <w:t>Nech</w:t>
      </w:r>
      <w:proofErr w:type="spellEnd"/>
      <w:r w:rsidRPr="00163BF5">
        <w:rPr>
          <w:rFonts w:eastAsia="Calibri"/>
          <w:color w:val="000000" w:themeColor="text1"/>
          <w:lang w:val="es-ES_tradnl" w:eastAsia="es-ES_tradnl"/>
        </w:rPr>
        <w:t xml:space="preserve"> y otros Vs Guatemala; Gudiel </w:t>
      </w:r>
      <w:proofErr w:type="spellStart"/>
      <w:r w:rsidRPr="00163BF5">
        <w:rPr>
          <w:rFonts w:eastAsia="Calibri"/>
          <w:color w:val="000000" w:themeColor="text1"/>
          <w:lang w:val="es-ES_tradnl" w:eastAsia="es-ES_tradnl"/>
        </w:rPr>
        <w:t>Álvares</w:t>
      </w:r>
      <w:proofErr w:type="spellEnd"/>
      <w:r w:rsidRPr="00163BF5">
        <w:rPr>
          <w:rFonts w:eastAsia="Calibri"/>
          <w:color w:val="000000" w:themeColor="text1"/>
          <w:lang w:val="es-ES_tradnl" w:eastAsia="es-ES_tradnl"/>
        </w:rPr>
        <w:t xml:space="preserve"> y otros (“Diario Militar”) Vs Guatemala; García y Familiares Vs Guatemala, entre otros, expresan como un elemento constitutivo de la desaparición forzada a la intervención directa de agentes estatales o aquiescencia de los mismos. </w:t>
      </w:r>
    </w:p>
    <w:p w14:paraId="4E6CF51D" w14:textId="7C0311E3"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Es así</w:t>
      </w:r>
      <w:r w:rsidR="00E63628" w:rsidRPr="00163BF5">
        <w:rPr>
          <w:rFonts w:eastAsia="Calibri"/>
          <w:color w:val="000000" w:themeColor="text1"/>
          <w:lang w:val="es-ES_tradnl" w:eastAsia="es-ES_tradnl"/>
        </w:rPr>
        <w:t>,</w:t>
      </w:r>
      <w:r w:rsidRPr="00163BF5">
        <w:rPr>
          <w:rFonts w:eastAsia="Calibri"/>
          <w:color w:val="000000" w:themeColor="text1"/>
          <w:lang w:val="es-ES_tradnl" w:eastAsia="es-ES_tradnl"/>
        </w:rPr>
        <w:t xml:space="preserve"> com</w:t>
      </w:r>
      <w:r w:rsidR="00931CA6" w:rsidRPr="00163BF5">
        <w:rPr>
          <w:rFonts w:eastAsia="Calibri"/>
          <w:color w:val="000000" w:themeColor="text1"/>
          <w:lang w:val="es-ES_tradnl" w:eastAsia="es-ES_tradnl"/>
        </w:rPr>
        <w:t xml:space="preserve">o se concluye </w:t>
      </w:r>
      <w:r w:rsidRPr="00163BF5">
        <w:rPr>
          <w:rFonts w:eastAsia="Calibri"/>
          <w:color w:val="000000" w:themeColor="text1"/>
          <w:lang w:val="es-ES_tradnl" w:eastAsia="es-ES_tradnl"/>
        </w:rPr>
        <w:t xml:space="preserve">estableciendo que en el delito de desaparición forzada existe un sujeto activo calificado; quienes concurren en la privación de libertad deben ser agentes estatales o aquiescencia de los mismos. </w:t>
      </w:r>
    </w:p>
    <w:p w14:paraId="45042A88" w14:textId="5B3FC3F1" w:rsidR="0002107B" w:rsidRPr="00163BF5" w:rsidRDefault="0002107B" w:rsidP="00F24FF8">
      <w:pPr>
        <w:pStyle w:val="Ttulo6"/>
        <w:numPr>
          <w:ilvl w:val="4"/>
          <w:numId w:val="27"/>
        </w:numPr>
        <w:rPr>
          <w:rFonts w:ascii="Times New Roman" w:hAnsi="Times New Roman" w:cs="Times New Roman"/>
          <w:color w:val="000000" w:themeColor="text1"/>
          <w:sz w:val="24"/>
          <w:szCs w:val="24"/>
        </w:rPr>
      </w:pPr>
      <w:bookmarkStart w:id="38" w:name="_Toc67513387"/>
      <w:r w:rsidRPr="00163BF5">
        <w:rPr>
          <w:rFonts w:ascii="Times New Roman" w:hAnsi="Times New Roman" w:cs="Times New Roman"/>
          <w:color w:val="000000" w:themeColor="text1"/>
          <w:sz w:val="24"/>
          <w:szCs w:val="24"/>
        </w:rPr>
        <w:t xml:space="preserve">Desaparición </w:t>
      </w:r>
      <w:r w:rsidR="00BA5F87" w:rsidRPr="00163BF5">
        <w:rPr>
          <w:rFonts w:ascii="Times New Roman" w:hAnsi="Times New Roman" w:cs="Times New Roman"/>
          <w:color w:val="000000" w:themeColor="text1"/>
          <w:sz w:val="24"/>
          <w:szCs w:val="24"/>
        </w:rPr>
        <w:t>i</w:t>
      </w:r>
      <w:r w:rsidRPr="00163BF5">
        <w:rPr>
          <w:rFonts w:ascii="Times New Roman" w:hAnsi="Times New Roman" w:cs="Times New Roman"/>
          <w:color w:val="000000" w:themeColor="text1"/>
          <w:sz w:val="24"/>
          <w:szCs w:val="24"/>
        </w:rPr>
        <w:t>nvoluntaria</w:t>
      </w:r>
      <w:bookmarkEnd w:id="38"/>
      <w:r w:rsidRPr="00163BF5">
        <w:rPr>
          <w:rFonts w:ascii="Times New Roman" w:hAnsi="Times New Roman" w:cs="Times New Roman"/>
          <w:color w:val="000000" w:themeColor="text1"/>
          <w:sz w:val="24"/>
          <w:szCs w:val="24"/>
        </w:rPr>
        <w:t xml:space="preserve"> </w:t>
      </w:r>
    </w:p>
    <w:p w14:paraId="4BE08ACF" w14:textId="77777777"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La desaparición involuntaria no ha sido tratada de manera tan amplia como en el caso de la desaparición forzada, por lo que no existe una definición realizada por los instrumentos internacionales que puedan expresar cuales son los elementos constitutivos exactos de este tipo de desaparición.</w:t>
      </w:r>
    </w:p>
    <w:p w14:paraId="0039F428" w14:textId="21023950"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Es por ello por lo que</w:t>
      </w:r>
      <w:r w:rsidR="009A56CF" w:rsidRPr="00163BF5">
        <w:rPr>
          <w:rFonts w:eastAsia="Calibri"/>
          <w:color w:val="000000" w:themeColor="text1"/>
          <w:lang w:val="es-ES_tradnl" w:eastAsia="es-ES_tradnl"/>
        </w:rPr>
        <w:t>,</w:t>
      </w:r>
      <w:r w:rsidRPr="00163BF5">
        <w:rPr>
          <w:rFonts w:eastAsia="Calibri"/>
          <w:color w:val="000000" w:themeColor="text1"/>
          <w:lang w:val="es-ES_tradnl" w:eastAsia="es-ES_tradnl"/>
        </w:rPr>
        <w:t xml:space="preserve"> muchas veces se asocian todos los elementos constitutivos de la desaparición forzada a la desaparición involuntaria. Si bien, muchos de estos elementos constitutivos pueden ser asociados a la desaparición involuntaria, el elemento que radica en el sujeto activo que realiza la privación de libertad es diferente al de la desaparición forzada. </w:t>
      </w:r>
    </w:p>
    <w:p w14:paraId="4A58448C" w14:textId="35466E34"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Como se observó en el acápite anterior, en la desaparición forzada el sujeto activo es determinado y para ser considerada como desaparición forzada, la privación de libertad debe ser realizada por agentes estatales o aquiescencia de </w:t>
      </w:r>
      <w:r w:rsidR="009A56CF" w:rsidRPr="00163BF5">
        <w:rPr>
          <w:rFonts w:eastAsia="Calibri"/>
          <w:color w:val="000000" w:themeColor="text1"/>
          <w:lang w:val="es-ES_tradnl" w:eastAsia="es-ES_tradnl"/>
        </w:rPr>
        <w:t>estos</w:t>
      </w:r>
      <w:r w:rsidRPr="00163BF5">
        <w:rPr>
          <w:rFonts w:eastAsia="Calibri"/>
          <w:color w:val="000000" w:themeColor="text1"/>
          <w:lang w:val="es-ES_tradnl" w:eastAsia="es-ES_tradnl"/>
        </w:rPr>
        <w:t>.</w:t>
      </w:r>
    </w:p>
    <w:p w14:paraId="374A9A89" w14:textId="77777777"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Por otro lado, en el ámbito nacional, la desaparición involuntaria se encuentra tipificada en el artículo 163.1 del Código Orgánico Integral Penal, donde establece que la desaparición involuntaria es aquel delito por el cual: </w:t>
      </w:r>
    </w:p>
    <w:p w14:paraId="44173C4E"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La persona que prive de la libertad retenga, arrebate, desaparezca, traslade a lugar distinto a una o más personas, en contra de su voluntad y niegue información de su paradero o destino, será sancionada con pena privativa de libertad de siete a diez años.</w:t>
      </w:r>
    </w:p>
    <w:p w14:paraId="4A716190"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Será sancionada con pena privativa de libertad de diez a trece años, cuando concurra alguna de las siguientes circunstancias:</w:t>
      </w:r>
    </w:p>
    <w:p w14:paraId="7AB8BA5C"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1. Si la privación de libertad de la víctima se prolonga por más de ocho días.</w:t>
      </w:r>
    </w:p>
    <w:p w14:paraId="1BD24E97"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2. Si la víctima es una persona menor de dieciocho años, mayor de sesenta y cinco años, mujer embarazada, persona con discapacidad o que padezca enfermedades que comprometan su vida.</w:t>
      </w:r>
    </w:p>
    <w:p w14:paraId="6E1DB15F"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3. Si se comete con apoderamiento de nave o aeronave, vehículos o cualquier otro transporte.</w:t>
      </w:r>
    </w:p>
    <w:p w14:paraId="042A8466"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4. Si se comete total o parcialmente desde el extranjero.</w:t>
      </w:r>
    </w:p>
    <w:p w14:paraId="6E25EC55"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5. Si se comete por personas que tengan algún tipo de relación familiar o de poder o autoridad sobre la víctima, tales como: docentes, ministras o ministros de culto, personal de salud o personas responsables en la atención del cuidado del paciente; o por cualquier otra clase de profesional o técnico que haya abusado de su posición, función o cargo para cometer la infracción.</w:t>
      </w:r>
    </w:p>
    <w:p w14:paraId="3FE86A52"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6. Si la víctima ha sido sometida a violencia física, sexual o psicológica.</w:t>
      </w:r>
    </w:p>
    <w:p w14:paraId="5243A5ED"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Si se produce la muerte de la víctima, será sancionada con pena privativa de libertad de veintidós a veintiséis años.</w:t>
      </w:r>
    </w:p>
    <w:p w14:paraId="084162A6"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Para el procesamiento de este delito, la acumulación de indicios tendrá la misma fuerza vinculante que la prueba directa en la etapa de juicio, siempre que los mismos se funden en hechos reales probados, se relacionen con los hechos de este delito, sean unívocos y directos. (COIP, 2014, art. 163.1)</w:t>
      </w:r>
    </w:p>
    <w:p w14:paraId="4F721CD9" w14:textId="77777777" w:rsidR="0002107B" w:rsidRPr="00163BF5" w:rsidRDefault="0002107B" w:rsidP="0002107B">
      <w:pPr>
        <w:jc w:val="both"/>
        <w:rPr>
          <w:rFonts w:eastAsia="Calibri"/>
          <w:color w:val="000000" w:themeColor="text1"/>
          <w:lang w:val="es-ES" w:eastAsia="es-ES_tradnl"/>
        </w:rPr>
      </w:pPr>
    </w:p>
    <w:p w14:paraId="67C9808E" w14:textId="05E84BAA" w:rsidR="0002107B" w:rsidRPr="00163BF5" w:rsidRDefault="0002107B" w:rsidP="0002107B">
      <w:pPr>
        <w:spacing w:line="480" w:lineRule="auto"/>
        <w:ind w:firstLine="708"/>
        <w:jc w:val="both"/>
        <w:rPr>
          <w:rFonts w:eastAsia="Calibri"/>
          <w:color w:val="000000" w:themeColor="text1"/>
          <w:lang w:val="es-ES" w:eastAsia="es-ES_tradnl"/>
        </w:rPr>
      </w:pPr>
      <w:r w:rsidRPr="00163BF5">
        <w:rPr>
          <w:rFonts w:eastAsia="Calibri"/>
          <w:color w:val="000000" w:themeColor="text1"/>
          <w:lang w:val="es-ES" w:eastAsia="es-ES_tradnl"/>
        </w:rPr>
        <w:t xml:space="preserve">En base a lo establecido por el Código Orgánico Integral Penal, se puede </w:t>
      </w:r>
      <w:r w:rsidR="009A56CF" w:rsidRPr="00163BF5">
        <w:rPr>
          <w:rFonts w:eastAsia="Calibri"/>
          <w:color w:val="000000" w:themeColor="text1"/>
          <w:lang w:val="es-ES" w:eastAsia="es-ES_tradnl"/>
        </w:rPr>
        <w:t>señalar</w:t>
      </w:r>
      <w:r w:rsidRPr="00163BF5">
        <w:rPr>
          <w:rFonts w:eastAsia="Calibri"/>
          <w:color w:val="000000" w:themeColor="text1"/>
          <w:lang w:val="es-ES" w:eastAsia="es-ES_tradnl"/>
        </w:rPr>
        <w:t xml:space="preserve"> que la desaparición involuntaria es aquel delito en el que no existe un sujeto activo calificado, es decir cualquier persona puede cometerlo. </w:t>
      </w:r>
    </w:p>
    <w:p w14:paraId="3855AB9E" w14:textId="0696D784" w:rsidR="0002107B" w:rsidRPr="00163BF5" w:rsidRDefault="0002107B" w:rsidP="0002107B">
      <w:pPr>
        <w:spacing w:line="480" w:lineRule="auto"/>
        <w:ind w:firstLine="708"/>
        <w:jc w:val="both"/>
        <w:rPr>
          <w:rFonts w:eastAsia="Calibri"/>
          <w:color w:val="000000" w:themeColor="text1"/>
          <w:lang w:val="es-ES" w:eastAsia="es-ES_tradnl"/>
        </w:rPr>
      </w:pPr>
      <w:r w:rsidRPr="00163BF5">
        <w:rPr>
          <w:rFonts w:eastAsia="Calibri"/>
          <w:color w:val="000000" w:themeColor="text1"/>
          <w:lang w:val="es-ES" w:eastAsia="es-ES_tradnl"/>
        </w:rPr>
        <w:t>En suma, la diferencia entre la desaparición involuntaria y forzada radica en el sujeto activo que realiza la infracción, mientras que en la desaparición forzada existe un sujeto activo calificado, en la desaparición forzada no</w:t>
      </w:r>
      <w:r w:rsidR="00CF4658" w:rsidRPr="00163BF5">
        <w:rPr>
          <w:rFonts w:eastAsia="Calibri"/>
          <w:color w:val="000000" w:themeColor="text1"/>
          <w:lang w:val="es-ES" w:eastAsia="es-ES_tradnl"/>
        </w:rPr>
        <w:t xml:space="preserve">. </w:t>
      </w:r>
    </w:p>
    <w:p w14:paraId="49A592AE" w14:textId="3F02CB94" w:rsidR="0002107B" w:rsidRPr="00163BF5" w:rsidRDefault="0002107B" w:rsidP="00F24FF8">
      <w:pPr>
        <w:pStyle w:val="Ttulo5"/>
        <w:numPr>
          <w:ilvl w:val="3"/>
          <w:numId w:val="27"/>
        </w:numPr>
        <w:rPr>
          <w:rFonts w:ascii="Times New Roman" w:hAnsi="Times New Roman" w:cs="Times New Roman"/>
          <w:color w:val="000000" w:themeColor="text1"/>
          <w:sz w:val="24"/>
          <w:szCs w:val="24"/>
        </w:rPr>
      </w:pPr>
      <w:bookmarkStart w:id="39" w:name="_Toc67513388"/>
      <w:r w:rsidRPr="00163BF5">
        <w:rPr>
          <w:rFonts w:ascii="Times New Roman" w:hAnsi="Times New Roman" w:cs="Times New Roman"/>
          <w:color w:val="000000" w:themeColor="text1"/>
          <w:sz w:val="24"/>
          <w:szCs w:val="24"/>
        </w:rPr>
        <w:t>La inexistencia de una solicitud de rescate o dinero por la víctima</w:t>
      </w:r>
      <w:bookmarkEnd w:id="39"/>
    </w:p>
    <w:p w14:paraId="6FF90595" w14:textId="77777777" w:rsidR="0002107B" w:rsidRPr="00163BF5" w:rsidRDefault="0002107B" w:rsidP="0002107B">
      <w:pPr>
        <w:spacing w:line="480" w:lineRule="auto"/>
        <w:ind w:left="284" w:firstLine="424"/>
        <w:jc w:val="both"/>
        <w:rPr>
          <w:rFonts w:eastAsia="Calibri"/>
          <w:color w:val="000000" w:themeColor="text1"/>
          <w:lang w:val="es-ES" w:eastAsia="es-ES_tradnl"/>
        </w:rPr>
      </w:pPr>
      <w:r w:rsidRPr="00163BF5">
        <w:rPr>
          <w:rFonts w:eastAsia="Calibri"/>
          <w:color w:val="000000" w:themeColor="text1"/>
          <w:lang w:val="es-ES_tradnl" w:eastAsia="es-ES_tradnl"/>
        </w:rPr>
        <w:t>En lo referente a la inexistencia de una solicitud de rescate o dinero por la víctima, este es un elemento que no es contemplado en la desaparición forzada, pero sí lo es en la desaparición involuntaria, como lo expresa Cervantes (2015) al dar la definición de desaparición involuntaria establece que esta es “</w:t>
      </w:r>
      <w:r w:rsidRPr="00163BF5">
        <w:rPr>
          <w:rFonts w:eastAsia="Calibri"/>
          <w:color w:val="000000" w:themeColor="text1"/>
          <w:lang w:val="es-ES" w:eastAsia="es-ES_tradnl"/>
        </w:rPr>
        <w:t xml:space="preserve">la privación ilegal de la libertad […], contra su voluntad, cometida por particulares, con omisión de información sobre su ubicación o estado de salud, sin solicitud de dinero o pago de rescate, […]” (p.2). </w:t>
      </w:r>
    </w:p>
    <w:p w14:paraId="3F58264E" w14:textId="77777777" w:rsidR="0002107B" w:rsidRPr="00163BF5" w:rsidRDefault="0002107B" w:rsidP="0002107B">
      <w:pPr>
        <w:spacing w:line="480" w:lineRule="auto"/>
        <w:ind w:left="284" w:firstLine="424"/>
        <w:jc w:val="both"/>
        <w:rPr>
          <w:rFonts w:eastAsia="Calibri"/>
          <w:color w:val="000000" w:themeColor="text1"/>
          <w:lang w:val="es-ES" w:eastAsia="es-ES_tradnl"/>
        </w:rPr>
      </w:pPr>
      <w:r w:rsidRPr="00163BF5">
        <w:rPr>
          <w:rFonts w:eastAsia="Calibri"/>
          <w:color w:val="000000" w:themeColor="text1"/>
          <w:lang w:val="es-ES" w:eastAsia="es-ES_tradnl"/>
        </w:rPr>
        <w:t xml:space="preserve">Al analizar lo señalado por Cervantes en lo referente a la inexistencia de una solicitud o pago de rescate por la víctima, en el marco normativo ecuatoriano la desaparición involuntaria en el artículo 163.1 del COIP señala: </w:t>
      </w:r>
    </w:p>
    <w:p w14:paraId="33C25DDF"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Desaparición involuntaria. - La persona que prive de la libertad, retenga, arrebate, desaparezca, traslade a lugar distinto a una o más personas, en contra de su voluntad y niegue información de su paradero o destino, será sancionada con pena privativa de libertad de siete a diez años.</w:t>
      </w:r>
    </w:p>
    <w:p w14:paraId="4297FE31"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Será sancionada con pena privativa de libertad de diez a trece años, cuando concurra alguna de las siguientes circunstancias:</w:t>
      </w:r>
    </w:p>
    <w:p w14:paraId="5BFF70E5"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1. Si la privación de libertad de la víctima se prolonga por más de ocho días.</w:t>
      </w:r>
    </w:p>
    <w:p w14:paraId="719AEBE3"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2. Si la víctima es una persona menor de dieciocho años, mayor de sesenta y cinco años, mujer embarazada, persona con discapacidad o que padezca enfermedades que comprometan su vida.</w:t>
      </w:r>
    </w:p>
    <w:p w14:paraId="5F58567A"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3. Si se comete con apoderamiento de nave o aeronave, vehículos o cualquier otro transporte.</w:t>
      </w:r>
    </w:p>
    <w:p w14:paraId="5AFA7FA1"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4. Si se comete total o parcialmente desde el extranjero.</w:t>
      </w:r>
    </w:p>
    <w:p w14:paraId="56FF2040"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5. Si se comete por personas que tengan algún tipo de relación familiar o de poder o autoridad sobre la víctima, tales como: docentes, ministras o ministros de culto, personal de salud o personas responsables en la atención del cuidado del paciente; o por cualquier otra clase de profesional o técnico que haya abusado de su posición, función o cargo para cometer la infracción.</w:t>
      </w:r>
    </w:p>
    <w:p w14:paraId="14850C26"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6. Si la víctima ha sido sometida a violencia física, sexual o psicológica.</w:t>
      </w:r>
    </w:p>
    <w:p w14:paraId="4F2FB990"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7. Si se produce la muerte de la víctima, será sancionada con pena privativa de libertad de veintidós a veintiséis años.</w:t>
      </w:r>
    </w:p>
    <w:p w14:paraId="0268DBAC" w14:textId="63059F62" w:rsidR="0002107B" w:rsidRPr="00163BF5" w:rsidRDefault="0002107B" w:rsidP="00F92151">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 w:eastAsia="es-ES_tradnl"/>
        </w:rPr>
        <w:t>Para el procesamiento de este delito, la acumulación de indicios tendrá la misma fuerza vinculante que la prueba directa en la etapa de juicio, siempre que los mismos se funden en hechos reales probados, se relacionen con los hechos de este delito, sean unívocos y directos. (COIP, 2014, art. 163.1)</w:t>
      </w:r>
    </w:p>
    <w:p w14:paraId="69C04B9D" w14:textId="77777777" w:rsidR="00F92151" w:rsidRPr="00163BF5" w:rsidRDefault="00F92151" w:rsidP="00F92151">
      <w:pPr>
        <w:ind w:left="1440"/>
        <w:jc w:val="both"/>
        <w:rPr>
          <w:rFonts w:eastAsia="Calibri"/>
          <w:color w:val="000000" w:themeColor="text1"/>
          <w:sz w:val="22"/>
          <w:szCs w:val="22"/>
          <w:lang w:val="es-ES" w:eastAsia="es-ES_tradnl"/>
        </w:rPr>
      </w:pPr>
    </w:p>
    <w:p w14:paraId="0BBFFD46" w14:textId="3759AF10" w:rsidR="0002107B" w:rsidRPr="00163BF5" w:rsidRDefault="0002107B" w:rsidP="0002107B">
      <w:pPr>
        <w:spacing w:line="480" w:lineRule="auto"/>
        <w:ind w:firstLine="708"/>
        <w:jc w:val="both"/>
        <w:rPr>
          <w:rFonts w:eastAsia="Calibri"/>
          <w:color w:val="000000" w:themeColor="text1"/>
          <w:lang w:val="es-ES" w:eastAsia="es-ES_tradnl"/>
        </w:rPr>
      </w:pPr>
      <w:r w:rsidRPr="00163BF5">
        <w:rPr>
          <w:rFonts w:eastAsia="Calibri"/>
          <w:color w:val="000000" w:themeColor="text1"/>
          <w:lang w:val="es-ES" w:eastAsia="es-ES_tradnl"/>
        </w:rPr>
        <w:t>Como se observa en el artículo anteriormente citado</w:t>
      </w:r>
      <w:r w:rsidR="00A43751" w:rsidRPr="00163BF5">
        <w:rPr>
          <w:rFonts w:eastAsia="Calibri"/>
          <w:color w:val="000000" w:themeColor="text1"/>
          <w:lang w:val="es-ES" w:eastAsia="es-ES_tradnl"/>
        </w:rPr>
        <w:t xml:space="preserve">, </w:t>
      </w:r>
      <w:r w:rsidRPr="00163BF5">
        <w:rPr>
          <w:rFonts w:eastAsia="Calibri"/>
          <w:color w:val="000000" w:themeColor="text1"/>
          <w:lang w:val="es-ES" w:eastAsia="es-ES_tradnl"/>
        </w:rPr>
        <w:t xml:space="preserve">no se señala nada referente a la inexistencia de una solicitud de dinero o pago por el rescate de la víctima. Sin embargo, si llegase a existir esta solicitud; el delito cambiaría al </w:t>
      </w:r>
      <w:r w:rsidR="00A43751" w:rsidRPr="00163BF5">
        <w:rPr>
          <w:rFonts w:eastAsia="Calibri"/>
          <w:color w:val="000000" w:themeColor="text1"/>
          <w:lang w:val="es-ES" w:eastAsia="es-ES_tradnl"/>
        </w:rPr>
        <w:t xml:space="preserve">de </w:t>
      </w:r>
      <w:r w:rsidRPr="00163BF5">
        <w:rPr>
          <w:rFonts w:eastAsia="Calibri"/>
          <w:color w:val="000000" w:themeColor="text1"/>
          <w:lang w:val="es-ES" w:eastAsia="es-ES_tradnl"/>
        </w:rPr>
        <w:t xml:space="preserve">secuestro extorsivo encontrado en el artículo 162 del COIP: </w:t>
      </w:r>
    </w:p>
    <w:p w14:paraId="5F642B37"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 xml:space="preserve">Secuestro extorsivo. - Si la persona que ejecuta la conducta sancionada en el artículo 161 de este Código tiene como propósito cometer otra infracción u obtener de la o las víctimas o de terceras personas dinero, bienes, títulos, documentos, beneficios, acciones u omisiones que produzcan efectos jurídicos o que alteren de cualquier manera sus derechos a cambio de su libertad, será sancionada con pena privativa de libertad de diez a trece años. Se aplicará la pena máxima cuando concurra alguna de las siguientes circunstancias: </w:t>
      </w:r>
    </w:p>
    <w:p w14:paraId="20DAC413"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1. Si la privación de libertad de la víctima se prolonga por más de ocho días.</w:t>
      </w:r>
    </w:p>
    <w:p w14:paraId="03A0D510"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 xml:space="preserve">2. Si se ha cumplido alguna de las condiciones impuestas para recuperar la libertad. </w:t>
      </w:r>
    </w:p>
    <w:p w14:paraId="4C1A7737" w14:textId="77777777"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_tradnl" w:eastAsia="es-ES_tradnl"/>
        </w:rPr>
        <w:t>3. Si la víctima es una persona menor de dieciocho años, mayor de sesenta y cinco años, mujer embarazada o persona con discapacidad o que padezca enfermedades que comprometan su vida.</w:t>
      </w:r>
    </w:p>
    <w:p w14:paraId="2E5C5FDC"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 xml:space="preserve">4. Si se comete con apoderamiento de nave o aeronave, vehículos o cualquier otro transporte. </w:t>
      </w:r>
    </w:p>
    <w:p w14:paraId="28D63D76"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5. Si se comete total o parcialmente desde el extranjero.</w:t>
      </w:r>
    </w:p>
    <w:p w14:paraId="3E0096BC"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6. Si la víctima es entregada a terceros a fin de obtener cualquier beneficio o asegurar el cumplimiento de la exigencia a cambio de su liberación.</w:t>
      </w:r>
    </w:p>
    <w:p w14:paraId="37A36CFC"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7. Si se ejecuta la conducta con la intervención de una persona con quien la víctima mantenga relación laboral, comercial u otra similar; persona de confianza o pariente dentro del cuarto grado de consanguinidad y segundo de afinidad.</w:t>
      </w:r>
    </w:p>
    <w:p w14:paraId="1398CC5A"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 xml:space="preserve">8. Si el secuestro se realiza con fines políticos, ideológicos, religiosos o publicitarios. </w:t>
      </w:r>
    </w:p>
    <w:p w14:paraId="67E45323"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 xml:space="preserve">9. Si se somete a la víctima a tortura física o psicológica, teniendo como resultado lesiones no permanentes, durante el tiempo que permanezca secuestrada, siempre que no constituya otro delito que pueda ser juzgado independientemente. </w:t>
      </w:r>
    </w:p>
    <w:p w14:paraId="3D5659A1"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 xml:space="preserve">10. Si la víctima ha sido sometida a violencia física, sexual o psicológica ocasionándole lesiones permanentes. </w:t>
      </w:r>
    </w:p>
    <w:p w14:paraId="34B94F41" w14:textId="1D79FA70" w:rsidR="0002107B" w:rsidRPr="00163BF5" w:rsidRDefault="0002107B" w:rsidP="0002107B">
      <w:pPr>
        <w:ind w:left="1440"/>
        <w:jc w:val="both"/>
        <w:rPr>
          <w:rFonts w:eastAsia="Calibri"/>
          <w:color w:val="000000" w:themeColor="text1"/>
          <w:sz w:val="22"/>
          <w:szCs w:val="22"/>
          <w:lang w:val="es-ES" w:eastAsia="es-ES_tradnl"/>
        </w:rPr>
      </w:pPr>
      <w:r w:rsidRPr="00163BF5">
        <w:rPr>
          <w:rFonts w:eastAsia="Calibri"/>
          <w:color w:val="000000" w:themeColor="text1"/>
          <w:sz w:val="22"/>
          <w:szCs w:val="22"/>
          <w:lang w:val="es-ES_tradnl" w:eastAsia="es-ES_tradnl"/>
        </w:rPr>
        <w:t xml:space="preserve">Cuando por causa o con ocasión del secuestro le </w:t>
      </w:r>
      <w:r w:rsidR="00FE7A87" w:rsidRPr="00163BF5">
        <w:rPr>
          <w:rFonts w:eastAsia="Calibri"/>
          <w:color w:val="000000" w:themeColor="text1"/>
          <w:sz w:val="22"/>
          <w:szCs w:val="22"/>
          <w:lang w:val="es-ES_tradnl" w:eastAsia="es-ES_tradnl"/>
        </w:rPr>
        <w:t>sobrevenga</w:t>
      </w:r>
      <w:r w:rsidRPr="00163BF5">
        <w:rPr>
          <w:rFonts w:eastAsia="Calibri"/>
          <w:color w:val="000000" w:themeColor="text1"/>
          <w:sz w:val="22"/>
          <w:szCs w:val="22"/>
          <w:lang w:val="es-ES" w:eastAsia="es-ES_tradnl"/>
        </w:rPr>
        <w:t xml:space="preserve">a </w:t>
      </w:r>
      <w:r w:rsidRPr="00163BF5">
        <w:rPr>
          <w:rFonts w:eastAsia="Calibri"/>
          <w:color w:val="000000" w:themeColor="text1"/>
          <w:sz w:val="22"/>
          <w:szCs w:val="22"/>
          <w:lang w:val="es-ES_tradnl" w:eastAsia="es-ES_tradnl"/>
        </w:rPr>
        <w:t>a la víctima la muerte, se sancionará con pena privativa de libertad de veintidós a veintiséis años</w:t>
      </w:r>
      <w:r w:rsidR="00523543" w:rsidRPr="00163BF5">
        <w:rPr>
          <w:rFonts w:eastAsia="Calibri"/>
          <w:color w:val="000000" w:themeColor="text1"/>
          <w:sz w:val="22"/>
          <w:szCs w:val="22"/>
          <w:lang w:val="es-ES_tradnl" w:eastAsia="es-ES_tradnl"/>
        </w:rPr>
        <w:t xml:space="preserve">. </w:t>
      </w:r>
      <w:r w:rsidRPr="00163BF5">
        <w:rPr>
          <w:rFonts w:eastAsia="Calibri"/>
          <w:color w:val="000000" w:themeColor="text1"/>
          <w:sz w:val="22"/>
          <w:szCs w:val="22"/>
          <w:lang w:val="es-ES_tradnl" w:eastAsia="es-ES_tradnl"/>
        </w:rPr>
        <w:t>(</w:t>
      </w:r>
      <w:r w:rsidRPr="00163BF5">
        <w:rPr>
          <w:rFonts w:eastAsia="Calibri"/>
          <w:color w:val="000000" w:themeColor="text1"/>
          <w:sz w:val="22"/>
          <w:szCs w:val="22"/>
          <w:lang w:val="es-ES" w:eastAsia="es-ES_tradnl"/>
        </w:rPr>
        <w:t>COIP, 2014, art. 162)</w:t>
      </w:r>
    </w:p>
    <w:p w14:paraId="44223B51" w14:textId="77777777" w:rsidR="0002107B" w:rsidRPr="00163BF5" w:rsidRDefault="0002107B" w:rsidP="0002107B">
      <w:pPr>
        <w:ind w:left="1440"/>
        <w:jc w:val="both"/>
        <w:rPr>
          <w:rFonts w:eastAsia="Calibri"/>
          <w:color w:val="000000" w:themeColor="text1"/>
          <w:lang w:val="es-ES" w:eastAsia="es-ES_tradnl"/>
        </w:rPr>
      </w:pPr>
    </w:p>
    <w:p w14:paraId="704A6FEF" w14:textId="6EAF8C11" w:rsidR="0002107B" w:rsidRPr="00163BF5" w:rsidRDefault="00BD3A07" w:rsidP="0002107B">
      <w:pPr>
        <w:spacing w:line="480" w:lineRule="auto"/>
        <w:ind w:firstLine="708"/>
        <w:jc w:val="both"/>
        <w:rPr>
          <w:rFonts w:eastAsia="Calibri"/>
          <w:color w:val="000000" w:themeColor="text1"/>
          <w:lang w:val="es-ES" w:eastAsia="es-ES_tradnl"/>
        </w:rPr>
      </w:pPr>
      <w:r w:rsidRPr="00163BF5">
        <w:rPr>
          <w:rFonts w:eastAsia="Calibri"/>
          <w:color w:val="000000" w:themeColor="text1"/>
          <w:lang w:val="es-ES" w:eastAsia="es-ES_tradnl"/>
        </w:rPr>
        <w:t>S</w:t>
      </w:r>
      <w:r w:rsidR="0002107B" w:rsidRPr="00163BF5">
        <w:rPr>
          <w:rFonts w:eastAsia="Calibri"/>
          <w:color w:val="000000" w:themeColor="text1"/>
          <w:lang w:val="es-ES" w:eastAsia="es-ES_tradnl"/>
        </w:rPr>
        <w:t>e puede</w:t>
      </w:r>
      <w:r w:rsidRPr="00163BF5">
        <w:rPr>
          <w:rFonts w:eastAsia="Calibri"/>
          <w:color w:val="000000" w:themeColor="text1"/>
          <w:lang w:val="es-ES" w:eastAsia="es-ES_tradnl"/>
        </w:rPr>
        <w:t xml:space="preserve"> entonces,</w:t>
      </w:r>
      <w:r w:rsidR="0002107B" w:rsidRPr="00163BF5">
        <w:rPr>
          <w:rFonts w:eastAsia="Calibri"/>
          <w:color w:val="000000" w:themeColor="text1"/>
          <w:lang w:val="es-ES" w:eastAsia="es-ES_tradnl"/>
        </w:rPr>
        <w:t xml:space="preserve"> establecer que, en el marco normativo ecuatoriano, de existir una solicitud de rescate, ya sea en dinero o cualquier tipo de bienes, títulos y demás acciones u omisiones que deba realizarse a cambio de la libertad de la persona, el delito aplicable en el caso no sería la desaparición involuntaria en lugar de este sería el secuestro extorsivo. </w:t>
      </w:r>
    </w:p>
    <w:p w14:paraId="72B51809" w14:textId="7379AC0A" w:rsidR="0002107B" w:rsidRPr="00163BF5" w:rsidRDefault="0002107B" w:rsidP="00F24FF8">
      <w:pPr>
        <w:pStyle w:val="Ttulo5"/>
        <w:numPr>
          <w:ilvl w:val="3"/>
          <w:numId w:val="27"/>
        </w:numPr>
        <w:rPr>
          <w:rFonts w:ascii="Times New Roman" w:hAnsi="Times New Roman" w:cs="Times New Roman"/>
          <w:color w:val="000000" w:themeColor="text1"/>
          <w:sz w:val="24"/>
          <w:szCs w:val="24"/>
        </w:rPr>
      </w:pPr>
      <w:bookmarkStart w:id="40" w:name="_Toc67513389"/>
      <w:r w:rsidRPr="00163BF5">
        <w:rPr>
          <w:rFonts w:ascii="Times New Roman" w:hAnsi="Times New Roman" w:cs="Times New Roman"/>
          <w:color w:val="000000" w:themeColor="text1"/>
          <w:sz w:val="24"/>
          <w:szCs w:val="24"/>
        </w:rPr>
        <w:t>Cuadro comparativo entre la desaparición forzada y desaparición involuntaria</w:t>
      </w:r>
      <w:bookmarkEnd w:id="40"/>
      <w:r w:rsidRPr="00163BF5">
        <w:rPr>
          <w:rFonts w:ascii="Times New Roman" w:hAnsi="Times New Roman" w:cs="Times New Roman"/>
          <w:color w:val="000000" w:themeColor="text1"/>
          <w:sz w:val="24"/>
          <w:szCs w:val="24"/>
        </w:rPr>
        <w:t xml:space="preserve"> </w:t>
      </w:r>
    </w:p>
    <w:p w14:paraId="286806FC" w14:textId="5100996A" w:rsidR="0002107B" w:rsidRPr="00163BF5" w:rsidRDefault="0002107B" w:rsidP="0002107B">
      <w:pPr>
        <w:spacing w:line="480" w:lineRule="auto"/>
        <w:ind w:firstLine="709"/>
        <w:jc w:val="both"/>
        <w:rPr>
          <w:rFonts w:eastAsia="Calibri"/>
          <w:color w:val="000000" w:themeColor="text1"/>
          <w:lang w:val="es-ES" w:eastAsia="es-ES_tradnl"/>
        </w:rPr>
      </w:pPr>
      <w:r w:rsidRPr="00163BF5">
        <w:rPr>
          <w:rFonts w:eastAsia="Calibri"/>
          <w:color w:val="000000" w:themeColor="text1"/>
          <w:lang w:val="es-ES" w:eastAsia="es-ES_tradnl"/>
        </w:rPr>
        <w:t>Para finalizar el presente capítulo</w:t>
      </w:r>
      <w:r w:rsidR="00BD3A07" w:rsidRPr="00163BF5">
        <w:rPr>
          <w:rFonts w:eastAsia="Calibri"/>
          <w:color w:val="000000" w:themeColor="text1"/>
          <w:lang w:val="es-ES" w:eastAsia="es-ES_tradnl"/>
        </w:rPr>
        <w:t>,</w:t>
      </w:r>
      <w:r w:rsidRPr="00163BF5">
        <w:rPr>
          <w:rFonts w:eastAsia="Calibri"/>
          <w:color w:val="000000" w:themeColor="text1"/>
          <w:lang w:val="es-ES" w:eastAsia="es-ES_tradnl"/>
        </w:rPr>
        <w:t xml:space="preserve"> </w:t>
      </w:r>
      <w:r w:rsidR="00BD3A07" w:rsidRPr="00163BF5">
        <w:rPr>
          <w:rFonts w:eastAsia="Calibri"/>
          <w:color w:val="000000" w:themeColor="text1"/>
          <w:lang w:val="es-ES" w:eastAsia="es-ES_tradnl"/>
        </w:rPr>
        <w:t>es</w:t>
      </w:r>
      <w:r w:rsidRPr="00163BF5">
        <w:rPr>
          <w:rFonts w:eastAsia="Calibri"/>
          <w:color w:val="000000" w:themeColor="text1"/>
          <w:lang w:val="es-ES" w:eastAsia="es-ES_tradnl"/>
        </w:rPr>
        <w:t xml:space="preserve"> importante realizar un cuadro comparativo en el cual se pueda distinguir que elementos corresponden a la desaparición involuntaria y cuales corresponden a la desaparición forzada </w:t>
      </w:r>
    </w:p>
    <w:p w14:paraId="39E0B2CF" w14:textId="77777777" w:rsidR="0002107B" w:rsidRPr="00163BF5" w:rsidRDefault="0002107B" w:rsidP="0002107B">
      <w:pPr>
        <w:spacing w:line="480" w:lineRule="auto"/>
        <w:ind w:left="708" w:firstLine="1"/>
        <w:jc w:val="center"/>
        <w:rPr>
          <w:rFonts w:eastAsia="Calibri"/>
          <w:color w:val="000000" w:themeColor="text1"/>
          <w:lang w:val="es-ES" w:eastAsia="es-ES_tradnl"/>
        </w:rPr>
      </w:pPr>
      <w:r w:rsidRPr="00163BF5">
        <w:rPr>
          <w:rFonts w:eastAsia="Calibri"/>
          <w:color w:val="000000" w:themeColor="text1"/>
          <w:lang w:val="es-ES" w:eastAsia="es-ES_tradnl"/>
        </w:rPr>
        <w:t>Tabla 1: Tabla comparativa entre los elementos de la desaparición forzada y voluntaria</w:t>
      </w:r>
    </w:p>
    <w:tbl>
      <w:tblPr>
        <w:tblStyle w:val="Tablaconcuadrcula"/>
        <w:tblW w:w="8011" w:type="dxa"/>
        <w:tblInd w:w="631" w:type="dxa"/>
        <w:tblLook w:val="04A0" w:firstRow="1" w:lastRow="0" w:firstColumn="1" w:lastColumn="0" w:noHBand="0" w:noVBand="1"/>
      </w:tblPr>
      <w:tblGrid>
        <w:gridCol w:w="2766"/>
        <w:gridCol w:w="2835"/>
        <w:gridCol w:w="2410"/>
      </w:tblGrid>
      <w:tr w:rsidR="0002107B" w:rsidRPr="00163BF5" w14:paraId="3A7E1E5D" w14:textId="77777777" w:rsidTr="00AE14F4">
        <w:tc>
          <w:tcPr>
            <w:tcW w:w="2766" w:type="dxa"/>
          </w:tcPr>
          <w:p w14:paraId="7C38910D" w14:textId="77777777" w:rsidR="0002107B" w:rsidRPr="00163BF5" w:rsidRDefault="0002107B" w:rsidP="0002107B">
            <w:pPr>
              <w:rPr>
                <w:color w:val="000000" w:themeColor="text1"/>
                <w:lang w:val="es-ES"/>
              </w:rPr>
            </w:pPr>
            <w:r w:rsidRPr="00163BF5">
              <w:rPr>
                <w:color w:val="000000" w:themeColor="text1"/>
                <w:lang w:val="es-ES"/>
              </w:rPr>
              <w:t xml:space="preserve">Elementos </w:t>
            </w:r>
          </w:p>
        </w:tc>
        <w:tc>
          <w:tcPr>
            <w:tcW w:w="2835" w:type="dxa"/>
          </w:tcPr>
          <w:p w14:paraId="2121A878" w14:textId="77777777" w:rsidR="0002107B" w:rsidRPr="00163BF5" w:rsidRDefault="0002107B" w:rsidP="0002107B">
            <w:pPr>
              <w:rPr>
                <w:color w:val="000000" w:themeColor="text1"/>
                <w:lang w:val="es-ES"/>
              </w:rPr>
            </w:pPr>
            <w:r w:rsidRPr="00163BF5">
              <w:rPr>
                <w:color w:val="000000" w:themeColor="text1"/>
                <w:lang w:val="es-ES"/>
              </w:rPr>
              <w:t>Desaparición Involuntaria</w:t>
            </w:r>
          </w:p>
        </w:tc>
        <w:tc>
          <w:tcPr>
            <w:tcW w:w="2410" w:type="dxa"/>
          </w:tcPr>
          <w:p w14:paraId="2348CA1A" w14:textId="77777777" w:rsidR="0002107B" w:rsidRPr="00163BF5" w:rsidRDefault="0002107B" w:rsidP="0002107B">
            <w:pPr>
              <w:rPr>
                <w:color w:val="000000" w:themeColor="text1"/>
                <w:lang w:val="es-ES"/>
              </w:rPr>
            </w:pPr>
            <w:r w:rsidRPr="00163BF5">
              <w:rPr>
                <w:color w:val="000000" w:themeColor="text1"/>
                <w:lang w:val="es-ES"/>
              </w:rPr>
              <w:t>Desaparición Forzada</w:t>
            </w:r>
          </w:p>
        </w:tc>
      </w:tr>
      <w:tr w:rsidR="0002107B" w:rsidRPr="00163BF5" w14:paraId="43D10AE8" w14:textId="77777777" w:rsidTr="00AE14F4">
        <w:tc>
          <w:tcPr>
            <w:tcW w:w="2766" w:type="dxa"/>
          </w:tcPr>
          <w:p w14:paraId="135FA43D" w14:textId="77777777" w:rsidR="0002107B" w:rsidRPr="00163BF5" w:rsidRDefault="0002107B" w:rsidP="0002107B">
            <w:pPr>
              <w:rPr>
                <w:color w:val="000000" w:themeColor="text1"/>
                <w:lang w:val="es-ES"/>
              </w:rPr>
            </w:pPr>
            <w:r w:rsidRPr="00163BF5">
              <w:rPr>
                <w:color w:val="000000" w:themeColor="text1"/>
                <w:lang w:val="es-ES"/>
              </w:rPr>
              <w:t xml:space="preserve">Privación ilegal de la libertad </w:t>
            </w:r>
          </w:p>
        </w:tc>
        <w:tc>
          <w:tcPr>
            <w:tcW w:w="2835" w:type="dxa"/>
          </w:tcPr>
          <w:p w14:paraId="572C7274" w14:textId="77777777" w:rsidR="0002107B" w:rsidRPr="00163BF5" w:rsidRDefault="0002107B" w:rsidP="0002107B">
            <w:pPr>
              <w:rPr>
                <w:color w:val="000000" w:themeColor="text1"/>
                <w:lang w:val="es-ES"/>
              </w:rPr>
            </w:pPr>
            <w:r w:rsidRPr="00163BF5">
              <w:rPr>
                <w:noProof/>
                <w:color w:val="000000" w:themeColor="text1"/>
              </w:rPr>
              <w:drawing>
                <wp:anchor distT="0" distB="0" distL="114300" distR="114300" simplePos="0" relativeHeight="251661312" behindDoc="0" locked="0" layoutInCell="1" allowOverlap="1" wp14:anchorId="7D241468" wp14:editId="7511CEE4">
                  <wp:simplePos x="0" y="0"/>
                  <wp:positionH relativeFrom="column">
                    <wp:posOffset>618162</wp:posOffset>
                  </wp:positionH>
                  <wp:positionV relativeFrom="paragraph">
                    <wp:posOffset>57762</wp:posOffset>
                  </wp:positionV>
                  <wp:extent cx="273685" cy="273685"/>
                  <wp:effectExtent l="0" t="0" r="5715" b="5715"/>
                  <wp:wrapThrough wrapText="bothSides">
                    <wp:wrapPolygon edited="0">
                      <wp:start x="0" y="0"/>
                      <wp:lineTo x="0" y="21049"/>
                      <wp:lineTo x="21049" y="21049"/>
                      <wp:lineTo x="21049" y="0"/>
                      <wp:lineTo x="0" y="0"/>
                    </wp:wrapPolygon>
                  </wp:wrapThrough>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3685" cy="273685"/>
                          </a:xfrm>
                          <a:prstGeom prst="rect">
                            <a:avLst/>
                          </a:prstGeom>
                        </pic:spPr>
                      </pic:pic>
                    </a:graphicData>
                  </a:graphic>
                  <wp14:sizeRelH relativeFrom="margin">
                    <wp14:pctWidth>0</wp14:pctWidth>
                  </wp14:sizeRelH>
                  <wp14:sizeRelV relativeFrom="margin">
                    <wp14:pctHeight>0</wp14:pctHeight>
                  </wp14:sizeRelV>
                </wp:anchor>
              </w:drawing>
            </w:r>
          </w:p>
        </w:tc>
        <w:tc>
          <w:tcPr>
            <w:tcW w:w="2410" w:type="dxa"/>
          </w:tcPr>
          <w:p w14:paraId="5F2FB21E" w14:textId="77777777" w:rsidR="0002107B" w:rsidRPr="00163BF5" w:rsidRDefault="0002107B" w:rsidP="0002107B">
            <w:pPr>
              <w:rPr>
                <w:color w:val="000000" w:themeColor="text1"/>
                <w:lang w:val="es-ES"/>
              </w:rPr>
            </w:pPr>
            <w:r w:rsidRPr="00163BF5">
              <w:rPr>
                <w:noProof/>
                <w:color w:val="000000" w:themeColor="text1"/>
              </w:rPr>
              <w:drawing>
                <wp:anchor distT="0" distB="0" distL="114300" distR="114300" simplePos="0" relativeHeight="251660288" behindDoc="0" locked="0" layoutInCell="1" allowOverlap="1" wp14:anchorId="04A794D4" wp14:editId="552AF549">
                  <wp:simplePos x="0" y="0"/>
                  <wp:positionH relativeFrom="column">
                    <wp:posOffset>512345</wp:posOffset>
                  </wp:positionH>
                  <wp:positionV relativeFrom="paragraph">
                    <wp:posOffset>49544</wp:posOffset>
                  </wp:positionV>
                  <wp:extent cx="295275" cy="243840"/>
                  <wp:effectExtent l="0" t="0" r="0" b="0"/>
                  <wp:wrapThrough wrapText="bothSides">
                    <wp:wrapPolygon edited="0">
                      <wp:start x="0" y="0"/>
                      <wp:lineTo x="0" y="20250"/>
                      <wp:lineTo x="20439" y="20250"/>
                      <wp:lineTo x="20439" y="0"/>
                      <wp:lineTo x="0" y="0"/>
                    </wp:wrapPolygon>
                  </wp:wrapThrough>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5275" cy="243840"/>
                          </a:xfrm>
                          <a:prstGeom prst="rect">
                            <a:avLst/>
                          </a:prstGeom>
                        </pic:spPr>
                      </pic:pic>
                    </a:graphicData>
                  </a:graphic>
                  <wp14:sizeRelH relativeFrom="margin">
                    <wp14:pctWidth>0</wp14:pctWidth>
                  </wp14:sizeRelH>
                  <wp14:sizeRelV relativeFrom="margin">
                    <wp14:pctHeight>0</wp14:pctHeight>
                  </wp14:sizeRelV>
                </wp:anchor>
              </w:drawing>
            </w:r>
          </w:p>
        </w:tc>
      </w:tr>
      <w:tr w:rsidR="0002107B" w:rsidRPr="00163BF5" w14:paraId="56AD4938" w14:textId="77777777" w:rsidTr="00AE14F4">
        <w:tc>
          <w:tcPr>
            <w:tcW w:w="2766" w:type="dxa"/>
          </w:tcPr>
          <w:p w14:paraId="459C303C" w14:textId="77777777" w:rsidR="0002107B" w:rsidRPr="00163BF5" w:rsidRDefault="0002107B" w:rsidP="0002107B">
            <w:pPr>
              <w:rPr>
                <w:color w:val="000000" w:themeColor="text1"/>
                <w:lang w:val="es-ES"/>
              </w:rPr>
            </w:pPr>
            <w:r w:rsidRPr="00163BF5">
              <w:rPr>
                <w:color w:val="000000" w:themeColor="text1"/>
                <w:lang w:val="es-ES"/>
              </w:rPr>
              <w:t>Denegación de información</w:t>
            </w:r>
          </w:p>
        </w:tc>
        <w:tc>
          <w:tcPr>
            <w:tcW w:w="2835" w:type="dxa"/>
          </w:tcPr>
          <w:p w14:paraId="13F3525B" w14:textId="77777777" w:rsidR="0002107B" w:rsidRPr="00163BF5" w:rsidRDefault="0002107B" w:rsidP="0002107B">
            <w:pPr>
              <w:rPr>
                <w:color w:val="000000" w:themeColor="text1"/>
                <w:lang w:val="es-ES"/>
              </w:rPr>
            </w:pPr>
            <w:r w:rsidRPr="00163BF5">
              <w:rPr>
                <w:noProof/>
                <w:color w:val="000000" w:themeColor="text1"/>
              </w:rPr>
              <w:drawing>
                <wp:anchor distT="0" distB="0" distL="114300" distR="114300" simplePos="0" relativeHeight="251662336" behindDoc="0" locked="0" layoutInCell="1" allowOverlap="1" wp14:anchorId="61E2A8F1" wp14:editId="4F780AC7">
                  <wp:simplePos x="0" y="0"/>
                  <wp:positionH relativeFrom="column">
                    <wp:posOffset>547343</wp:posOffset>
                  </wp:positionH>
                  <wp:positionV relativeFrom="paragraph">
                    <wp:posOffset>138</wp:posOffset>
                  </wp:positionV>
                  <wp:extent cx="349250" cy="349250"/>
                  <wp:effectExtent l="0" t="0" r="0" b="0"/>
                  <wp:wrapThrough wrapText="bothSides">
                    <wp:wrapPolygon edited="0">
                      <wp:start x="0" y="0"/>
                      <wp:lineTo x="0" y="20029"/>
                      <wp:lineTo x="20029" y="20029"/>
                      <wp:lineTo x="20029" y="0"/>
                      <wp:lineTo x="0" y="0"/>
                    </wp:wrapPolygon>
                  </wp:wrapThrough>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49250" cy="349250"/>
                          </a:xfrm>
                          <a:prstGeom prst="rect">
                            <a:avLst/>
                          </a:prstGeom>
                        </pic:spPr>
                      </pic:pic>
                    </a:graphicData>
                  </a:graphic>
                  <wp14:sizeRelH relativeFrom="margin">
                    <wp14:pctWidth>0</wp14:pctWidth>
                  </wp14:sizeRelH>
                  <wp14:sizeRelV relativeFrom="margin">
                    <wp14:pctHeight>0</wp14:pctHeight>
                  </wp14:sizeRelV>
                </wp:anchor>
              </w:drawing>
            </w:r>
          </w:p>
        </w:tc>
        <w:tc>
          <w:tcPr>
            <w:tcW w:w="2410" w:type="dxa"/>
          </w:tcPr>
          <w:p w14:paraId="78AB1764" w14:textId="77777777" w:rsidR="0002107B" w:rsidRPr="00163BF5" w:rsidRDefault="0002107B" w:rsidP="0002107B">
            <w:pPr>
              <w:rPr>
                <w:color w:val="000000" w:themeColor="text1"/>
                <w:lang w:val="es-ES"/>
              </w:rPr>
            </w:pPr>
            <w:r w:rsidRPr="00163BF5">
              <w:rPr>
                <w:noProof/>
                <w:color w:val="000000" w:themeColor="text1"/>
              </w:rPr>
              <w:drawing>
                <wp:anchor distT="0" distB="0" distL="114300" distR="114300" simplePos="0" relativeHeight="251659264" behindDoc="0" locked="0" layoutInCell="1" allowOverlap="1" wp14:anchorId="4B425D58" wp14:editId="6B054B10">
                  <wp:simplePos x="0" y="0"/>
                  <wp:positionH relativeFrom="column">
                    <wp:posOffset>530860</wp:posOffset>
                  </wp:positionH>
                  <wp:positionV relativeFrom="paragraph">
                    <wp:posOffset>79375</wp:posOffset>
                  </wp:positionV>
                  <wp:extent cx="278765" cy="266700"/>
                  <wp:effectExtent l="0" t="0" r="635" b="0"/>
                  <wp:wrapThrough wrapText="bothSides">
                    <wp:wrapPolygon edited="0">
                      <wp:start x="0" y="0"/>
                      <wp:lineTo x="0" y="20571"/>
                      <wp:lineTo x="20665" y="20571"/>
                      <wp:lineTo x="20665" y="0"/>
                      <wp:lineTo x="0" y="0"/>
                    </wp:wrapPolygon>
                  </wp:wrapThrough>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8765" cy="266700"/>
                          </a:xfrm>
                          <a:prstGeom prst="rect">
                            <a:avLst/>
                          </a:prstGeom>
                        </pic:spPr>
                      </pic:pic>
                    </a:graphicData>
                  </a:graphic>
                  <wp14:sizeRelH relativeFrom="margin">
                    <wp14:pctWidth>0</wp14:pctWidth>
                  </wp14:sizeRelH>
                  <wp14:sizeRelV relativeFrom="margin">
                    <wp14:pctHeight>0</wp14:pctHeight>
                  </wp14:sizeRelV>
                </wp:anchor>
              </w:drawing>
            </w:r>
          </w:p>
        </w:tc>
      </w:tr>
      <w:tr w:rsidR="0002107B" w:rsidRPr="00163BF5" w14:paraId="250FCD41" w14:textId="77777777" w:rsidTr="00AE14F4">
        <w:tc>
          <w:tcPr>
            <w:tcW w:w="2766" w:type="dxa"/>
          </w:tcPr>
          <w:p w14:paraId="50DEC6C7" w14:textId="77777777" w:rsidR="0002107B" w:rsidRPr="00163BF5" w:rsidRDefault="0002107B" w:rsidP="0002107B">
            <w:pPr>
              <w:rPr>
                <w:color w:val="000000" w:themeColor="text1"/>
                <w:lang w:val="es-ES"/>
              </w:rPr>
            </w:pPr>
            <w:r w:rsidRPr="00163BF5">
              <w:rPr>
                <w:color w:val="000000" w:themeColor="text1"/>
                <w:lang w:val="es-ES"/>
              </w:rPr>
              <w:t>Sujeto activo calificado: agente estatal o aquiescencia del estado</w:t>
            </w:r>
          </w:p>
        </w:tc>
        <w:tc>
          <w:tcPr>
            <w:tcW w:w="2835" w:type="dxa"/>
          </w:tcPr>
          <w:p w14:paraId="0D7CAD8B" w14:textId="77777777" w:rsidR="0002107B" w:rsidRPr="00163BF5" w:rsidRDefault="0002107B" w:rsidP="0002107B">
            <w:pPr>
              <w:rPr>
                <w:color w:val="000000" w:themeColor="text1"/>
                <w:lang w:val="es-ES"/>
              </w:rPr>
            </w:pPr>
            <w:r w:rsidRPr="00163BF5">
              <w:rPr>
                <w:noProof/>
                <w:color w:val="000000" w:themeColor="text1"/>
              </w:rPr>
              <w:drawing>
                <wp:anchor distT="0" distB="0" distL="114300" distR="114300" simplePos="0" relativeHeight="251668480" behindDoc="0" locked="0" layoutInCell="1" allowOverlap="1" wp14:anchorId="47C6F760" wp14:editId="370CEB6D">
                  <wp:simplePos x="0" y="0"/>
                  <wp:positionH relativeFrom="column">
                    <wp:posOffset>486024</wp:posOffset>
                  </wp:positionH>
                  <wp:positionV relativeFrom="paragraph">
                    <wp:posOffset>63058</wp:posOffset>
                  </wp:positionV>
                  <wp:extent cx="410403" cy="410403"/>
                  <wp:effectExtent l="0" t="0" r="8890" b="8890"/>
                  <wp:wrapNone/>
                  <wp:docPr id="19" name="Imagen 19" descr="Marca X En Círculo, Estilo De Dibujar Pincel, Ilustración Vectorial  Ilustraciones Vectoriales, Clip Art Vectorizado Libre De Derechos. Image  85643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ca X En Círculo, Estilo De Dibujar Pincel, Ilustración Vectorial  Ilustraciones Vectoriales, Clip Art Vectorizado Libre De Derechos. Image  856434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0403" cy="410403"/>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10" w:type="dxa"/>
          </w:tcPr>
          <w:p w14:paraId="031A5A88" w14:textId="77777777" w:rsidR="0002107B" w:rsidRPr="00163BF5" w:rsidRDefault="0002107B" w:rsidP="0002107B">
            <w:pPr>
              <w:rPr>
                <w:color w:val="000000" w:themeColor="text1"/>
                <w:lang w:val="es-ES"/>
              </w:rPr>
            </w:pPr>
            <w:r w:rsidRPr="00163BF5">
              <w:rPr>
                <w:noProof/>
                <w:color w:val="000000" w:themeColor="text1"/>
              </w:rPr>
              <w:drawing>
                <wp:anchor distT="0" distB="0" distL="114300" distR="114300" simplePos="0" relativeHeight="251665408" behindDoc="0" locked="0" layoutInCell="1" allowOverlap="1" wp14:anchorId="05B08E5E" wp14:editId="6152507D">
                  <wp:simplePos x="0" y="0"/>
                  <wp:positionH relativeFrom="column">
                    <wp:posOffset>456648</wp:posOffset>
                  </wp:positionH>
                  <wp:positionV relativeFrom="paragraph">
                    <wp:posOffset>1408</wp:posOffset>
                  </wp:positionV>
                  <wp:extent cx="349250" cy="349250"/>
                  <wp:effectExtent l="0" t="0" r="0" b="0"/>
                  <wp:wrapThrough wrapText="bothSides">
                    <wp:wrapPolygon edited="0">
                      <wp:start x="0" y="0"/>
                      <wp:lineTo x="0" y="20029"/>
                      <wp:lineTo x="20029" y="20029"/>
                      <wp:lineTo x="20029" y="0"/>
                      <wp:lineTo x="0" y="0"/>
                    </wp:wrapPolygon>
                  </wp:wrapThrough>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49250" cy="349250"/>
                          </a:xfrm>
                          <a:prstGeom prst="rect">
                            <a:avLst/>
                          </a:prstGeom>
                        </pic:spPr>
                      </pic:pic>
                    </a:graphicData>
                  </a:graphic>
                  <wp14:sizeRelH relativeFrom="margin">
                    <wp14:pctWidth>0</wp14:pctWidth>
                  </wp14:sizeRelH>
                  <wp14:sizeRelV relativeFrom="margin">
                    <wp14:pctHeight>0</wp14:pctHeight>
                  </wp14:sizeRelV>
                </wp:anchor>
              </w:drawing>
            </w:r>
          </w:p>
        </w:tc>
      </w:tr>
      <w:tr w:rsidR="0002107B" w:rsidRPr="00163BF5" w14:paraId="2A531A01" w14:textId="77777777" w:rsidTr="00AE14F4">
        <w:tc>
          <w:tcPr>
            <w:tcW w:w="2766" w:type="dxa"/>
          </w:tcPr>
          <w:p w14:paraId="6A41F2C8" w14:textId="77777777" w:rsidR="0002107B" w:rsidRPr="00163BF5" w:rsidRDefault="0002107B" w:rsidP="0002107B">
            <w:pPr>
              <w:rPr>
                <w:color w:val="000000" w:themeColor="text1"/>
                <w:lang w:val="es-ES"/>
              </w:rPr>
            </w:pPr>
            <w:r w:rsidRPr="00163BF5">
              <w:rPr>
                <w:color w:val="000000" w:themeColor="text1"/>
                <w:lang w:val="es-ES"/>
              </w:rPr>
              <w:t>Sujeto activo no calificado: cualquier persona</w:t>
            </w:r>
          </w:p>
        </w:tc>
        <w:tc>
          <w:tcPr>
            <w:tcW w:w="2835" w:type="dxa"/>
          </w:tcPr>
          <w:p w14:paraId="7F0BCE06" w14:textId="77777777" w:rsidR="0002107B" w:rsidRPr="00163BF5" w:rsidRDefault="0002107B" w:rsidP="0002107B">
            <w:pPr>
              <w:rPr>
                <w:color w:val="000000" w:themeColor="text1"/>
                <w:lang w:val="es-ES"/>
              </w:rPr>
            </w:pPr>
            <w:r w:rsidRPr="00163BF5">
              <w:rPr>
                <w:noProof/>
                <w:color w:val="000000" w:themeColor="text1"/>
              </w:rPr>
              <w:drawing>
                <wp:anchor distT="0" distB="0" distL="114300" distR="114300" simplePos="0" relativeHeight="251664384" behindDoc="0" locked="0" layoutInCell="1" allowOverlap="1" wp14:anchorId="2DE6A8EC" wp14:editId="04EB3397">
                  <wp:simplePos x="0" y="0"/>
                  <wp:positionH relativeFrom="column">
                    <wp:posOffset>507586</wp:posOffset>
                  </wp:positionH>
                  <wp:positionV relativeFrom="paragraph">
                    <wp:posOffset>47708</wp:posOffset>
                  </wp:positionV>
                  <wp:extent cx="349250" cy="349250"/>
                  <wp:effectExtent l="0" t="0" r="0" b="0"/>
                  <wp:wrapThrough wrapText="bothSides">
                    <wp:wrapPolygon edited="0">
                      <wp:start x="0" y="0"/>
                      <wp:lineTo x="0" y="20029"/>
                      <wp:lineTo x="20029" y="20029"/>
                      <wp:lineTo x="20029" y="0"/>
                      <wp:lineTo x="0" y="0"/>
                    </wp:wrapPolygon>
                  </wp:wrapThrough>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49250" cy="349250"/>
                          </a:xfrm>
                          <a:prstGeom prst="rect">
                            <a:avLst/>
                          </a:prstGeom>
                        </pic:spPr>
                      </pic:pic>
                    </a:graphicData>
                  </a:graphic>
                  <wp14:sizeRelH relativeFrom="margin">
                    <wp14:pctWidth>0</wp14:pctWidth>
                  </wp14:sizeRelH>
                  <wp14:sizeRelV relativeFrom="margin">
                    <wp14:pctHeight>0</wp14:pctHeight>
                  </wp14:sizeRelV>
                </wp:anchor>
              </w:drawing>
            </w:r>
          </w:p>
        </w:tc>
        <w:tc>
          <w:tcPr>
            <w:tcW w:w="2410" w:type="dxa"/>
          </w:tcPr>
          <w:p w14:paraId="02EBC78D" w14:textId="77777777" w:rsidR="0002107B" w:rsidRPr="00163BF5" w:rsidRDefault="0002107B" w:rsidP="0002107B">
            <w:pPr>
              <w:rPr>
                <w:color w:val="000000" w:themeColor="text1"/>
                <w:lang w:val="es-ES"/>
              </w:rPr>
            </w:pPr>
            <w:r w:rsidRPr="00163BF5">
              <w:rPr>
                <w:noProof/>
                <w:color w:val="000000" w:themeColor="text1"/>
              </w:rPr>
              <w:drawing>
                <wp:anchor distT="0" distB="0" distL="114300" distR="114300" simplePos="0" relativeHeight="251667456" behindDoc="0" locked="0" layoutInCell="1" allowOverlap="1" wp14:anchorId="4E26D0C4" wp14:editId="4223CFC9">
                  <wp:simplePos x="0" y="0"/>
                  <wp:positionH relativeFrom="column">
                    <wp:posOffset>403860</wp:posOffset>
                  </wp:positionH>
                  <wp:positionV relativeFrom="paragraph">
                    <wp:posOffset>47625</wp:posOffset>
                  </wp:positionV>
                  <wp:extent cx="410403" cy="410403"/>
                  <wp:effectExtent l="0" t="0" r="8890" b="8890"/>
                  <wp:wrapNone/>
                  <wp:docPr id="18" name="Imagen 18" descr="Marca X En Círculo, Estilo De Dibujar Pincel, Ilustración Vectorial  Ilustraciones Vectoriales, Clip Art Vectorizado Libre De Derechos. Image  85643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ca X En Círculo, Estilo De Dibujar Pincel, Ilustración Vectorial  Ilustraciones Vectoriales, Clip Art Vectorizado Libre De Derechos. Image  856434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0403" cy="410403"/>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02107B" w:rsidRPr="00163BF5" w14:paraId="7E834139" w14:textId="77777777" w:rsidTr="00AE14F4">
        <w:tc>
          <w:tcPr>
            <w:tcW w:w="2766" w:type="dxa"/>
          </w:tcPr>
          <w:p w14:paraId="51197188" w14:textId="77777777" w:rsidR="0002107B" w:rsidRPr="00163BF5" w:rsidRDefault="0002107B" w:rsidP="0002107B">
            <w:pPr>
              <w:rPr>
                <w:color w:val="000000" w:themeColor="text1"/>
                <w:lang w:val="es-ES"/>
              </w:rPr>
            </w:pPr>
            <w:r w:rsidRPr="00163BF5">
              <w:rPr>
                <w:color w:val="000000" w:themeColor="text1"/>
                <w:lang w:val="es-ES"/>
              </w:rPr>
              <w:t>Inexistencia de una solicitud de rescate o dinero por la víctima</w:t>
            </w:r>
          </w:p>
        </w:tc>
        <w:tc>
          <w:tcPr>
            <w:tcW w:w="2835" w:type="dxa"/>
          </w:tcPr>
          <w:p w14:paraId="58253EBA" w14:textId="77777777" w:rsidR="0002107B" w:rsidRPr="00163BF5" w:rsidRDefault="0002107B" w:rsidP="0002107B">
            <w:pPr>
              <w:rPr>
                <w:color w:val="000000" w:themeColor="text1"/>
                <w:lang w:val="es-ES"/>
              </w:rPr>
            </w:pPr>
            <w:r w:rsidRPr="00163BF5">
              <w:rPr>
                <w:noProof/>
                <w:color w:val="000000" w:themeColor="text1"/>
              </w:rPr>
              <w:drawing>
                <wp:anchor distT="0" distB="0" distL="114300" distR="114300" simplePos="0" relativeHeight="251663360" behindDoc="0" locked="0" layoutInCell="1" allowOverlap="1" wp14:anchorId="72E73107" wp14:editId="2A50BFAC">
                  <wp:simplePos x="0" y="0"/>
                  <wp:positionH relativeFrom="column">
                    <wp:posOffset>507586</wp:posOffset>
                  </wp:positionH>
                  <wp:positionV relativeFrom="paragraph">
                    <wp:posOffset>112561</wp:posOffset>
                  </wp:positionV>
                  <wp:extent cx="349250" cy="349250"/>
                  <wp:effectExtent l="0" t="0" r="0" b="0"/>
                  <wp:wrapThrough wrapText="bothSides">
                    <wp:wrapPolygon edited="0">
                      <wp:start x="0" y="0"/>
                      <wp:lineTo x="0" y="20029"/>
                      <wp:lineTo x="20029" y="20029"/>
                      <wp:lineTo x="20029" y="0"/>
                      <wp:lineTo x="0" y="0"/>
                    </wp:wrapPolygon>
                  </wp:wrapThrough>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49250" cy="349250"/>
                          </a:xfrm>
                          <a:prstGeom prst="rect">
                            <a:avLst/>
                          </a:prstGeom>
                        </pic:spPr>
                      </pic:pic>
                    </a:graphicData>
                  </a:graphic>
                  <wp14:sizeRelH relativeFrom="margin">
                    <wp14:pctWidth>0</wp14:pctWidth>
                  </wp14:sizeRelH>
                  <wp14:sizeRelV relativeFrom="margin">
                    <wp14:pctHeight>0</wp14:pctHeight>
                  </wp14:sizeRelV>
                </wp:anchor>
              </w:drawing>
            </w:r>
          </w:p>
        </w:tc>
        <w:tc>
          <w:tcPr>
            <w:tcW w:w="2410" w:type="dxa"/>
          </w:tcPr>
          <w:p w14:paraId="27E45AFC" w14:textId="77777777" w:rsidR="0002107B" w:rsidRPr="00163BF5" w:rsidRDefault="0002107B" w:rsidP="0002107B">
            <w:pPr>
              <w:rPr>
                <w:color w:val="000000" w:themeColor="text1"/>
                <w:lang w:val="es-ES"/>
              </w:rPr>
            </w:pPr>
            <w:r w:rsidRPr="00163BF5">
              <w:rPr>
                <w:noProof/>
                <w:color w:val="000000" w:themeColor="text1"/>
              </w:rPr>
              <w:drawing>
                <wp:anchor distT="0" distB="0" distL="114300" distR="114300" simplePos="0" relativeHeight="251666432" behindDoc="0" locked="0" layoutInCell="1" allowOverlap="1" wp14:anchorId="76D5F323" wp14:editId="08DD74C3">
                  <wp:simplePos x="0" y="0"/>
                  <wp:positionH relativeFrom="column">
                    <wp:posOffset>402866</wp:posOffset>
                  </wp:positionH>
                  <wp:positionV relativeFrom="paragraph">
                    <wp:posOffset>54196</wp:posOffset>
                  </wp:positionV>
                  <wp:extent cx="410403" cy="410403"/>
                  <wp:effectExtent l="0" t="0" r="8890" b="8890"/>
                  <wp:wrapNone/>
                  <wp:docPr id="17" name="Imagen 17" descr="Marca X En Círculo, Estilo De Dibujar Pincel, Ilustración Vectorial  Ilustraciones Vectoriales, Clip Art Vectorizado Libre De Derechos. Image  85643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ca X En Círculo, Estilo De Dibujar Pincel, Ilustración Vectorial  Ilustraciones Vectoriales, Clip Art Vectorizado Libre De Derechos. Image  856434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0403" cy="410403"/>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0C6A1315" w14:textId="77777777" w:rsidR="0002107B" w:rsidRPr="00163BF5" w:rsidRDefault="0002107B" w:rsidP="0002107B">
      <w:pPr>
        <w:spacing w:line="480" w:lineRule="auto"/>
        <w:jc w:val="center"/>
        <w:rPr>
          <w:rFonts w:eastAsia="Calibri"/>
          <w:color w:val="000000" w:themeColor="text1"/>
          <w:lang w:val="es-ES" w:eastAsia="es-ES_tradnl"/>
        </w:rPr>
      </w:pPr>
      <w:r w:rsidRPr="00163BF5">
        <w:rPr>
          <w:rFonts w:eastAsia="Calibri"/>
          <w:color w:val="000000" w:themeColor="text1"/>
          <w:lang w:val="es-ES" w:eastAsia="es-ES_tradnl"/>
        </w:rPr>
        <w:t>Autor: Daniel Sepúlveda, 2020.</w:t>
      </w:r>
    </w:p>
    <w:p w14:paraId="3EB3629A" w14:textId="52DBA778" w:rsidR="00F24FF8" w:rsidRPr="00163BF5" w:rsidRDefault="0002107B" w:rsidP="009F112D">
      <w:pPr>
        <w:spacing w:line="480" w:lineRule="auto"/>
        <w:ind w:firstLine="709"/>
        <w:jc w:val="both"/>
        <w:rPr>
          <w:rFonts w:eastAsia="Calibri"/>
          <w:color w:val="000000" w:themeColor="text1"/>
          <w:lang w:val="es-ES" w:eastAsia="es-ES_tradnl"/>
        </w:rPr>
      </w:pPr>
      <w:r w:rsidRPr="00163BF5">
        <w:rPr>
          <w:rFonts w:eastAsia="Calibri"/>
          <w:color w:val="000000" w:themeColor="text1"/>
          <w:lang w:val="es-ES" w:eastAsia="es-ES_tradnl"/>
        </w:rPr>
        <w:t>La principal diferencia entre la desaparición forzada y la desaparición involuntaria radica en que el sujeto activo que realiza la desaparición forzada debe ser un agente estatal o por aquiescencia del Estado, mientras que el sujeto activo que realiza la desaparición involuntaria no es determinado y se entiende que puede ser cualquier persona. En cuanto a la diferencia secundaria que versa sobre la</w:t>
      </w:r>
      <w:r w:rsidRPr="00163BF5">
        <w:rPr>
          <w:rFonts w:eastAsia="Calibri"/>
          <w:color w:val="000000" w:themeColor="text1"/>
          <w:lang w:val="es-ES_tradnl" w:eastAsia="es-ES_tradnl"/>
        </w:rPr>
        <w:t xml:space="preserve"> inexistencia de una solicitud de rescate o dinero por la víctima</w:t>
      </w:r>
      <w:r w:rsidRPr="00163BF5">
        <w:rPr>
          <w:rFonts w:eastAsia="Calibri"/>
          <w:color w:val="000000" w:themeColor="text1"/>
          <w:lang w:val="es-ES" w:eastAsia="es-ES_tradnl"/>
        </w:rPr>
        <w:t xml:space="preserve">, esta es una característica propia de la desaparición involuntaria y no existe en desaparición forzada. </w:t>
      </w:r>
    </w:p>
    <w:p w14:paraId="2DE05CAD" w14:textId="39CF8259" w:rsidR="0002107B" w:rsidRPr="00163BF5" w:rsidRDefault="0002107B" w:rsidP="00F24FF8">
      <w:pPr>
        <w:pStyle w:val="Ttulo3"/>
        <w:numPr>
          <w:ilvl w:val="1"/>
          <w:numId w:val="27"/>
        </w:numPr>
        <w:rPr>
          <w:rFonts w:eastAsia="Calibri"/>
          <w:lang w:val="es-ES_tradnl" w:eastAsia="es-ES_tradnl"/>
        </w:rPr>
      </w:pPr>
      <w:bookmarkStart w:id="41" w:name="_Toc67513390"/>
      <w:r w:rsidRPr="00163BF5">
        <w:rPr>
          <w:rFonts w:eastAsia="Calibri"/>
          <w:lang w:val="es-ES_tradnl" w:eastAsia="es-ES_tradnl"/>
        </w:rPr>
        <w:t>Víctimas indirectas de las desapariciones</w:t>
      </w:r>
      <w:bookmarkEnd w:id="41"/>
    </w:p>
    <w:p w14:paraId="1350128C" w14:textId="77777777"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Antes de la expedición de la Ley de Actuación en casos de Personas Desaparecidas y Extraviadas en el 2020, no existía ninguna norma nacional que reconozca los derechos de las víctimas indirectas de las desapariciones. </w:t>
      </w:r>
    </w:p>
    <w:p w14:paraId="01E43318" w14:textId="77777777"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La ley antes señalada define como víctima indirecta a “el familiar de la persona desaparecida o extraviada, cónyuge, en unión de hecho y hasta el cuarto grado de consanguinidad y segundo de afinidad, reconociendo la familia en sus diversos tipos” (LOACPDE, 2020, art 4). </w:t>
      </w:r>
    </w:p>
    <w:p w14:paraId="2A88D5F8" w14:textId="77777777" w:rsidR="0002107B" w:rsidRPr="00163BF5" w:rsidRDefault="0002107B" w:rsidP="0002107B">
      <w:pPr>
        <w:spacing w:line="480" w:lineRule="auto"/>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La misma norma reconoce derechos a las víctimas indirectas, siendo estos: </w:t>
      </w:r>
    </w:p>
    <w:p w14:paraId="5E85520D" w14:textId="30E5CF9D" w:rsidR="0002107B" w:rsidRPr="00163BF5" w:rsidRDefault="00A7013F" w:rsidP="00A7013F">
      <w:pPr>
        <w:ind w:left="1032"/>
        <w:contextualSpacing/>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 xml:space="preserve">       1.</w:t>
      </w:r>
      <w:r w:rsidR="0002107B" w:rsidRPr="00163BF5">
        <w:rPr>
          <w:rFonts w:eastAsia="Calibri"/>
          <w:color w:val="000000" w:themeColor="text1"/>
          <w:sz w:val="22"/>
          <w:szCs w:val="22"/>
          <w:lang w:val="es-ES_tradnl" w:eastAsia="es-ES_tradnl"/>
        </w:rPr>
        <w:t>La verdad, tutela judicial efectiva y derechos conexos;</w:t>
      </w:r>
    </w:p>
    <w:p w14:paraId="3BA9AE17"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2. Solicitar a la autoridad competente el acompañamiento y atención necesarias en el ámbito psicológico, durante y después de la búsqueda y localización de la persona desaparecida o extraviada;</w:t>
      </w:r>
    </w:p>
    <w:p w14:paraId="77887B5F"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3. Participar y cooperar en la investigación, búsqueda y localización de la persona desaparecida o extraviada;</w:t>
      </w:r>
    </w:p>
    <w:p w14:paraId="49F1F59B"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4. Ser informadas de manera oportuna y periódica acerca de las circunstancias de los hechos de la desaparición o extravío, de cualquier dato relevante y del paradero de la persona reportada como desaparecida o extraviada. Si existen elementos constitutivos de un presunto delito, a conocer a los presuntos responsables y las acciones realizadas por la autoridad competente de conformidad con lo previsto en el Código Orgánico Integral Penal;</w:t>
      </w:r>
    </w:p>
    <w:p w14:paraId="62680C28" w14:textId="77777777"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5. No ser discriminadas ni estigmatizadas por cualquier razón que tenga por objeto o resultado menoscabar o anular el reconocimiento, goce o ejercicio de sus derechos; y,</w:t>
      </w:r>
    </w:p>
    <w:p w14:paraId="4CA733FF" w14:textId="0F30E3BB" w:rsidR="0002107B" w:rsidRPr="00163BF5" w:rsidRDefault="0002107B" w:rsidP="0002107B">
      <w:pPr>
        <w:ind w:left="1440"/>
        <w:jc w:val="both"/>
        <w:rPr>
          <w:rFonts w:eastAsia="Calibri"/>
          <w:color w:val="000000" w:themeColor="text1"/>
          <w:sz w:val="22"/>
          <w:szCs w:val="22"/>
          <w:lang w:val="es-ES_tradnl" w:eastAsia="es-ES_tradnl"/>
        </w:rPr>
      </w:pPr>
      <w:r w:rsidRPr="00163BF5">
        <w:rPr>
          <w:rFonts w:eastAsia="Calibri"/>
          <w:color w:val="000000" w:themeColor="text1"/>
          <w:sz w:val="22"/>
          <w:szCs w:val="22"/>
          <w:lang w:val="es-ES_tradnl" w:eastAsia="es-ES_tradnl"/>
        </w:rPr>
        <w:t>6. Identificar y reconocer a la persona desaparecida o extraviada cuando esta haya sido encontrada con o sin vida. (LOACPDE, 2020, art.</w:t>
      </w:r>
      <w:r w:rsidR="0002203C" w:rsidRPr="00163BF5">
        <w:rPr>
          <w:rFonts w:eastAsia="Calibri"/>
          <w:color w:val="000000" w:themeColor="text1"/>
          <w:sz w:val="22"/>
          <w:szCs w:val="22"/>
          <w:lang w:val="es-ES_tradnl" w:eastAsia="es-ES_tradnl"/>
        </w:rPr>
        <w:t>6</w:t>
      </w:r>
      <w:r w:rsidRPr="00163BF5">
        <w:rPr>
          <w:rFonts w:eastAsia="Calibri"/>
          <w:color w:val="000000" w:themeColor="text1"/>
          <w:sz w:val="22"/>
          <w:szCs w:val="22"/>
          <w:lang w:val="es-ES_tradnl" w:eastAsia="es-ES_tradnl"/>
        </w:rPr>
        <w:t>)</w:t>
      </w:r>
    </w:p>
    <w:p w14:paraId="458292D5" w14:textId="77777777" w:rsidR="0002107B" w:rsidRPr="00163BF5" w:rsidRDefault="0002107B" w:rsidP="0002107B">
      <w:pPr>
        <w:ind w:left="1440"/>
        <w:jc w:val="both"/>
        <w:rPr>
          <w:rFonts w:eastAsia="Calibri"/>
          <w:color w:val="000000" w:themeColor="text1"/>
          <w:lang w:val="es-ES_tradnl" w:eastAsia="es-ES_tradnl"/>
        </w:rPr>
      </w:pPr>
    </w:p>
    <w:p w14:paraId="3D47BD03" w14:textId="77777777"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 xml:space="preserve">El reconocimiento de derechos a las víctimas indirectas es un hito histórico en materia de derechos humanos, dado antes de la emisión de la Ley de Actuación en casos de Personas Desaparecidas y Extraviadas, las víctimas indirectas no gozaban de derechos y eran excluidos por parte de los órganos estatales quienes se centraban solo en la víctima directa de la desaparición. </w:t>
      </w:r>
    </w:p>
    <w:p w14:paraId="042AE872" w14:textId="327B783B" w:rsidR="0002107B" w:rsidRPr="00163BF5" w:rsidRDefault="0002107B" w:rsidP="0002107B">
      <w:pPr>
        <w:spacing w:line="480" w:lineRule="auto"/>
        <w:ind w:firstLine="708"/>
        <w:jc w:val="both"/>
        <w:rPr>
          <w:rFonts w:eastAsia="Calibri"/>
          <w:color w:val="000000" w:themeColor="text1"/>
          <w:lang w:val="es-ES_tradnl" w:eastAsia="es-ES_tradnl"/>
        </w:rPr>
      </w:pPr>
      <w:r w:rsidRPr="00163BF5">
        <w:rPr>
          <w:rFonts w:eastAsia="Calibri"/>
          <w:color w:val="000000" w:themeColor="text1"/>
          <w:lang w:val="es-ES_tradnl" w:eastAsia="es-ES_tradnl"/>
        </w:rPr>
        <w:t>Esta exclusión por parte de los órganos estatales de búsqueda ocasionó que los familiares de la persona desaparecida no puedan participar o cooperar en la investigación, búsqueda y localización de su familiar desaparecido. Además, que muchas de estas víctimas indirectas no hayan sido informadas sobre la situación de su familiar.</w:t>
      </w:r>
    </w:p>
    <w:p w14:paraId="252F371E" w14:textId="5689E552" w:rsidR="0002107B" w:rsidRPr="00163BF5" w:rsidRDefault="0002107B" w:rsidP="0002107B">
      <w:pPr>
        <w:spacing w:line="480" w:lineRule="auto"/>
        <w:jc w:val="both"/>
        <w:rPr>
          <w:rFonts w:eastAsia="Calibri"/>
          <w:color w:val="000000" w:themeColor="text1"/>
          <w:lang w:val="es-ES_tradnl" w:eastAsia="es-ES_tradnl"/>
        </w:rPr>
      </w:pPr>
    </w:p>
    <w:p w14:paraId="032F4E1D" w14:textId="48D46169" w:rsidR="0002107B" w:rsidRPr="00163BF5" w:rsidRDefault="0002107B" w:rsidP="0002107B">
      <w:pPr>
        <w:spacing w:line="480" w:lineRule="auto"/>
        <w:jc w:val="both"/>
        <w:rPr>
          <w:rFonts w:eastAsia="Calibri"/>
          <w:color w:val="000000" w:themeColor="text1"/>
          <w:lang w:val="es-ES_tradnl" w:eastAsia="es-ES_tradnl"/>
        </w:rPr>
      </w:pPr>
    </w:p>
    <w:p w14:paraId="16A9DFCD" w14:textId="0DFB801C" w:rsidR="0002107B" w:rsidRPr="00163BF5" w:rsidRDefault="0002107B" w:rsidP="0002107B">
      <w:pPr>
        <w:spacing w:line="480" w:lineRule="auto"/>
        <w:jc w:val="both"/>
        <w:rPr>
          <w:rFonts w:eastAsia="Calibri"/>
          <w:color w:val="000000" w:themeColor="text1"/>
          <w:lang w:val="es-ES_tradnl" w:eastAsia="es-ES_tradnl"/>
        </w:rPr>
      </w:pPr>
    </w:p>
    <w:p w14:paraId="046E7456" w14:textId="1C71C9A2" w:rsidR="0002107B" w:rsidRPr="00163BF5" w:rsidRDefault="0002107B" w:rsidP="0002107B">
      <w:pPr>
        <w:spacing w:line="480" w:lineRule="auto"/>
        <w:jc w:val="both"/>
        <w:rPr>
          <w:rFonts w:eastAsia="Calibri"/>
          <w:color w:val="000000" w:themeColor="text1"/>
          <w:lang w:val="es-ES_tradnl" w:eastAsia="es-ES_tradnl"/>
        </w:rPr>
      </w:pPr>
    </w:p>
    <w:p w14:paraId="5450FCC7" w14:textId="41FE4F96" w:rsidR="0002107B" w:rsidRPr="00163BF5" w:rsidRDefault="0002107B" w:rsidP="0002107B">
      <w:pPr>
        <w:spacing w:line="480" w:lineRule="auto"/>
        <w:jc w:val="both"/>
        <w:rPr>
          <w:rFonts w:eastAsia="Calibri"/>
          <w:color w:val="000000" w:themeColor="text1"/>
          <w:lang w:val="es-ES_tradnl" w:eastAsia="es-ES_tradnl"/>
        </w:rPr>
      </w:pPr>
    </w:p>
    <w:p w14:paraId="7E3FB85C" w14:textId="77777777" w:rsidR="002959E1" w:rsidRPr="00163BF5" w:rsidRDefault="002959E1" w:rsidP="0002107B">
      <w:pPr>
        <w:spacing w:line="480" w:lineRule="auto"/>
        <w:jc w:val="both"/>
        <w:rPr>
          <w:rFonts w:eastAsia="Calibri"/>
          <w:color w:val="000000" w:themeColor="text1"/>
          <w:lang w:val="es-ES_tradnl" w:eastAsia="es-ES_tradnl"/>
        </w:rPr>
      </w:pPr>
    </w:p>
    <w:p w14:paraId="174ACCD5" w14:textId="25653139" w:rsidR="0002107B" w:rsidRPr="00163BF5" w:rsidRDefault="00AC35CF" w:rsidP="002959E1">
      <w:pPr>
        <w:pStyle w:val="Ttulo1"/>
        <w:numPr>
          <w:ilvl w:val="0"/>
          <w:numId w:val="0"/>
        </w:numPr>
        <w:ind w:left="720"/>
        <w:jc w:val="center"/>
        <w:rPr>
          <w:rFonts w:eastAsia="Times New Roman"/>
        </w:rPr>
      </w:pPr>
      <w:bookmarkStart w:id="42" w:name="_Toc67513391"/>
      <w:r w:rsidRPr="00163BF5">
        <w:rPr>
          <w:rFonts w:eastAsia="Times New Roman"/>
        </w:rPr>
        <w:t>TERCER</w:t>
      </w:r>
      <w:r w:rsidR="004D5B6D" w:rsidRPr="00163BF5">
        <w:rPr>
          <w:rFonts w:eastAsia="Times New Roman"/>
        </w:rPr>
        <w:t xml:space="preserve"> </w:t>
      </w:r>
      <w:r w:rsidRPr="00163BF5">
        <w:rPr>
          <w:rFonts w:eastAsia="Times New Roman"/>
        </w:rPr>
        <w:t>CAPÍTULO</w:t>
      </w:r>
      <w:bookmarkEnd w:id="42"/>
    </w:p>
    <w:p w14:paraId="5C63CD2F" w14:textId="516EB574" w:rsidR="00AE14F4" w:rsidRPr="00163BF5" w:rsidRDefault="009A27C4" w:rsidP="00F24FF8">
      <w:pPr>
        <w:pStyle w:val="Ttulo2"/>
        <w:numPr>
          <w:ilvl w:val="0"/>
          <w:numId w:val="27"/>
        </w:numPr>
      </w:pPr>
      <w:bookmarkStart w:id="43" w:name="_Toc67513392"/>
      <w:r w:rsidRPr="00163BF5">
        <w:t xml:space="preserve">Los estándares de </w:t>
      </w:r>
      <w:r w:rsidR="00AE14F4" w:rsidRPr="00163BF5">
        <w:t xml:space="preserve">debida diligencia </w:t>
      </w:r>
      <w:r w:rsidRPr="00163BF5">
        <w:t>de la</w:t>
      </w:r>
      <w:r w:rsidR="00AE14F4" w:rsidRPr="00163BF5">
        <w:t xml:space="preserve"> Corte Interamericana de Derechos Humanos en la Ley de Personas Desaparecidas y Extraviadas en el caso de desaparición involuntaria.</w:t>
      </w:r>
      <w:bookmarkEnd w:id="43"/>
      <w:r w:rsidR="00AE14F4" w:rsidRPr="00163BF5">
        <w:t xml:space="preserve"> </w:t>
      </w:r>
    </w:p>
    <w:p w14:paraId="7BC36C39" w14:textId="1F0A46C9" w:rsidR="00AE14F4" w:rsidRPr="00163BF5" w:rsidRDefault="00AE14F4" w:rsidP="00AE14F4">
      <w:pPr>
        <w:spacing w:line="480" w:lineRule="auto"/>
        <w:ind w:firstLine="708"/>
        <w:jc w:val="both"/>
        <w:rPr>
          <w:color w:val="000000" w:themeColor="text1"/>
        </w:rPr>
      </w:pPr>
      <w:r w:rsidRPr="00163BF5">
        <w:rPr>
          <w:color w:val="000000" w:themeColor="text1"/>
        </w:rPr>
        <w:t>El eje de la presente investigación académica se centra en el análisis de los estándares de debida diligencia y su aplicación en la Ley de Personas Desaparecidas y Extraviadas en los casos de desaparición involuntaria. Para ello</w:t>
      </w:r>
      <w:r w:rsidR="00BD3A07" w:rsidRPr="00163BF5">
        <w:rPr>
          <w:color w:val="000000" w:themeColor="text1"/>
        </w:rPr>
        <w:t>,</w:t>
      </w:r>
      <w:r w:rsidRPr="00163BF5">
        <w:rPr>
          <w:color w:val="000000" w:themeColor="text1"/>
        </w:rPr>
        <w:t xml:space="preserve"> en el presente capítulo se va a realizar una revisión de cada uno de los estándares antes mencionados; </w:t>
      </w:r>
      <w:r w:rsidR="0024743C" w:rsidRPr="00163BF5">
        <w:rPr>
          <w:color w:val="000000" w:themeColor="text1"/>
        </w:rPr>
        <w:t>para verificar</w:t>
      </w:r>
      <w:r w:rsidRPr="00163BF5">
        <w:rPr>
          <w:color w:val="000000" w:themeColor="text1"/>
        </w:rPr>
        <w:t xml:space="preserve"> si estos están plasmados de manera correcta e idónea en la Ley de Personas desaparecidas y Extraviadas, en los casos de desaparición involuntaria. </w:t>
      </w:r>
    </w:p>
    <w:p w14:paraId="03AA1B04" w14:textId="2123B499" w:rsidR="009F304A" w:rsidRPr="00163BF5" w:rsidRDefault="009F304A" w:rsidP="00282214">
      <w:pPr>
        <w:pStyle w:val="Ttulo3"/>
        <w:numPr>
          <w:ilvl w:val="1"/>
          <w:numId w:val="32"/>
        </w:numPr>
      </w:pPr>
      <w:bookmarkStart w:id="44" w:name="_Toc67513393"/>
      <w:r w:rsidRPr="00163BF5">
        <w:t>Obligatoriedad del Estado de investigar las violaciones a los derechos humanos.</w:t>
      </w:r>
      <w:bookmarkEnd w:id="44"/>
      <w:r w:rsidRPr="00163BF5">
        <w:t xml:space="preserve"> </w:t>
      </w:r>
    </w:p>
    <w:p w14:paraId="2FDB0C58" w14:textId="77777777" w:rsidR="009F304A" w:rsidRPr="00163BF5" w:rsidRDefault="009F304A" w:rsidP="009F304A">
      <w:pPr>
        <w:spacing w:line="480" w:lineRule="auto"/>
        <w:ind w:firstLine="708"/>
        <w:rPr>
          <w:color w:val="000000" w:themeColor="text1"/>
        </w:rPr>
      </w:pPr>
      <w:r w:rsidRPr="00163BF5">
        <w:rPr>
          <w:color w:val="000000" w:themeColor="text1"/>
        </w:rPr>
        <w:t xml:space="preserve">Los Estados tienen la obligación de investigar las violaciones a los derechos humanos cometidos en su jurisdicción. Esta obligación  nace de los artículos </w:t>
      </w:r>
      <w:r w:rsidRPr="00163BF5">
        <w:rPr>
          <w:color w:val="000000" w:themeColor="text1"/>
          <w:lang w:eastAsia="es-ES_tradnl"/>
        </w:rPr>
        <w:t xml:space="preserve">1.1., </w:t>
      </w:r>
      <w:r w:rsidRPr="00163BF5">
        <w:rPr>
          <w:color w:val="000000" w:themeColor="text1"/>
        </w:rPr>
        <w:t xml:space="preserve">8 y 25.1 de la Convención Americana sobre Derechos Humanos; y son profundizados por parte de la Corte Interamericana de Derechos Humanos. </w:t>
      </w:r>
    </w:p>
    <w:p w14:paraId="01756609" w14:textId="77777777" w:rsidR="009F304A" w:rsidRPr="00163BF5" w:rsidRDefault="009F304A" w:rsidP="009F304A">
      <w:pPr>
        <w:spacing w:line="480" w:lineRule="auto"/>
        <w:ind w:firstLine="708"/>
        <w:rPr>
          <w:color w:val="000000" w:themeColor="text1"/>
        </w:rPr>
      </w:pPr>
      <w:r w:rsidRPr="00163BF5">
        <w:rPr>
          <w:color w:val="000000" w:themeColor="text1"/>
        </w:rPr>
        <w:t xml:space="preserve">En cuanto la relación del artículo 1.1 y la obligación de investigar las violaciones a los derechos humanos, la Corte IDH en el caso Garífuna Triunfo de la Cruz y sus miembros Vs. Honduras recuerda que: </w:t>
      </w:r>
    </w:p>
    <w:p w14:paraId="0FD8277D" w14:textId="6B895667" w:rsidR="009F304A" w:rsidRPr="00163BF5" w:rsidRDefault="009F304A" w:rsidP="001E72E1">
      <w:pPr>
        <w:ind w:left="1440"/>
        <w:jc w:val="both"/>
        <w:rPr>
          <w:color w:val="000000" w:themeColor="text1"/>
          <w:sz w:val="22"/>
          <w:szCs w:val="22"/>
          <w:lang w:eastAsia="es-ES_tradnl"/>
        </w:rPr>
      </w:pPr>
      <w:r w:rsidRPr="00163BF5">
        <w:rPr>
          <w:color w:val="000000" w:themeColor="text1"/>
          <w:sz w:val="22"/>
          <w:szCs w:val="22"/>
          <w:lang w:eastAsia="es-ES_tradnl"/>
        </w:rPr>
        <w:t xml:space="preserve"> […] el artículo 1.1 de la Convención establece que los Estados están obligados a respetar y garantizar los derechos humanos reconocidos en ella. En cuanto al derecho a la vida, estas obligaciones no sólo implican que el Estado debe respetarlos (obligación negativa), sino que, además, requiere que el Estado adopte todas las medidas apropiadas para garantizarlos (obligación positiva) […]</w:t>
      </w:r>
      <w:r w:rsidR="00523543" w:rsidRPr="00163BF5">
        <w:rPr>
          <w:color w:val="000000" w:themeColor="text1"/>
          <w:sz w:val="22"/>
          <w:szCs w:val="22"/>
          <w:lang w:eastAsia="es-ES_tradnl"/>
        </w:rPr>
        <w:t>.</w:t>
      </w:r>
      <w:r w:rsidRPr="00163BF5">
        <w:rPr>
          <w:color w:val="000000" w:themeColor="text1"/>
          <w:sz w:val="22"/>
          <w:szCs w:val="22"/>
          <w:lang w:eastAsia="es-ES_tradnl"/>
        </w:rPr>
        <w:t xml:space="preserve"> (Corte IDH. Caso Comunidad Garífuna Triunfo de la Cruz y sus miembros Vs. Honduras, 2015, párr. 208) </w:t>
      </w:r>
    </w:p>
    <w:p w14:paraId="24B6363B" w14:textId="77777777" w:rsidR="00F92151" w:rsidRPr="00163BF5" w:rsidRDefault="00F92151" w:rsidP="009F304A">
      <w:pPr>
        <w:ind w:left="1416"/>
        <w:jc w:val="both"/>
        <w:rPr>
          <w:color w:val="000000" w:themeColor="text1"/>
          <w:sz w:val="22"/>
          <w:szCs w:val="22"/>
          <w:lang w:eastAsia="es-ES_tradnl"/>
        </w:rPr>
      </w:pPr>
    </w:p>
    <w:p w14:paraId="726F8D12" w14:textId="77777777" w:rsidR="009F304A" w:rsidRPr="00163BF5" w:rsidRDefault="009F304A" w:rsidP="009F304A">
      <w:pPr>
        <w:spacing w:line="480" w:lineRule="auto"/>
        <w:ind w:firstLine="708"/>
        <w:jc w:val="both"/>
        <w:rPr>
          <w:color w:val="000000" w:themeColor="text1"/>
          <w:lang w:eastAsia="es-ES_tradnl"/>
        </w:rPr>
      </w:pPr>
      <w:r w:rsidRPr="00163BF5">
        <w:rPr>
          <w:color w:val="000000" w:themeColor="text1"/>
          <w:lang w:eastAsia="es-ES_tradnl"/>
        </w:rPr>
        <w:t xml:space="preserve">En base a lo señalado por la Corte IDH, lo establecido en el artículo 1.1.  de la CADH, en casos relativos al derecho a la vida, las obligaciones no solo implican el respeto a los derechos, sino que el Estado debe adaptar medidas apropiadas para respetar dichos derechos; entre esas medidas está el deber de investigar por parte del Estado.  </w:t>
      </w:r>
    </w:p>
    <w:p w14:paraId="3C83ECC1" w14:textId="77777777" w:rsidR="009F304A" w:rsidRPr="00163BF5" w:rsidRDefault="009F304A" w:rsidP="009F304A">
      <w:pPr>
        <w:spacing w:line="480" w:lineRule="auto"/>
        <w:ind w:firstLine="708"/>
        <w:jc w:val="both"/>
        <w:rPr>
          <w:color w:val="000000" w:themeColor="text1"/>
          <w:lang w:eastAsia="es-ES_tradnl"/>
        </w:rPr>
      </w:pPr>
      <w:r w:rsidRPr="00163BF5">
        <w:rPr>
          <w:color w:val="000000" w:themeColor="text1"/>
          <w:lang w:eastAsia="es-ES_tradnl"/>
        </w:rPr>
        <w:t xml:space="preserve">En suma, se puede establecer que en el artículo 1.1. de la CADH existe tanto una obligación negativa que es el respeto a los derechos. Como una obligación positiva de tomar medidas que garanticen estos derechos. </w:t>
      </w:r>
    </w:p>
    <w:p w14:paraId="2C1E7810" w14:textId="77777777" w:rsidR="009F304A" w:rsidRPr="00163BF5" w:rsidRDefault="009F304A" w:rsidP="009F304A">
      <w:pPr>
        <w:spacing w:line="480" w:lineRule="auto"/>
        <w:ind w:firstLine="708"/>
        <w:jc w:val="both"/>
        <w:rPr>
          <w:color w:val="000000" w:themeColor="text1"/>
          <w:lang w:eastAsia="es-ES_tradnl"/>
        </w:rPr>
      </w:pPr>
      <w:r w:rsidRPr="00163BF5">
        <w:rPr>
          <w:color w:val="000000" w:themeColor="text1"/>
          <w:lang w:eastAsia="es-ES_tradnl"/>
        </w:rPr>
        <w:t xml:space="preserve">En cuanto al desarrollo de los artículos 8 y 25.1 por parte de la Corte IDH en relación con el deber de investigar; esta obligación se encuentra desarrollada por primera vez en el Caso Velásquez Rodríguez Vs. Honduras menciona: </w:t>
      </w:r>
    </w:p>
    <w:p w14:paraId="27F0D063" w14:textId="0EC4A4B5" w:rsidR="009F304A" w:rsidRPr="00163BF5" w:rsidRDefault="009F304A" w:rsidP="001E72E1">
      <w:pPr>
        <w:ind w:left="1440"/>
        <w:jc w:val="both"/>
        <w:rPr>
          <w:color w:val="000000" w:themeColor="text1"/>
          <w:sz w:val="22"/>
          <w:szCs w:val="22"/>
          <w:lang w:eastAsia="es-ES_tradnl"/>
        </w:rPr>
      </w:pPr>
      <w:r w:rsidRPr="00163BF5">
        <w:rPr>
          <w:color w:val="000000" w:themeColor="text1"/>
          <w:sz w:val="22"/>
          <w:szCs w:val="22"/>
          <w:lang w:eastAsia="es-ES_tradnl"/>
        </w:rPr>
        <w:t>El Estado está en el deber jurídico de prevenir, razonablemente, las violaciones de los derechos humanos, de investigar seriamente con los medios a su alcance las violaciones que se hayan cometido dentro del ámbito de su jurisdicción a fin de identificar a los responsables, de imponerles las sanciones pertinentes y de asegurar a la víctima una adecuada reparación. (Corte IDH, Caso Velásquez Rodríguez Vs. Honduras. 1988, párr. 174)</w:t>
      </w:r>
    </w:p>
    <w:p w14:paraId="39CE786D" w14:textId="77777777" w:rsidR="00F92151" w:rsidRPr="00163BF5" w:rsidRDefault="00F92151" w:rsidP="00BD3A07">
      <w:pPr>
        <w:ind w:left="1416"/>
        <w:jc w:val="both"/>
        <w:rPr>
          <w:color w:val="000000" w:themeColor="text1"/>
          <w:sz w:val="22"/>
          <w:szCs w:val="22"/>
          <w:lang w:eastAsia="es-ES_tradnl"/>
        </w:rPr>
      </w:pPr>
    </w:p>
    <w:p w14:paraId="5C771FE2" w14:textId="343210DC" w:rsidR="009F304A" w:rsidRPr="00163BF5" w:rsidRDefault="00BD3A07" w:rsidP="00BD3A07">
      <w:pPr>
        <w:spacing w:line="480" w:lineRule="auto"/>
        <w:ind w:firstLine="708"/>
        <w:jc w:val="both"/>
        <w:rPr>
          <w:color w:val="000000" w:themeColor="text1"/>
          <w:lang w:eastAsia="es-ES_tradnl"/>
        </w:rPr>
      </w:pPr>
      <w:r w:rsidRPr="00163BF5">
        <w:rPr>
          <w:color w:val="000000" w:themeColor="text1"/>
          <w:lang w:eastAsia="es-ES_tradnl"/>
        </w:rPr>
        <w:t>De tal forma que,</w:t>
      </w:r>
      <w:r w:rsidR="009F304A" w:rsidRPr="00163BF5">
        <w:rPr>
          <w:color w:val="000000" w:themeColor="text1"/>
          <w:lang w:eastAsia="es-ES_tradnl"/>
        </w:rPr>
        <w:t xml:space="preserve"> la Corte IDH establece que el Estado está en el deber jurídico de investigar seriamente las violaciones a los derechos ocurridas dentro de su</w:t>
      </w:r>
      <w:r w:rsidRPr="00163BF5">
        <w:rPr>
          <w:color w:val="000000" w:themeColor="text1"/>
          <w:lang w:eastAsia="es-ES_tradnl"/>
        </w:rPr>
        <w:t xml:space="preserve"> </w:t>
      </w:r>
      <w:r w:rsidR="009F304A" w:rsidRPr="00163BF5">
        <w:rPr>
          <w:color w:val="000000" w:themeColor="text1"/>
          <w:lang w:eastAsia="es-ES_tradnl"/>
        </w:rPr>
        <w:t>jurisdicción con el fin de identificar a los responsables y asegurar una correcta reparación a la víctima.</w:t>
      </w:r>
    </w:p>
    <w:p w14:paraId="610F0A99" w14:textId="79AC0A45" w:rsidR="009F304A" w:rsidRPr="00163BF5" w:rsidRDefault="009F304A" w:rsidP="009F304A">
      <w:pPr>
        <w:spacing w:line="480" w:lineRule="auto"/>
        <w:ind w:firstLine="708"/>
        <w:rPr>
          <w:color w:val="000000" w:themeColor="text1"/>
          <w:lang w:eastAsia="es-ES_tradnl"/>
        </w:rPr>
      </w:pPr>
      <w:r w:rsidRPr="00163BF5">
        <w:rPr>
          <w:color w:val="000000" w:themeColor="text1"/>
          <w:lang w:eastAsia="es-ES_tradnl"/>
        </w:rPr>
        <w:t xml:space="preserve">Añadiendo a lo expuesto anteriormente, la obligación de investigar </w:t>
      </w:r>
      <w:r w:rsidR="006A66B9" w:rsidRPr="00163BF5">
        <w:rPr>
          <w:color w:val="000000" w:themeColor="text1"/>
          <w:lang w:eastAsia="es-ES_tradnl"/>
        </w:rPr>
        <w:t>conlleva</w:t>
      </w:r>
      <w:r w:rsidRPr="00163BF5">
        <w:rPr>
          <w:color w:val="000000" w:themeColor="text1"/>
          <w:lang w:eastAsia="es-ES_tradnl"/>
        </w:rPr>
        <w:t xml:space="preserve"> que: </w:t>
      </w:r>
    </w:p>
    <w:p w14:paraId="1026F440" w14:textId="08F76EB4" w:rsidR="009F304A" w:rsidRPr="00163BF5" w:rsidRDefault="009F304A" w:rsidP="001E72E1">
      <w:pPr>
        <w:ind w:left="1440"/>
        <w:jc w:val="both"/>
        <w:rPr>
          <w:color w:val="000000" w:themeColor="text1"/>
          <w:sz w:val="22"/>
          <w:szCs w:val="22"/>
          <w:lang w:eastAsia="es-ES_tradnl"/>
        </w:rPr>
      </w:pPr>
      <w:r w:rsidRPr="00163BF5">
        <w:rPr>
          <w:color w:val="000000" w:themeColor="text1"/>
          <w:sz w:val="22"/>
          <w:szCs w:val="22"/>
          <w:lang w:eastAsia="es-ES_tradnl"/>
        </w:rPr>
        <w:t xml:space="preserve"> […] las autoridades estatales tengan conocimiento del hecho, deben iniciar ex </w:t>
      </w:r>
      <w:proofErr w:type="spellStart"/>
      <w:r w:rsidRPr="00163BF5">
        <w:rPr>
          <w:color w:val="000000" w:themeColor="text1"/>
          <w:sz w:val="22"/>
          <w:szCs w:val="22"/>
          <w:lang w:eastAsia="es-ES_tradnl"/>
        </w:rPr>
        <w:t>officio</w:t>
      </w:r>
      <w:proofErr w:type="spellEnd"/>
      <w:r w:rsidRPr="00163BF5">
        <w:rPr>
          <w:color w:val="000000" w:themeColor="text1"/>
          <w:sz w:val="22"/>
          <w:szCs w:val="22"/>
          <w:lang w:eastAsia="es-ES_tradnl"/>
        </w:rPr>
        <w:t xml:space="preserve"> y sin dilación, una investigación seria, imparcial y efectiva por todos los medios legales disponibles y orientada a la determinación de la verdad y a la persecución, captura, enjuiciamiento y eventual castigo de todos los autores de los hechos, especialmente cuando están o puedan estar involucrados agentes estatales. Este deber es una obligación de medio y no de resultado, que debe ser asumida por el Estado como un deber jurídico propio y no como una simple formalidad condenada de antemano a ser infructuosa, o como una mera gestión de intereses particulares, que dependa de la iniciativa procesal de las víctimas o de sus familiares o de la aportación privada de elementos probatorios. La obligación del Estado de investigar debe cumplirse diligentemente para evitar la impunidad y que este tipo de hechos vuelvan a repetirse. En este sentido, la Corte recuerda que la impunidad fomenta la repetición de las violaciones de derechos humanos. (Corte IDH. Caso Hermanos Landaeta Mejías y otros Vs. Venezuela, 2014, párr. 216) </w:t>
      </w:r>
    </w:p>
    <w:p w14:paraId="175E9F46" w14:textId="77777777" w:rsidR="00F92151" w:rsidRPr="00163BF5" w:rsidRDefault="00F92151" w:rsidP="00F92151">
      <w:pPr>
        <w:ind w:left="1416"/>
        <w:jc w:val="both"/>
        <w:rPr>
          <w:color w:val="000000" w:themeColor="text1"/>
          <w:sz w:val="22"/>
          <w:szCs w:val="22"/>
          <w:lang w:eastAsia="es-ES_tradnl"/>
        </w:rPr>
      </w:pPr>
    </w:p>
    <w:p w14:paraId="4174E4B0" w14:textId="55053387" w:rsidR="009F304A" w:rsidRPr="00163BF5" w:rsidRDefault="009F304A" w:rsidP="009F304A">
      <w:pPr>
        <w:spacing w:line="480" w:lineRule="auto"/>
        <w:ind w:firstLine="708"/>
        <w:jc w:val="both"/>
        <w:rPr>
          <w:color w:val="000000" w:themeColor="text1"/>
          <w:lang w:eastAsia="es-ES_tradnl"/>
        </w:rPr>
      </w:pPr>
      <w:r w:rsidRPr="00163BF5">
        <w:rPr>
          <w:color w:val="000000" w:themeColor="text1"/>
          <w:lang w:eastAsia="es-ES_tradnl"/>
        </w:rPr>
        <w:t xml:space="preserve">Lo mencionado por la Corte Interamericana de Derechos Humanos implica que la investigación se debe iniciar </w:t>
      </w:r>
      <w:r w:rsidRPr="00163BF5">
        <w:rPr>
          <w:i/>
          <w:iCs/>
          <w:color w:val="000000" w:themeColor="text1"/>
          <w:lang w:eastAsia="es-ES_tradnl"/>
        </w:rPr>
        <w:t xml:space="preserve">ex </w:t>
      </w:r>
      <w:proofErr w:type="spellStart"/>
      <w:r w:rsidRPr="00163BF5">
        <w:rPr>
          <w:i/>
          <w:iCs/>
          <w:color w:val="000000" w:themeColor="text1"/>
          <w:lang w:eastAsia="es-ES_tradnl"/>
        </w:rPr>
        <w:t>officio</w:t>
      </w:r>
      <w:proofErr w:type="spellEnd"/>
      <w:r w:rsidRPr="00163BF5">
        <w:rPr>
          <w:color w:val="000000" w:themeColor="text1"/>
          <w:vertAlign w:val="superscript"/>
          <w:lang w:eastAsia="es-ES_tradnl"/>
        </w:rPr>
        <w:footnoteReference w:id="1"/>
      </w:r>
      <w:r w:rsidRPr="00163BF5">
        <w:rPr>
          <w:color w:val="000000" w:themeColor="text1"/>
          <w:lang w:eastAsia="es-ES_tradnl"/>
        </w:rPr>
        <w:t xml:space="preserve"> y sin dilación, además que esta investigación debe ser seria, imparcial y efectiva; usando todos los medios legales existentes con el fin de la obtención de la verdad y si llegase a ser el caso el enjuiciamiento de los involucrados en la vulneración a los derechos. </w:t>
      </w:r>
    </w:p>
    <w:p w14:paraId="3C75F893" w14:textId="15E3996A" w:rsidR="009F304A" w:rsidRPr="00163BF5" w:rsidRDefault="009F304A" w:rsidP="009F304A">
      <w:pPr>
        <w:spacing w:line="480" w:lineRule="auto"/>
        <w:ind w:firstLine="708"/>
        <w:jc w:val="both"/>
        <w:rPr>
          <w:color w:val="000000" w:themeColor="text1"/>
          <w:lang w:eastAsia="es-ES_tradnl"/>
        </w:rPr>
      </w:pPr>
      <w:r w:rsidRPr="00163BF5">
        <w:rPr>
          <w:color w:val="000000" w:themeColor="text1"/>
          <w:lang w:eastAsia="es-ES_tradnl"/>
        </w:rPr>
        <w:t xml:space="preserve">Otro punto </w:t>
      </w:r>
      <w:r w:rsidR="00BD3A07" w:rsidRPr="00163BF5">
        <w:rPr>
          <w:color w:val="000000" w:themeColor="text1"/>
          <w:lang w:eastAsia="es-ES_tradnl"/>
        </w:rPr>
        <w:t>a</w:t>
      </w:r>
      <w:r w:rsidRPr="00163BF5">
        <w:rPr>
          <w:color w:val="000000" w:themeColor="text1"/>
          <w:lang w:eastAsia="es-ES_tradnl"/>
        </w:rPr>
        <w:t xml:space="preserve"> rescatar de lo antedicho por la Corte IDH, es que la investigación es una obligación de medio, m</w:t>
      </w:r>
      <w:r w:rsidR="00BD3A07" w:rsidRPr="00163BF5">
        <w:rPr>
          <w:color w:val="000000" w:themeColor="text1"/>
          <w:lang w:eastAsia="es-ES_tradnl"/>
        </w:rPr>
        <w:t>á</w:t>
      </w:r>
      <w:r w:rsidRPr="00163BF5">
        <w:rPr>
          <w:color w:val="000000" w:themeColor="text1"/>
          <w:lang w:eastAsia="es-ES_tradnl"/>
        </w:rPr>
        <w:t xml:space="preserve">s no de resultado, y que, al ser asumida por el Estado, esta investigación no es una mera solemnidad y debe ser entendido como un deber jurídico propio. </w:t>
      </w:r>
    </w:p>
    <w:p w14:paraId="14CDE191" w14:textId="2FF0BBD3" w:rsidR="009F304A" w:rsidRPr="00163BF5" w:rsidRDefault="009F304A" w:rsidP="009F304A">
      <w:pPr>
        <w:spacing w:line="480" w:lineRule="auto"/>
        <w:ind w:firstLine="708"/>
        <w:jc w:val="both"/>
        <w:rPr>
          <w:color w:val="000000" w:themeColor="text1"/>
          <w:lang w:eastAsia="es-ES_tradnl"/>
        </w:rPr>
      </w:pPr>
      <w:r w:rsidRPr="00163BF5">
        <w:rPr>
          <w:color w:val="000000" w:themeColor="text1"/>
          <w:lang w:eastAsia="es-ES_tradnl"/>
        </w:rPr>
        <w:t>La Corte IDH al señalar que la investigación sea efectiva, quiere decir que la investigación debe realizarse “por todos los medios legales disponibles y [estar] orientada a la determinación de la verdad” (Corte IDH.</w:t>
      </w:r>
      <w:r w:rsidR="0002203C" w:rsidRPr="00163BF5">
        <w:rPr>
          <w:color w:val="000000" w:themeColor="text1"/>
          <w:lang w:eastAsia="es-ES_tradnl"/>
        </w:rPr>
        <w:t xml:space="preserve"> </w:t>
      </w:r>
      <w:r w:rsidRPr="00163BF5">
        <w:rPr>
          <w:color w:val="000000" w:themeColor="text1"/>
          <w:lang w:eastAsia="es-ES_tradnl"/>
        </w:rPr>
        <w:t xml:space="preserve">Caso Velásquez Rodríguez Vs. Honduras. 1988, párr. 177.). </w:t>
      </w:r>
    </w:p>
    <w:p w14:paraId="6E193CDB" w14:textId="2A57E9B4" w:rsidR="009F304A" w:rsidRPr="00163BF5" w:rsidRDefault="009F304A" w:rsidP="009F304A">
      <w:pPr>
        <w:spacing w:line="480" w:lineRule="auto"/>
        <w:ind w:firstLine="708"/>
        <w:jc w:val="both"/>
        <w:rPr>
          <w:color w:val="000000" w:themeColor="text1"/>
        </w:rPr>
      </w:pPr>
      <w:r w:rsidRPr="00163BF5">
        <w:rPr>
          <w:color w:val="000000" w:themeColor="text1"/>
          <w:lang w:eastAsia="es-ES_tradnl"/>
        </w:rPr>
        <w:t>En cuanto a lo mencionado al inicio del presente capítulo en lo relativo a la relación de los artículos 1.1, 8 y 25.1 con la obligación de investigar casos de graves violaciones a los derechos humanos. Al momento en que el Estado está obligado a proveer recursos judiciales efectivos para las víctimas de las violaciones de derechos humanos, esto está relacionado con el artículo 25 de la CADH. En cuanto a la sustanciación de estos medios efectivos, estos deben hacerse en base a las reglas del debido proceso establecidas en el artículo 8.1 de la Convención. Por último, el artículo 1.1 se relaciona con los dos anteriores al momento en que el Estado está en la obligación de garantizar los derechos reconocidos por la misma CADH.</w:t>
      </w:r>
    </w:p>
    <w:p w14:paraId="0B215074" w14:textId="6FB64E09" w:rsidR="00AE14F4" w:rsidRPr="00163BF5" w:rsidRDefault="00AE14F4" w:rsidP="009F304A">
      <w:pPr>
        <w:pStyle w:val="Ttulo3"/>
        <w:numPr>
          <w:ilvl w:val="1"/>
          <w:numId w:val="32"/>
        </w:numPr>
        <w:rPr>
          <w:rFonts w:eastAsia="Times New Roman"/>
        </w:rPr>
      </w:pPr>
      <w:bookmarkStart w:id="45" w:name="_Toc67513394"/>
      <w:r w:rsidRPr="00163BF5">
        <w:rPr>
          <w:rFonts w:eastAsia="Times New Roman"/>
        </w:rPr>
        <w:t>Presupuestos básicos en toda investigación relacionada con graves violaciones de derechos humanos</w:t>
      </w:r>
      <w:bookmarkEnd w:id="45"/>
    </w:p>
    <w:p w14:paraId="18181B94" w14:textId="5C66AA64"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En base a </w:t>
      </w:r>
      <w:r w:rsidR="00992B65" w:rsidRPr="00163BF5">
        <w:rPr>
          <w:color w:val="000000" w:themeColor="text1"/>
          <w:lang w:eastAsia="es-ES_tradnl"/>
        </w:rPr>
        <w:t>la jurisprudencia de la</w:t>
      </w:r>
      <w:r w:rsidRPr="00163BF5">
        <w:rPr>
          <w:color w:val="000000" w:themeColor="text1"/>
          <w:lang w:eastAsia="es-ES_tradnl"/>
        </w:rPr>
        <w:t xml:space="preserve"> Corte IDH, el Centro por la </w:t>
      </w:r>
      <w:r w:rsidR="00A11A4F" w:rsidRPr="00163BF5">
        <w:rPr>
          <w:color w:val="000000" w:themeColor="text1"/>
          <w:lang w:eastAsia="es-ES_tradnl"/>
        </w:rPr>
        <w:t>J</w:t>
      </w:r>
      <w:r w:rsidRPr="00163BF5">
        <w:rPr>
          <w:color w:val="000000" w:themeColor="text1"/>
          <w:lang w:eastAsia="es-ES_tradnl"/>
        </w:rPr>
        <w:t xml:space="preserve">usticia y el Derecho Internacional ha establecido nueve presupuestos básicos que toda investigación sobre vulneraciones a derechos humanos debe constar. </w:t>
      </w:r>
    </w:p>
    <w:p w14:paraId="6FE6C166" w14:textId="7777777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Se ve importante establecer estos presupuestos básicos con la finalidad de analizar posteriormente si los mismos se encuentran en la Ley Orgánica de Personas Desaparecidas y Extraviadas, para ello en la presente sección se van a abarcar esos nueve presupuestos básicos y se los sustentará en base a las sentencias de la Corte IDH.</w:t>
      </w:r>
    </w:p>
    <w:p w14:paraId="02964E95" w14:textId="3F8C4576" w:rsidR="00AE14F4" w:rsidRPr="00163BF5" w:rsidRDefault="00AE14F4" w:rsidP="009F304A">
      <w:pPr>
        <w:pStyle w:val="Ttulo4"/>
        <w:numPr>
          <w:ilvl w:val="2"/>
          <w:numId w:val="32"/>
        </w:numPr>
        <w:rPr>
          <w:rFonts w:ascii="Times New Roman" w:hAnsi="Times New Roman" w:cs="Times New Roman"/>
          <w:color w:val="000000" w:themeColor="text1"/>
        </w:rPr>
      </w:pPr>
      <w:r w:rsidRPr="00163BF5">
        <w:rPr>
          <w:color w:val="000000" w:themeColor="text1"/>
        </w:rPr>
        <w:t xml:space="preserve"> </w:t>
      </w:r>
      <w:bookmarkStart w:id="46" w:name="_Toc67513395"/>
      <w:r w:rsidRPr="00163BF5">
        <w:rPr>
          <w:rFonts w:ascii="Times New Roman" w:hAnsi="Times New Roman" w:cs="Times New Roman"/>
          <w:color w:val="000000" w:themeColor="text1"/>
        </w:rPr>
        <w:t>La investigación debe estar destinada en localizar a la víctima o de ser el caso los restos de no conocer el paradero.</w:t>
      </w:r>
      <w:bookmarkEnd w:id="46"/>
      <w:r w:rsidRPr="00163BF5">
        <w:rPr>
          <w:rFonts w:ascii="Times New Roman" w:hAnsi="Times New Roman" w:cs="Times New Roman"/>
          <w:color w:val="000000" w:themeColor="text1"/>
        </w:rPr>
        <w:t xml:space="preserve"> </w:t>
      </w:r>
    </w:p>
    <w:p w14:paraId="5B516C97" w14:textId="327A5B5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La Corte IDH a lo largo de su jurisprudencia ha expresado que los Estados tienen la obligación de investigar y encontrar el paradero de las víctimas de graves violaciones de derechos humanos, esto con la finalidad de satisfacer la necesidad de los familiares de localizar a las víctimas o de ser el caso sus restos</w:t>
      </w:r>
      <w:r w:rsidR="00523543" w:rsidRPr="00163BF5">
        <w:rPr>
          <w:color w:val="000000" w:themeColor="text1"/>
          <w:lang w:eastAsia="es-ES_tradnl"/>
        </w:rPr>
        <w:t xml:space="preserve"> </w:t>
      </w:r>
      <w:r w:rsidRPr="00163BF5">
        <w:rPr>
          <w:color w:val="000000" w:themeColor="text1"/>
          <w:lang w:eastAsia="es-ES_tradnl"/>
        </w:rPr>
        <w:t>(Corte IDH, Caso de las Hermanas Serrano Cruz Vs. El Salvador, 2005)</w:t>
      </w:r>
      <w:r w:rsidR="00523543" w:rsidRPr="00163BF5">
        <w:rPr>
          <w:color w:val="000000" w:themeColor="text1"/>
          <w:lang w:eastAsia="es-ES_tradnl"/>
        </w:rPr>
        <w:t>.</w:t>
      </w:r>
    </w:p>
    <w:p w14:paraId="5DBFBB1E" w14:textId="48126868" w:rsidR="00AE14F4" w:rsidRPr="00163BF5" w:rsidRDefault="00D80D5C" w:rsidP="00AE14F4">
      <w:pPr>
        <w:spacing w:line="480" w:lineRule="auto"/>
        <w:ind w:firstLine="708"/>
        <w:jc w:val="both"/>
        <w:rPr>
          <w:color w:val="000000" w:themeColor="text1"/>
          <w:lang w:eastAsia="es-ES_tradnl"/>
        </w:rPr>
      </w:pPr>
      <w:r w:rsidRPr="00163BF5">
        <w:rPr>
          <w:color w:val="000000" w:themeColor="text1"/>
          <w:lang w:eastAsia="es-ES_tradnl"/>
        </w:rPr>
        <w:t xml:space="preserve">En consecuencia, </w:t>
      </w:r>
      <w:r w:rsidR="00AE14F4" w:rsidRPr="00163BF5">
        <w:rPr>
          <w:color w:val="000000" w:themeColor="text1"/>
          <w:lang w:eastAsia="es-ES_tradnl"/>
        </w:rPr>
        <w:t xml:space="preserve">la Corte IDH ha establecido que en caso de personas desaparecidas “es fundamental que las autoridades a cargo de la investigación puedan tener acceso ilimitado a los lugares de detención, respecto a la documentación, así como a las personas” (Corte IDH, Caso </w:t>
      </w:r>
      <w:proofErr w:type="spellStart"/>
      <w:r w:rsidR="00AE14F4" w:rsidRPr="00163BF5">
        <w:rPr>
          <w:color w:val="000000" w:themeColor="text1"/>
          <w:lang w:eastAsia="es-ES_tradnl"/>
        </w:rPr>
        <w:t>Anzualdo</w:t>
      </w:r>
      <w:proofErr w:type="spellEnd"/>
      <w:r w:rsidR="00AE14F4" w:rsidRPr="00163BF5">
        <w:rPr>
          <w:color w:val="000000" w:themeColor="text1"/>
          <w:lang w:eastAsia="es-ES_tradnl"/>
        </w:rPr>
        <w:t xml:space="preserve"> Castro Vs. Perú, 2009, párr. 135). Todo esto para que se realice una búsqueda seria de las víctimas. </w:t>
      </w:r>
    </w:p>
    <w:p w14:paraId="1F7A4BB6" w14:textId="7777777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En cuanto a los medios que debe utilizar el Estado para la búsqueda </w:t>
      </w:r>
    </w:p>
    <w:p w14:paraId="31B7487B" w14:textId="74524B7A"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 en el cumplimiento de su obligación de investigar los hechos denunciados, identificar y sancionar a los responsables y efectuar una búsqueda seria de las víctimas, elimine todos los obstáculos y mecanismos de hecho y derecho que impidan el cumplimiento de dichas obligaciones en el presente caso, de modo que utilice todas las medidas a su alcance, ya sea por medio del proceso penal o mediante la adopción de otras medidas idóneas</w:t>
      </w:r>
      <w:r w:rsidR="00523543" w:rsidRPr="00163BF5">
        <w:rPr>
          <w:color w:val="000000" w:themeColor="text1"/>
          <w:sz w:val="22"/>
          <w:szCs w:val="22"/>
          <w:lang w:eastAsia="es-ES_tradnl"/>
        </w:rPr>
        <w:t xml:space="preserve">. </w:t>
      </w:r>
      <w:r w:rsidRPr="00163BF5">
        <w:rPr>
          <w:color w:val="000000" w:themeColor="text1"/>
          <w:sz w:val="22"/>
          <w:szCs w:val="22"/>
          <w:lang w:eastAsia="es-ES_tradnl"/>
        </w:rPr>
        <w:t xml:space="preserve">(Corte IDH, Caso de las Hermanas Serrano Cruz Vs. El Salvador, 2005, párr. 180) </w:t>
      </w:r>
    </w:p>
    <w:p w14:paraId="48EE463A" w14:textId="77777777" w:rsidR="00F92151" w:rsidRPr="00163BF5" w:rsidRDefault="00F92151" w:rsidP="00AE14F4">
      <w:pPr>
        <w:ind w:left="1440"/>
        <w:jc w:val="both"/>
        <w:rPr>
          <w:color w:val="000000" w:themeColor="text1"/>
          <w:sz w:val="22"/>
          <w:szCs w:val="22"/>
          <w:lang w:eastAsia="es-ES_tradnl"/>
        </w:rPr>
      </w:pPr>
    </w:p>
    <w:p w14:paraId="5F645579" w14:textId="77777777" w:rsidR="00AE14F4" w:rsidRPr="00163BF5" w:rsidRDefault="00AE14F4" w:rsidP="00523543">
      <w:pPr>
        <w:spacing w:line="480" w:lineRule="auto"/>
        <w:ind w:firstLine="708"/>
        <w:jc w:val="both"/>
        <w:rPr>
          <w:color w:val="000000" w:themeColor="text1"/>
          <w:lang w:eastAsia="es-ES_tradnl"/>
        </w:rPr>
      </w:pPr>
      <w:r w:rsidRPr="00163BF5">
        <w:rPr>
          <w:color w:val="000000" w:themeColor="text1"/>
          <w:lang w:eastAsia="es-ES_tradnl"/>
        </w:rPr>
        <w:t xml:space="preserve">Complementando lo anterior: </w:t>
      </w:r>
    </w:p>
    <w:p w14:paraId="272FE50A" w14:textId="77777777" w:rsidR="00AE14F4" w:rsidRPr="00163BF5" w:rsidRDefault="00AE14F4" w:rsidP="001E72E1">
      <w:pPr>
        <w:ind w:left="1440" w:firstLine="4"/>
        <w:jc w:val="both"/>
        <w:rPr>
          <w:color w:val="000000" w:themeColor="text1"/>
          <w:sz w:val="22"/>
          <w:szCs w:val="22"/>
          <w:lang w:eastAsia="es-ES_tradnl"/>
        </w:rPr>
      </w:pPr>
      <w:r w:rsidRPr="00163BF5">
        <w:rPr>
          <w:color w:val="000000" w:themeColor="text1"/>
          <w:sz w:val="22"/>
          <w:szCs w:val="22"/>
          <w:lang w:eastAsia="es-ES_tradnl"/>
        </w:rPr>
        <w:t>El Estado debe utilizar todos los medios económicos, técnicos, científicos y de otra índole idóneos para determinar el paradero […] solicitando, en caso de ser necesario, la cooperación de otros Estados y organizaciones internacionales. (Corte IDH, Caso de las Hermanas Serrano Cruz Vs. El Salvador, 2005, párr. 181)</w:t>
      </w:r>
    </w:p>
    <w:p w14:paraId="7372818D" w14:textId="77777777" w:rsidR="00AE14F4" w:rsidRPr="00163BF5" w:rsidRDefault="00AE14F4" w:rsidP="00AE14F4">
      <w:pPr>
        <w:jc w:val="both"/>
        <w:rPr>
          <w:color w:val="000000" w:themeColor="text1"/>
          <w:sz w:val="22"/>
          <w:szCs w:val="22"/>
          <w:lang w:eastAsia="es-ES_tradnl"/>
        </w:rPr>
      </w:pPr>
    </w:p>
    <w:p w14:paraId="0AE10506" w14:textId="053C38AC"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Es así como</w:t>
      </w:r>
      <w:r w:rsidR="00D80D5C" w:rsidRPr="00163BF5">
        <w:rPr>
          <w:color w:val="000000" w:themeColor="text1"/>
          <w:lang w:eastAsia="es-ES_tradnl"/>
        </w:rPr>
        <w:t>,</w:t>
      </w:r>
      <w:r w:rsidRPr="00163BF5">
        <w:rPr>
          <w:color w:val="000000" w:themeColor="text1"/>
          <w:lang w:eastAsia="es-ES_tradnl"/>
        </w:rPr>
        <w:t xml:space="preserve"> la Corte IDH establece que el Estado en base a su deber de investigar las violaciones a los derechos humanos debe utilizar todas las medidas que tenga al alcance y que estas medidas no son solo las penales, sino pueden ser otras que sean consideradas idóneas. Además de que para la investigación debe utilizar todos los medios económicos, técnicos y científicos y de ser el caso solicitar cooperación a organizaciones internacionales o a otros Estados. </w:t>
      </w:r>
    </w:p>
    <w:p w14:paraId="758A61F6" w14:textId="63D6947B"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Todo lo antes señalado tiene relación con el “derecho a la verdad” de la víctima y de sus familiares, este derecho se basa en el esclarecimiento de los hechos y el juzgamiento del responsable por parte del Estado </w:t>
      </w:r>
      <w:sdt>
        <w:sdtPr>
          <w:rPr>
            <w:color w:val="000000" w:themeColor="text1"/>
            <w:lang w:eastAsia="es-ES_tradnl"/>
          </w:rPr>
          <w:id w:val="1681232583"/>
          <w:citation/>
        </w:sdtPr>
        <w:sdtEndPr/>
        <w:sdtContent>
          <w:r w:rsidRPr="00163BF5">
            <w:rPr>
              <w:color w:val="000000" w:themeColor="text1"/>
              <w:lang w:eastAsia="es-ES_tradnl"/>
            </w:rPr>
            <w:fldChar w:fldCharType="begin"/>
          </w:r>
          <w:r w:rsidRPr="00163BF5">
            <w:rPr>
              <w:color w:val="000000" w:themeColor="text1"/>
              <w:lang w:eastAsia="es-ES_tradnl"/>
            </w:rPr>
            <w:instrText xml:space="preserve"> CITATION Com031 \l 12298 </w:instrText>
          </w:r>
          <w:r w:rsidRPr="00163BF5">
            <w:rPr>
              <w:color w:val="000000" w:themeColor="text1"/>
              <w:lang w:eastAsia="es-ES_tradnl"/>
            </w:rPr>
            <w:fldChar w:fldCharType="separate"/>
          </w:r>
          <w:r w:rsidR="00282214" w:rsidRPr="00163BF5">
            <w:rPr>
              <w:noProof/>
              <w:color w:val="000000" w:themeColor="text1"/>
              <w:lang w:eastAsia="es-ES_tradnl"/>
            </w:rPr>
            <w:t>(Comité Internacional de la Cruz Roja, 2003)</w:t>
          </w:r>
          <w:r w:rsidRPr="00163BF5">
            <w:rPr>
              <w:color w:val="000000" w:themeColor="text1"/>
              <w:lang w:eastAsia="es-ES_tradnl"/>
            </w:rPr>
            <w:fldChar w:fldCharType="end"/>
          </w:r>
        </w:sdtContent>
      </w:sdt>
      <w:r w:rsidRPr="00163BF5">
        <w:rPr>
          <w:color w:val="000000" w:themeColor="text1"/>
          <w:lang w:eastAsia="es-ES_tradnl"/>
        </w:rPr>
        <w:t xml:space="preserve">. En base a esto, el Estado no debe interferir o impedir los esfuerzos por conocer el paradero de la víctima o de sus restos. </w:t>
      </w:r>
    </w:p>
    <w:p w14:paraId="58DD0FB4" w14:textId="4F6A1B1A" w:rsidR="00AE14F4" w:rsidRPr="00163BF5" w:rsidRDefault="00AE14F4" w:rsidP="009F304A">
      <w:pPr>
        <w:pStyle w:val="Ttulo4"/>
        <w:numPr>
          <w:ilvl w:val="2"/>
          <w:numId w:val="32"/>
        </w:numPr>
        <w:rPr>
          <w:rFonts w:ascii="Times New Roman" w:hAnsi="Times New Roman" w:cs="Times New Roman"/>
          <w:color w:val="000000" w:themeColor="text1"/>
        </w:rPr>
      </w:pPr>
      <w:bookmarkStart w:id="47" w:name="_Toc67513396"/>
      <w:r w:rsidRPr="00163BF5">
        <w:rPr>
          <w:rFonts w:ascii="Times New Roman" w:hAnsi="Times New Roman" w:cs="Times New Roman"/>
          <w:color w:val="000000" w:themeColor="text1"/>
        </w:rPr>
        <w:t>La investigación debe ser dirigida a establecer la identidad de la víctima o víctimas</w:t>
      </w:r>
      <w:bookmarkEnd w:id="47"/>
    </w:p>
    <w:p w14:paraId="4DEE6923" w14:textId="142676BE" w:rsidR="00491148" w:rsidRPr="00163BF5" w:rsidRDefault="00A11A4F" w:rsidP="00491148">
      <w:pPr>
        <w:spacing w:line="480" w:lineRule="auto"/>
        <w:ind w:firstLine="708"/>
        <w:jc w:val="both"/>
        <w:rPr>
          <w:color w:val="000000" w:themeColor="text1"/>
          <w:lang w:eastAsia="es-ES_tradnl"/>
        </w:rPr>
      </w:pPr>
      <w:r w:rsidRPr="00163BF5">
        <w:rPr>
          <w:color w:val="000000" w:themeColor="text1"/>
          <w:lang w:eastAsia="es-ES_tradnl"/>
        </w:rPr>
        <w:t>En lo referente a este presupuesto</w:t>
      </w:r>
      <w:r w:rsidR="00673743" w:rsidRPr="00163BF5">
        <w:rPr>
          <w:color w:val="000000" w:themeColor="text1"/>
          <w:lang w:eastAsia="es-ES_tradnl"/>
        </w:rPr>
        <w:t xml:space="preserve"> de investigación</w:t>
      </w:r>
      <w:r w:rsidRPr="00163BF5">
        <w:rPr>
          <w:color w:val="000000" w:themeColor="text1"/>
          <w:lang w:eastAsia="es-ES_tradnl"/>
        </w:rPr>
        <w:t xml:space="preserve">, </w:t>
      </w:r>
      <w:r w:rsidR="00EB302C" w:rsidRPr="00163BF5">
        <w:rPr>
          <w:color w:val="000000" w:themeColor="text1"/>
          <w:lang w:eastAsia="es-ES_tradnl"/>
        </w:rPr>
        <w:t xml:space="preserve">el protocolo de </w:t>
      </w:r>
      <w:proofErr w:type="spellStart"/>
      <w:r w:rsidR="00EB302C" w:rsidRPr="00163BF5">
        <w:rPr>
          <w:color w:val="000000" w:themeColor="text1"/>
          <w:lang w:eastAsia="es-ES_tradnl"/>
        </w:rPr>
        <w:t>Minessota</w:t>
      </w:r>
      <w:proofErr w:type="spellEnd"/>
      <w:r w:rsidR="00EB302C" w:rsidRPr="00163BF5">
        <w:rPr>
          <w:color w:val="000000" w:themeColor="text1"/>
          <w:lang w:eastAsia="es-ES_tradnl"/>
        </w:rPr>
        <w:t xml:space="preserve">, </w:t>
      </w:r>
      <w:r w:rsidR="00AE14F4" w:rsidRPr="00163BF5">
        <w:rPr>
          <w:color w:val="000000" w:themeColor="text1"/>
          <w:lang w:eastAsia="es-ES_tradnl"/>
        </w:rPr>
        <w:t xml:space="preserve"> establece que </w:t>
      </w:r>
      <w:r w:rsidR="00673743" w:rsidRPr="00163BF5">
        <w:rPr>
          <w:color w:val="000000" w:themeColor="text1"/>
          <w:lang w:eastAsia="es-ES_tradnl"/>
        </w:rPr>
        <w:t>“</w:t>
      </w:r>
      <w:r w:rsidR="00673743" w:rsidRPr="00163BF5">
        <w:rPr>
          <w:color w:val="000000" w:themeColor="text1"/>
        </w:rPr>
        <w:t>en la investigación de cualquier muerte una de las principales prioridades es identificar el cadáver o cadáveres</w:t>
      </w:r>
      <w:r w:rsidR="00673743" w:rsidRPr="00163BF5">
        <w:rPr>
          <w:color w:val="000000" w:themeColor="text1"/>
          <w:lang w:eastAsia="es-ES_tradnl"/>
        </w:rPr>
        <w:t>”</w:t>
      </w:r>
      <w:r w:rsidR="00AE14F4" w:rsidRPr="00163BF5">
        <w:rPr>
          <w:color w:val="000000" w:themeColor="text1"/>
          <w:lang w:eastAsia="es-ES_tradnl"/>
        </w:rPr>
        <w:t>(</w:t>
      </w:r>
      <w:r w:rsidR="00673743" w:rsidRPr="00163BF5">
        <w:rPr>
          <w:color w:val="000000" w:themeColor="text1"/>
          <w:lang w:eastAsia="es-ES_tradnl"/>
        </w:rPr>
        <w:t xml:space="preserve">Protocolo de </w:t>
      </w:r>
      <w:proofErr w:type="spellStart"/>
      <w:r w:rsidR="00673743" w:rsidRPr="00163BF5">
        <w:rPr>
          <w:color w:val="000000" w:themeColor="text1"/>
          <w:lang w:eastAsia="es-ES_tradnl"/>
        </w:rPr>
        <w:t>Minessota</w:t>
      </w:r>
      <w:proofErr w:type="spellEnd"/>
      <w:r w:rsidR="00673743" w:rsidRPr="00163BF5">
        <w:rPr>
          <w:color w:val="000000" w:themeColor="text1"/>
          <w:lang w:eastAsia="es-ES_tradnl"/>
        </w:rPr>
        <w:t xml:space="preserve">, 2016, </w:t>
      </w:r>
      <w:r w:rsidR="00491148" w:rsidRPr="00163BF5">
        <w:rPr>
          <w:color w:val="000000" w:themeColor="text1"/>
          <w:lang w:eastAsia="es-ES_tradnl"/>
        </w:rPr>
        <w:t>párr. 115</w:t>
      </w:r>
      <w:r w:rsidR="00AE14F4" w:rsidRPr="00163BF5">
        <w:rPr>
          <w:color w:val="000000" w:themeColor="text1"/>
          <w:lang w:eastAsia="es-ES_tradnl"/>
        </w:rPr>
        <w:t xml:space="preserve">). </w:t>
      </w:r>
    </w:p>
    <w:p w14:paraId="2DF1962B" w14:textId="41DC6C7B" w:rsidR="00491148" w:rsidRPr="00163BF5" w:rsidRDefault="00491148" w:rsidP="00491148">
      <w:pPr>
        <w:spacing w:line="480" w:lineRule="auto"/>
        <w:ind w:firstLine="708"/>
        <w:jc w:val="both"/>
        <w:rPr>
          <w:color w:val="000000" w:themeColor="text1"/>
          <w:lang w:eastAsia="es-ES_tradnl"/>
        </w:rPr>
      </w:pPr>
      <w:r w:rsidRPr="00163BF5">
        <w:rPr>
          <w:color w:val="000000" w:themeColor="text1"/>
          <w:lang w:eastAsia="es-ES_tradnl"/>
        </w:rPr>
        <w:t>El mismo protocolo establece que “[…]</w:t>
      </w:r>
      <w:r w:rsidRPr="00163BF5">
        <w:rPr>
          <w:color w:val="000000" w:themeColor="text1"/>
        </w:rPr>
        <w:t>p</w:t>
      </w:r>
      <w:r w:rsidR="00EB302C" w:rsidRPr="00163BF5">
        <w:rPr>
          <w:color w:val="000000" w:themeColor="text1"/>
        </w:rPr>
        <w:t>ara que una identificación sea válida se precisan datos ante mortem y post mortem de buena calidad y debidamente cotejados. 2. Reconocimiento visual</w:t>
      </w:r>
      <w:r w:rsidRPr="00163BF5">
        <w:rPr>
          <w:color w:val="000000" w:themeColor="text1"/>
        </w:rPr>
        <w:t>” (</w:t>
      </w:r>
      <w:r w:rsidRPr="00163BF5">
        <w:rPr>
          <w:color w:val="000000" w:themeColor="text1"/>
          <w:lang w:eastAsia="es-ES_tradnl"/>
        </w:rPr>
        <w:t xml:space="preserve">Protocolo de </w:t>
      </w:r>
      <w:proofErr w:type="spellStart"/>
      <w:r w:rsidRPr="00163BF5">
        <w:rPr>
          <w:color w:val="000000" w:themeColor="text1"/>
          <w:lang w:eastAsia="es-ES_tradnl"/>
        </w:rPr>
        <w:t>Minessota</w:t>
      </w:r>
      <w:proofErr w:type="spellEnd"/>
      <w:r w:rsidRPr="00163BF5">
        <w:rPr>
          <w:color w:val="000000" w:themeColor="text1"/>
          <w:lang w:eastAsia="es-ES_tradnl"/>
        </w:rPr>
        <w:t>, 2016, párr. 115).</w:t>
      </w:r>
    </w:p>
    <w:p w14:paraId="2311A385" w14:textId="5BC0CDB0" w:rsidR="00491148" w:rsidRPr="00163BF5" w:rsidRDefault="00491148" w:rsidP="00491148">
      <w:pPr>
        <w:spacing w:line="480" w:lineRule="auto"/>
        <w:ind w:firstLine="708"/>
        <w:jc w:val="both"/>
        <w:rPr>
          <w:color w:val="000000" w:themeColor="text1"/>
        </w:rPr>
      </w:pPr>
      <w:r w:rsidRPr="00163BF5">
        <w:rPr>
          <w:color w:val="000000" w:themeColor="text1"/>
          <w:lang w:eastAsia="es-ES_tradnl"/>
        </w:rPr>
        <w:t xml:space="preserve">El primer método de identificación es </w:t>
      </w:r>
      <w:r w:rsidRPr="00163BF5">
        <w:rPr>
          <w:color w:val="000000" w:themeColor="text1"/>
        </w:rPr>
        <w:t>l</w:t>
      </w:r>
      <w:r w:rsidR="00EB302C" w:rsidRPr="00163BF5">
        <w:rPr>
          <w:color w:val="000000" w:themeColor="text1"/>
        </w:rPr>
        <w:t>a observación del cadáver y su reconocimiento</w:t>
      </w:r>
      <w:r w:rsidRPr="00163BF5">
        <w:rPr>
          <w:color w:val="000000" w:themeColor="text1"/>
        </w:rPr>
        <w:t xml:space="preserve"> visual</w:t>
      </w:r>
      <w:r w:rsidR="00EB302C" w:rsidRPr="00163BF5">
        <w:rPr>
          <w:color w:val="000000" w:themeColor="text1"/>
        </w:rPr>
        <w:t xml:space="preserve"> por parte de familiares o amigos</w:t>
      </w:r>
      <w:r w:rsidRPr="00163BF5">
        <w:rPr>
          <w:color w:val="000000" w:themeColor="text1"/>
        </w:rPr>
        <w:t xml:space="preserve">, si bien este método es </w:t>
      </w:r>
      <w:proofErr w:type="spellStart"/>
      <w:r w:rsidRPr="00163BF5">
        <w:rPr>
          <w:color w:val="000000" w:themeColor="text1"/>
        </w:rPr>
        <w:t>comunmente</w:t>
      </w:r>
      <w:proofErr w:type="spellEnd"/>
      <w:r w:rsidRPr="00163BF5">
        <w:rPr>
          <w:color w:val="000000" w:themeColor="text1"/>
        </w:rPr>
        <w:t xml:space="preserve"> fiable, hay ocasiones en las que puede ocurrir una falsa </w:t>
      </w:r>
      <w:proofErr w:type="spellStart"/>
      <w:r w:rsidRPr="00163BF5">
        <w:rPr>
          <w:color w:val="000000" w:themeColor="text1"/>
        </w:rPr>
        <w:t>identificacion</w:t>
      </w:r>
      <w:proofErr w:type="spellEnd"/>
      <w:r w:rsidRPr="00163BF5">
        <w:rPr>
          <w:color w:val="000000" w:themeColor="text1"/>
        </w:rPr>
        <w:t xml:space="preserve">, por lo que es un factor a tomar en cuenta (Protocolo de </w:t>
      </w:r>
      <w:proofErr w:type="spellStart"/>
      <w:r w:rsidRPr="00163BF5">
        <w:rPr>
          <w:color w:val="000000" w:themeColor="text1"/>
        </w:rPr>
        <w:t>Minessota</w:t>
      </w:r>
      <w:proofErr w:type="spellEnd"/>
      <w:r w:rsidRPr="00163BF5">
        <w:rPr>
          <w:color w:val="000000" w:themeColor="text1"/>
        </w:rPr>
        <w:t>, 2016)</w:t>
      </w:r>
      <w:r w:rsidR="00523543" w:rsidRPr="00163BF5">
        <w:rPr>
          <w:color w:val="000000" w:themeColor="text1"/>
        </w:rPr>
        <w:t>.</w:t>
      </w:r>
    </w:p>
    <w:p w14:paraId="31D7B29F" w14:textId="4B28DF4B" w:rsidR="00491148" w:rsidRPr="00163BF5" w:rsidRDefault="00491148" w:rsidP="00491148">
      <w:pPr>
        <w:spacing w:line="480" w:lineRule="auto"/>
        <w:jc w:val="both"/>
        <w:rPr>
          <w:color w:val="000000" w:themeColor="text1"/>
        </w:rPr>
      </w:pPr>
      <w:r w:rsidRPr="00163BF5">
        <w:rPr>
          <w:color w:val="000000" w:themeColor="text1"/>
        </w:rPr>
        <w:tab/>
        <w:t xml:space="preserve">En casos en que la </w:t>
      </w:r>
      <w:proofErr w:type="spellStart"/>
      <w:r w:rsidRPr="00163BF5">
        <w:rPr>
          <w:color w:val="000000" w:themeColor="text1"/>
        </w:rPr>
        <w:t>descomposicion</w:t>
      </w:r>
      <w:proofErr w:type="spellEnd"/>
      <w:r w:rsidRPr="00163BF5">
        <w:rPr>
          <w:color w:val="000000" w:themeColor="text1"/>
        </w:rPr>
        <w:t xml:space="preserve"> no permita el reconocimiento visual, deben utilizar otros medios </w:t>
      </w:r>
      <w:proofErr w:type="spellStart"/>
      <w:r w:rsidRPr="00163BF5">
        <w:rPr>
          <w:color w:val="000000" w:themeColor="text1"/>
        </w:rPr>
        <w:t>cientificamente</w:t>
      </w:r>
      <w:proofErr w:type="spellEnd"/>
      <w:r w:rsidRPr="00163BF5">
        <w:rPr>
          <w:color w:val="000000" w:themeColor="text1"/>
        </w:rPr>
        <w:t xml:space="preserve"> confiables como son </w:t>
      </w:r>
      <w:proofErr w:type="spellStart"/>
      <w:r w:rsidRPr="00163BF5">
        <w:rPr>
          <w:color w:val="000000" w:themeColor="text1"/>
        </w:rPr>
        <w:t>lso</w:t>
      </w:r>
      <w:proofErr w:type="spellEnd"/>
      <w:r w:rsidRPr="00163BF5">
        <w:rPr>
          <w:color w:val="000000" w:themeColor="text1"/>
        </w:rPr>
        <w:t xml:space="preserve"> análisis de ADN, examen dental o examen basado en las huellas dactilares del </w:t>
      </w:r>
      <w:proofErr w:type="spellStart"/>
      <w:r w:rsidRPr="00163BF5">
        <w:rPr>
          <w:color w:val="000000" w:themeColor="text1"/>
        </w:rPr>
        <w:t>cadaver</w:t>
      </w:r>
      <w:proofErr w:type="spellEnd"/>
      <w:r w:rsidRPr="00163BF5">
        <w:rPr>
          <w:color w:val="000000" w:themeColor="text1"/>
        </w:rPr>
        <w:t>.</w:t>
      </w:r>
    </w:p>
    <w:p w14:paraId="21930AEE" w14:textId="30AB3664" w:rsidR="00E93A76" w:rsidRPr="00163BF5" w:rsidRDefault="00491148" w:rsidP="009F304A">
      <w:pPr>
        <w:spacing w:line="480" w:lineRule="auto"/>
        <w:jc w:val="both"/>
        <w:rPr>
          <w:color w:val="000000" w:themeColor="text1"/>
        </w:rPr>
      </w:pPr>
      <w:r w:rsidRPr="00163BF5">
        <w:rPr>
          <w:color w:val="000000" w:themeColor="text1"/>
        </w:rPr>
        <w:tab/>
        <w:t xml:space="preserve">Es preciso señalar que en todas las </w:t>
      </w:r>
      <w:proofErr w:type="spellStart"/>
      <w:r w:rsidRPr="00163BF5">
        <w:rPr>
          <w:color w:val="000000" w:themeColor="text1"/>
        </w:rPr>
        <w:t>instanias</w:t>
      </w:r>
      <w:proofErr w:type="spellEnd"/>
      <w:r w:rsidRPr="00163BF5">
        <w:rPr>
          <w:color w:val="000000" w:themeColor="text1"/>
        </w:rPr>
        <w:t xml:space="preserve"> de la </w:t>
      </w:r>
      <w:proofErr w:type="spellStart"/>
      <w:r w:rsidRPr="00163BF5">
        <w:rPr>
          <w:color w:val="000000" w:themeColor="text1"/>
        </w:rPr>
        <w:t>identificacion</w:t>
      </w:r>
      <w:proofErr w:type="spellEnd"/>
      <w:r w:rsidRPr="00163BF5">
        <w:rPr>
          <w:color w:val="000000" w:themeColor="text1"/>
        </w:rPr>
        <w:t xml:space="preserve"> del </w:t>
      </w:r>
      <w:proofErr w:type="spellStart"/>
      <w:r w:rsidRPr="00163BF5">
        <w:rPr>
          <w:color w:val="000000" w:themeColor="text1"/>
        </w:rPr>
        <w:t>cadaver</w:t>
      </w:r>
      <w:proofErr w:type="spellEnd"/>
      <w:r w:rsidRPr="00163BF5">
        <w:rPr>
          <w:color w:val="000000" w:themeColor="text1"/>
        </w:rPr>
        <w:t xml:space="preserve">, sea esta </w:t>
      </w:r>
      <w:proofErr w:type="spellStart"/>
      <w:r w:rsidRPr="00163BF5">
        <w:rPr>
          <w:color w:val="000000" w:themeColor="text1"/>
        </w:rPr>
        <w:t>ultima</w:t>
      </w:r>
      <w:proofErr w:type="spellEnd"/>
      <w:r w:rsidRPr="00163BF5">
        <w:rPr>
          <w:color w:val="000000" w:themeColor="text1"/>
        </w:rPr>
        <w:t xml:space="preserve"> realizada de manera visual o por medios </w:t>
      </w:r>
      <w:proofErr w:type="spellStart"/>
      <w:r w:rsidRPr="00163BF5">
        <w:rPr>
          <w:color w:val="000000" w:themeColor="text1"/>
        </w:rPr>
        <w:t>cientificos</w:t>
      </w:r>
      <w:proofErr w:type="spellEnd"/>
      <w:r w:rsidRPr="00163BF5">
        <w:rPr>
          <w:color w:val="000000" w:themeColor="text1"/>
        </w:rPr>
        <w:t xml:space="preserve">, un experto debe realizar el acompañamiento. </w:t>
      </w:r>
    </w:p>
    <w:p w14:paraId="334661CC" w14:textId="1B87BCC2" w:rsidR="00AE14F4" w:rsidRPr="00163BF5" w:rsidRDefault="00AE14F4" w:rsidP="009F304A">
      <w:pPr>
        <w:pStyle w:val="Ttulo4"/>
        <w:numPr>
          <w:ilvl w:val="2"/>
          <w:numId w:val="32"/>
        </w:numPr>
        <w:rPr>
          <w:rFonts w:ascii="Times New Roman" w:hAnsi="Times New Roman" w:cs="Times New Roman"/>
          <w:color w:val="000000" w:themeColor="text1"/>
        </w:rPr>
      </w:pPr>
      <w:bookmarkStart w:id="48" w:name="_Toc67513397"/>
      <w:r w:rsidRPr="00163BF5">
        <w:rPr>
          <w:rFonts w:ascii="Times New Roman" w:hAnsi="Times New Roman" w:cs="Times New Roman"/>
          <w:color w:val="000000" w:themeColor="text1"/>
        </w:rPr>
        <w:t>La investigación debe estar dirigida a sancionar a todos los responsables de las violaciones a los derechos humanos.</w:t>
      </w:r>
      <w:bookmarkEnd w:id="48"/>
      <w:r w:rsidRPr="00163BF5">
        <w:rPr>
          <w:rFonts w:ascii="Times New Roman" w:hAnsi="Times New Roman" w:cs="Times New Roman"/>
          <w:color w:val="000000" w:themeColor="text1"/>
        </w:rPr>
        <w:t xml:space="preserve"> </w:t>
      </w:r>
    </w:p>
    <w:p w14:paraId="7EE6EFEB" w14:textId="388F44A4" w:rsidR="00AE14F4" w:rsidRPr="00163BF5" w:rsidRDefault="00AE14F4" w:rsidP="00E334E2">
      <w:pPr>
        <w:spacing w:line="480" w:lineRule="auto"/>
        <w:ind w:firstLine="708"/>
        <w:jc w:val="both"/>
        <w:rPr>
          <w:color w:val="000000" w:themeColor="text1"/>
          <w:lang w:eastAsia="es-ES_tradnl"/>
        </w:rPr>
      </w:pPr>
      <w:r w:rsidRPr="00163BF5">
        <w:rPr>
          <w:color w:val="000000" w:themeColor="text1"/>
          <w:lang w:eastAsia="es-ES_tradnl"/>
        </w:rPr>
        <w:t>El Estado tiene la obligación de evitar la impunidad en casos de violaciones a los derechos humanos, para ello debe orientar la investigación del caso hacia la sanción y condena de los responsables; sin importar el nivel de participación de los mismos (Corte IDH, Caso Myrna Mack Chang Vs. Guatemala, 2003)</w:t>
      </w:r>
      <w:r w:rsidR="00523543" w:rsidRPr="00163BF5">
        <w:rPr>
          <w:color w:val="000000" w:themeColor="text1"/>
          <w:lang w:eastAsia="es-ES_tradnl"/>
        </w:rPr>
        <w:t>.</w:t>
      </w:r>
    </w:p>
    <w:p w14:paraId="7C8EF7D7" w14:textId="7777777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Ante esta obligación mencionada anteriormente la Corte IDH ha establecido que: </w:t>
      </w:r>
    </w:p>
    <w:p w14:paraId="660D4021" w14:textId="0475F3FA" w:rsidR="00487A61" w:rsidRPr="00163BF5" w:rsidRDefault="00AE14F4" w:rsidP="00F92151">
      <w:pPr>
        <w:ind w:left="1440"/>
        <w:jc w:val="both"/>
        <w:rPr>
          <w:color w:val="000000" w:themeColor="text1"/>
          <w:sz w:val="22"/>
          <w:szCs w:val="22"/>
          <w:lang w:eastAsia="es-ES_tradnl"/>
        </w:rPr>
      </w:pPr>
      <w:r w:rsidRPr="00163BF5">
        <w:rPr>
          <w:color w:val="000000" w:themeColor="text1"/>
          <w:sz w:val="22"/>
          <w:szCs w:val="22"/>
          <w:lang w:eastAsia="es-ES_tradnl"/>
        </w:rPr>
        <w:t>(…) si bien han sido condenados algunos de los responsables de la masacre,</w:t>
      </w:r>
      <w:r w:rsidRPr="00163BF5">
        <w:rPr>
          <w:rFonts w:ascii="GillSans-Light" w:hAnsi="GillSans-Light" w:cs="GillSans-Light"/>
          <w:color w:val="000000" w:themeColor="text1"/>
          <w:sz w:val="16"/>
          <w:szCs w:val="16"/>
        </w:rPr>
        <w:t xml:space="preserve"> </w:t>
      </w:r>
      <w:r w:rsidRPr="00163BF5">
        <w:rPr>
          <w:color w:val="000000" w:themeColor="text1"/>
          <w:sz w:val="22"/>
          <w:szCs w:val="22"/>
          <w:lang w:eastAsia="es-ES_tradnl"/>
        </w:rPr>
        <w:t xml:space="preserve">subsiste una impunidad generalizada en el presente caso, en la medida en que no ha sido determinada toda la verdad de los hechos ni la totalidad de las responsabilidades intelectuales y materiales por los mismos. (Corte IDH, Caso de la Masacre de Mapiripán Vs. Colombia, 2005, párr., 236) </w:t>
      </w:r>
    </w:p>
    <w:p w14:paraId="3C1D7FE8" w14:textId="77777777" w:rsidR="00F92151" w:rsidRPr="00163BF5" w:rsidRDefault="00F92151" w:rsidP="00F92151">
      <w:pPr>
        <w:ind w:left="1440"/>
        <w:jc w:val="both"/>
        <w:rPr>
          <w:color w:val="000000" w:themeColor="text1"/>
          <w:sz w:val="22"/>
          <w:szCs w:val="22"/>
          <w:lang w:eastAsia="es-ES_tradnl"/>
        </w:rPr>
      </w:pPr>
    </w:p>
    <w:p w14:paraId="4EDED892" w14:textId="7256DE9F"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Frente a lo citado</w:t>
      </w:r>
      <w:r w:rsidR="00D80D5C" w:rsidRPr="00163BF5">
        <w:rPr>
          <w:color w:val="000000" w:themeColor="text1"/>
          <w:lang w:eastAsia="es-ES_tradnl"/>
        </w:rPr>
        <w:t>,</w:t>
      </w:r>
      <w:r w:rsidRPr="00163BF5">
        <w:rPr>
          <w:color w:val="000000" w:themeColor="text1"/>
          <w:lang w:eastAsia="es-ES_tradnl"/>
        </w:rPr>
        <w:t xml:space="preserve"> se puede establecer que, si bien se haya condenado a algunos responsables de una violación a un derecho humano, de existir indicios de otros responsables existe una falta a la debida diligencia. </w:t>
      </w:r>
    </w:p>
    <w:p w14:paraId="56273F8A" w14:textId="7777777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En cuanto a la complejidad que existen en algunos casos y la estructura de las personas involucradas en la vulneración a los derechos humanos la Corte IDH ha mencionado que: </w:t>
      </w:r>
    </w:p>
    <w:p w14:paraId="419FA552" w14:textId="5574EB7B" w:rsidR="00487A61" w:rsidRPr="00163BF5" w:rsidRDefault="00AE14F4" w:rsidP="00F92151">
      <w:pPr>
        <w:ind w:left="1440"/>
        <w:jc w:val="both"/>
        <w:rPr>
          <w:color w:val="000000" w:themeColor="text1"/>
          <w:sz w:val="22"/>
          <w:szCs w:val="22"/>
          <w:lang w:eastAsia="es-ES_tradnl"/>
        </w:rPr>
      </w:pPr>
      <w:r w:rsidRPr="00163BF5">
        <w:rPr>
          <w:color w:val="000000" w:themeColor="text1"/>
          <w:sz w:val="22"/>
          <w:szCs w:val="22"/>
          <w:lang w:eastAsia="es-ES_tradnl"/>
        </w:rPr>
        <w:t xml:space="preserve">[…] las autoridades judiciales debían tomar en cuenta los factores indicados en el párrafo anterior, que denotan una compleja estructura de personas involucradas en el planeamiento y ejecución del crimen, en la cual convergen tanto la participación directa de muchas personas como el apoyo o colaboración de otras, incluyendo a agentes estatales, estructura de personas que existe antes del crimen y permanece después de su ejecución, dado que comparten objetivos comunes. </w:t>
      </w:r>
      <w:r w:rsidR="008E723A" w:rsidRPr="00163BF5">
        <w:rPr>
          <w:color w:val="000000" w:themeColor="text1"/>
          <w:sz w:val="22"/>
          <w:szCs w:val="22"/>
          <w:lang w:eastAsia="es-ES_tradnl"/>
        </w:rPr>
        <w:t>(Corte IDH, Caso de la Masacre de la Rochela Vs. Colombia, 2007, párr. 158)</w:t>
      </w:r>
    </w:p>
    <w:p w14:paraId="017AA2CE" w14:textId="77777777" w:rsidR="00F92151" w:rsidRPr="00163BF5" w:rsidRDefault="00F92151" w:rsidP="00F92151">
      <w:pPr>
        <w:ind w:left="1440"/>
        <w:jc w:val="both"/>
        <w:rPr>
          <w:color w:val="000000" w:themeColor="text1"/>
          <w:sz w:val="22"/>
          <w:szCs w:val="22"/>
          <w:lang w:eastAsia="es-ES_tradnl"/>
        </w:rPr>
      </w:pPr>
    </w:p>
    <w:p w14:paraId="1286840F" w14:textId="09A76630" w:rsidR="00AE14F4" w:rsidRPr="00163BF5" w:rsidRDefault="00AE14F4" w:rsidP="00F92151">
      <w:pPr>
        <w:spacing w:line="480" w:lineRule="auto"/>
        <w:ind w:firstLine="708"/>
        <w:jc w:val="both"/>
        <w:rPr>
          <w:color w:val="000000" w:themeColor="text1"/>
          <w:lang w:eastAsia="es-ES_tradnl"/>
        </w:rPr>
      </w:pPr>
      <w:r w:rsidRPr="00163BF5">
        <w:rPr>
          <w:color w:val="000000" w:themeColor="text1"/>
          <w:lang w:eastAsia="es-ES_tradnl"/>
        </w:rPr>
        <w:t>Es así como</w:t>
      </w:r>
      <w:r w:rsidR="00D80D5C" w:rsidRPr="00163BF5">
        <w:rPr>
          <w:color w:val="000000" w:themeColor="text1"/>
          <w:lang w:eastAsia="es-ES_tradnl"/>
        </w:rPr>
        <w:t>,</w:t>
      </w:r>
      <w:r w:rsidRPr="00163BF5">
        <w:rPr>
          <w:color w:val="000000" w:themeColor="text1"/>
          <w:lang w:eastAsia="es-ES_tradnl"/>
        </w:rPr>
        <w:t xml:space="preserve"> la Corte IDH establece que las autoridades judiciales de los Estados deben tener en cuenta que en casos que denoten una compleja estructura en el crimen, pueden existir la participación de muchas personas, y el apoyo o colaboración con otras. Además, el Estado debe considerar que este tipo de organizaciones a pesar de la ejecución de la pena a los responsables pueden seguir actuando dado que involucra a personas con objetivos comunes. </w:t>
      </w:r>
    </w:p>
    <w:p w14:paraId="4D84F443" w14:textId="678CF320" w:rsidR="00AE14F4" w:rsidRPr="00163BF5" w:rsidRDefault="00AE14F4" w:rsidP="00AE14F4">
      <w:pPr>
        <w:spacing w:line="480" w:lineRule="auto"/>
        <w:jc w:val="both"/>
        <w:rPr>
          <w:color w:val="000000" w:themeColor="text1"/>
          <w:lang w:eastAsia="es-ES_tradnl"/>
        </w:rPr>
      </w:pPr>
      <w:r w:rsidRPr="00163BF5">
        <w:rPr>
          <w:color w:val="000000" w:themeColor="text1"/>
          <w:lang w:eastAsia="es-ES_tradnl"/>
        </w:rPr>
        <w:tab/>
      </w:r>
      <w:r w:rsidRPr="00163BF5">
        <w:rPr>
          <w:noProof/>
          <w:color w:val="000000" w:themeColor="text1"/>
          <w:lang w:eastAsia="es-ES_tradnl"/>
        </w:rPr>
        <w:t xml:space="preserve">Mars ton Donner (2004) establece que </w:t>
      </w:r>
      <w:r w:rsidRPr="00163BF5">
        <w:rPr>
          <w:color w:val="000000" w:themeColor="text1"/>
          <w:lang w:eastAsia="es-ES_tradnl"/>
        </w:rPr>
        <w:t xml:space="preserve">en el derecho penal internacional es identificado como </w:t>
      </w:r>
      <w:r w:rsidRPr="00163BF5">
        <w:rPr>
          <w:i/>
          <w:iCs/>
          <w:color w:val="000000" w:themeColor="text1"/>
          <w:lang w:eastAsia="es-ES_tradnl"/>
        </w:rPr>
        <w:t>“</w:t>
      </w:r>
      <w:proofErr w:type="spellStart"/>
      <w:r w:rsidRPr="00163BF5">
        <w:rPr>
          <w:i/>
          <w:iCs/>
          <w:color w:val="000000" w:themeColor="text1"/>
          <w:lang w:eastAsia="es-ES_tradnl"/>
        </w:rPr>
        <w:t>joint</w:t>
      </w:r>
      <w:proofErr w:type="spellEnd"/>
      <w:r w:rsidRPr="00163BF5">
        <w:rPr>
          <w:i/>
          <w:iCs/>
          <w:color w:val="000000" w:themeColor="text1"/>
          <w:lang w:eastAsia="es-ES_tradnl"/>
        </w:rPr>
        <w:t xml:space="preserve"> criminal Enterprise”,</w:t>
      </w:r>
      <w:r w:rsidRPr="00163BF5">
        <w:rPr>
          <w:color w:val="000000" w:themeColor="text1"/>
          <w:lang w:eastAsia="es-ES_tradnl"/>
        </w:rPr>
        <w:t xml:space="preserve"> es decir son aquellas violaciones a derechos humanos que son realizadas por un grupo de personas organizadas que comparten un objetivo en común (citado por CEJIL, 2010, </w:t>
      </w:r>
      <w:r w:rsidR="00651EBA" w:rsidRPr="00163BF5">
        <w:rPr>
          <w:color w:val="000000" w:themeColor="text1"/>
          <w:lang w:eastAsia="es-ES_tradnl"/>
        </w:rPr>
        <w:t>p.</w:t>
      </w:r>
      <w:r w:rsidRPr="00163BF5">
        <w:rPr>
          <w:color w:val="000000" w:themeColor="text1"/>
          <w:lang w:eastAsia="es-ES_tradnl"/>
        </w:rPr>
        <w:t xml:space="preserve"> 41)</w:t>
      </w:r>
      <w:r w:rsidR="00523543" w:rsidRPr="00163BF5">
        <w:rPr>
          <w:color w:val="000000" w:themeColor="text1"/>
          <w:lang w:eastAsia="es-ES_tradnl"/>
        </w:rPr>
        <w:t>.</w:t>
      </w:r>
    </w:p>
    <w:p w14:paraId="6A73767E" w14:textId="6CE78E46" w:rsidR="00AE14F4" w:rsidRPr="00163BF5" w:rsidRDefault="00487A61" w:rsidP="008E723A">
      <w:pPr>
        <w:spacing w:line="480" w:lineRule="auto"/>
        <w:ind w:firstLine="708"/>
        <w:jc w:val="both"/>
        <w:rPr>
          <w:color w:val="000000" w:themeColor="text1"/>
          <w:lang w:eastAsia="es-ES_tradnl"/>
        </w:rPr>
      </w:pPr>
      <w:r w:rsidRPr="00163BF5">
        <w:rPr>
          <w:color w:val="000000" w:themeColor="text1"/>
          <w:lang w:eastAsia="es-ES_tradnl"/>
        </w:rPr>
        <w:t>E</w:t>
      </w:r>
      <w:r w:rsidR="00AE14F4" w:rsidRPr="00163BF5">
        <w:rPr>
          <w:color w:val="000000" w:themeColor="text1"/>
          <w:lang w:eastAsia="es-ES_tradnl"/>
        </w:rPr>
        <w:t>l Estatuto de Roma de la Corte Penal Internacional, bajo la figura de la responsabilidad del superior, establece</w:t>
      </w:r>
      <w:r w:rsidR="009F304A" w:rsidRPr="00163BF5">
        <w:rPr>
          <w:color w:val="000000" w:themeColor="text1"/>
          <w:lang w:eastAsia="es-ES_tradnl"/>
        </w:rPr>
        <w:t xml:space="preserve"> </w:t>
      </w:r>
      <w:r w:rsidR="00AE14F4" w:rsidRPr="00163BF5">
        <w:rPr>
          <w:color w:val="000000" w:themeColor="text1"/>
          <w:lang w:eastAsia="es-ES_tradnl"/>
        </w:rPr>
        <w:t xml:space="preserve">la responsabilidad al superior de una conducta realizada por el subordinado en los siguientes casos: </w:t>
      </w:r>
    </w:p>
    <w:p w14:paraId="6A95AA52" w14:textId="77777777"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a) El jefe militar o el que actúe efectivamente como jefe militar será penalmente responsable por los crímenes de la competencia de la Corte que hubieren sido cometidos por fuerzas bajo su mando y control efectivo, o su autoridad y control efectivo, según sea el caso, en razón de no haber ejercido un control apropiado sobre esas fuerzas cuando:</w:t>
      </w:r>
    </w:p>
    <w:p w14:paraId="0AB3FC56" w14:textId="77777777"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 xml:space="preserve"> i) Hubiere sabido o, en razón de las circunstancias del momento, hubiere debido saber que las fuerzas estaban cometiendo esos crímenes o se proponían cometerlos; y </w:t>
      </w:r>
    </w:p>
    <w:p w14:paraId="35E41BFA" w14:textId="77777777" w:rsidR="00AE14F4" w:rsidRPr="00163BF5" w:rsidRDefault="00AE14F4" w:rsidP="00AE14F4">
      <w:pPr>
        <w:ind w:left="1440"/>
        <w:jc w:val="both"/>
        <w:rPr>
          <w:color w:val="000000" w:themeColor="text1"/>
          <w:sz w:val="22"/>
          <w:szCs w:val="22"/>
          <w:lang w:eastAsia="es-ES_tradnl"/>
        </w:rPr>
      </w:pPr>
      <w:proofErr w:type="spellStart"/>
      <w:r w:rsidRPr="00163BF5">
        <w:rPr>
          <w:color w:val="000000" w:themeColor="text1"/>
          <w:sz w:val="22"/>
          <w:szCs w:val="22"/>
          <w:lang w:eastAsia="es-ES_tradnl"/>
        </w:rPr>
        <w:t>ii</w:t>
      </w:r>
      <w:proofErr w:type="spellEnd"/>
      <w:r w:rsidRPr="00163BF5">
        <w:rPr>
          <w:color w:val="000000" w:themeColor="text1"/>
          <w:sz w:val="22"/>
          <w:szCs w:val="22"/>
          <w:lang w:eastAsia="es-ES_tradnl"/>
        </w:rPr>
        <w:t>) No hubiere adoptado todas las medidas necesarias y razonables a su alcance para prevenir o reprimir su comisión o para poner el asunto en conocimiento de las autoridades competentes a los efectos de su investigación y enjuiciamiento.</w:t>
      </w:r>
    </w:p>
    <w:p w14:paraId="0B120A29" w14:textId="77777777"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 xml:space="preserve"> b) En lo que respecta a las relaciones entre superior y subordinado distintas de las señaladas en el apartado a), el superior será penalmente responsable por los crímenes de la competencia de la Corte que hubieren sido cometidos por subordinados bajo su autoridad y control efectivo, en razón de no haber ejercido un control apropiado sobre esos subordinados, cuando:</w:t>
      </w:r>
    </w:p>
    <w:p w14:paraId="4E1C6D2F" w14:textId="77777777"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 xml:space="preserve"> i) Hubiere tenido conocimiento o deliberadamente hubiere hecho caso omiso de información que indicase claramente que los subordinados estaban cometiendo esos crímenes o se proponían cometerlos;</w:t>
      </w:r>
    </w:p>
    <w:p w14:paraId="339576F2" w14:textId="77777777"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 xml:space="preserve"> </w:t>
      </w:r>
      <w:proofErr w:type="spellStart"/>
      <w:r w:rsidRPr="00163BF5">
        <w:rPr>
          <w:color w:val="000000" w:themeColor="text1"/>
          <w:sz w:val="22"/>
          <w:szCs w:val="22"/>
          <w:lang w:eastAsia="es-ES_tradnl"/>
        </w:rPr>
        <w:t>ii</w:t>
      </w:r>
      <w:proofErr w:type="spellEnd"/>
      <w:r w:rsidRPr="00163BF5">
        <w:rPr>
          <w:color w:val="000000" w:themeColor="text1"/>
          <w:sz w:val="22"/>
          <w:szCs w:val="22"/>
          <w:lang w:eastAsia="es-ES_tradnl"/>
        </w:rPr>
        <w:t>) Los crímenes guardaren relación con actividades bajo su responsabilidad y control efectivo; y</w:t>
      </w:r>
    </w:p>
    <w:p w14:paraId="5CF4B51A" w14:textId="506F14A0" w:rsidR="00487A61" w:rsidRPr="00163BF5" w:rsidRDefault="00AE14F4" w:rsidP="00A7013F">
      <w:pPr>
        <w:ind w:left="1440"/>
        <w:jc w:val="both"/>
        <w:rPr>
          <w:color w:val="000000" w:themeColor="text1"/>
          <w:sz w:val="22"/>
          <w:szCs w:val="22"/>
          <w:lang w:eastAsia="es-ES_tradnl"/>
        </w:rPr>
      </w:pPr>
      <w:proofErr w:type="spellStart"/>
      <w:r w:rsidRPr="00163BF5">
        <w:rPr>
          <w:color w:val="000000" w:themeColor="text1"/>
          <w:sz w:val="22"/>
          <w:szCs w:val="22"/>
          <w:lang w:eastAsia="es-ES_tradnl"/>
        </w:rPr>
        <w:t>iii</w:t>
      </w:r>
      <w:proofErr w:type="spellEnd"/>
      <w:r w:rsidRPr="00163BF5">
        <w:rPr>
          <w:color w:val="000000" w:themeColor="text1"/>
          <w:sz w:val="22"/>
          <w:szCs w:val="22"/>
          <w:lang w:eastAsia="es-ES_tradnl"/>
        </w:rPr>
        <w:t xml:space="preserve">) No hubiere adoptado todas las medidas necesarias y razonables a su alcance para prevenir o reprimir su comisión o para poner el asunto en conocimiento de las autoridades competentes a los efectos de su investigación y enjuiciamiento. (ER, 1998, art. 28) </w:t>
      </w:r>
    </w:p>
    <w:p w14:paraId="507729B9" w14:textId="77777777" w:rsidR="00F92151" w:rsidRPr="00163BF5" w:rsidRDefault="00F92151" w:rsidP="00A7013F">
      <w:pPr>
        <w:ind w:left="1440"/>
        <w:jc w:val="both"/>
        <w:rPr>
          <w:color w:val="000000" w:themeColor="text1"/>
          <w:sz w:val="22"/>
          <w:szCs w:val="22"/>
          <w:lang w:eastAsia="es-ES_tradnl"/>
        </w:rPr>
      </w:pPr>
    </w:p>
    <w:p w14:paraId="282BB3C5" w14:textId="3AC970AF" w:rsidR="00AE14F4" w:rsidRPr="00163BF5" w:rsidRDefault="00AE14F4" w:rsidP="00A7013F">
      <w:pPr>
        <w:spacing w:line="480" w:lineRule="auto"/>
        <w:ind w:firstLine="708"/>
        <w:jc w:val="both"/>
        <w:rPr>
          <w:color w:val="000000" w:themeColor="text1"/>
          <w:lang w:eastAsia="es-ES_tradnl"/>
        </w:rPr>
      </w:pPr>
      <w:r w:rsidRPr="00163BF5">
        <w:rPr>
          <w:color w:val="000000" w:themeColor="text1"/>
          <w:lang w:eastAsia="es-ES_tradnl"/>
        </w:rPr>
        <w:t xml:space="preserve">En lo que respecta a graves violaciones a derechos humanos, toda persona que haya participado en la comisión de estas debe ser juzgadas. </w:t>
      </w:r>
    </w:p>
    <w:p w14:paraId="2F9C5E51" w14:textId="7954F69A" w:rsidR="00AE14F4" w:rsidRPr="00163BF5" w:rsidRDefault="00AE14F4" w:rsidP="009F304A">
      <w:pPr>
        <w:pStyle w:val="Ttulo4"/>
        <w:numPr>
          <w:ilvl w:val="2"/>
          <w:numId w:val="32"/>
        </w:numPr>
        <w:rPr>
          <w:rFonts w:ascii="Times New Roman" w:hAnsi="Times New Roman" w:cs="Times New Roman"/>
          <w:color w:val="000000" w:themeColor="text1"/>
        </w:rPr>
      </w:pPr>
      <w:r w:rsidRPr="00163BF5">
        <w:rPr>
          <w:color w:val="000000" w:themeColor="text1"/>
        </w:rPr>
        <w:t xml:space="preserve"> </w:t>
      </w:r>
      <w:bookmarkStart w:id="49" w:name="_Toc67513398"/>
      <w:r w:rsidRPr="00163BF5">
        <w:rPr>
          <w:rFonts w:ascii="Times New Roman" w:hAnsi="Times New Roman" w:cs="Times New Roman"/>
          <w:color w:val="000000" w:themeColor="text1"/>
        </w:rPr>
        <w:t>La investigación debe abarcar todos los hechos que hayan violado a los derechos humanos.</w:t>
      </w:r>
      <w:bookmarkEnd w:id="49"/>
      <w:r w:rsidRPr="00163BF5">
        <w:rPr>
          <w:rFonts w:ascii="Times New Roman" w:hAnsi="Times New Roman" w:cs="Times New Roman"/>
          <w:color w:val="000000" w:themeColor="text1"/>
        </w:rPr>
        <w:t xml:space="preserve"> </w:t>
      </w:r>
    </w:p>
    <w:p w14:paraId="1CDB036C" w14:textId="6AB20C69"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La Corte IDH a lo largo de su jurisprudencia considera “violatorio del derecho de acceso a la justicia que dichos procesos no abarquen la totalidad de los hechos violatorios de derechos humanos […], cuya gravedad es evidente” (Corte IDH, Caso del Penal Miguel Castro </w:t>
      </w:r>
      <w:proofErr w:type="spellStart"/>
      <w:r w:rsidRPr="00163BF5">
        <w:rPr>
          <w:color w:val="000000" w:themeColor="text1"/>
          <w:lang w:eastAsia="es-ES_tradnl"/>
        </w:rPr>
        <w:t>Castro</w:t>
      </w:r>
      <w:proofErr w:type="spellEnd"/>
      <w:r w:rsidRPr="00163BF5">
        <w:rPr>
          <w:color w:val="000000" w:themeColor="text1"/>
          <w:lang w:eastAsia="es-ES_tradnl"/>
        </w:rPr>
        <w:t xml:space="preserve"> Vs. Perú, 2006, párr. 390)</w:t>
      </w:r>
      <w:r w:rsidR="00523543" w:rsidRPr="00163BF5">
        <w:rPr>
          <w:color w:val="000000" w:themeColor="text1"/>
          <w:lang w:eastAsia="es-ES_tradnl"/>
        </w:rPr>
        <w:t>.</w:t>
      </w:r>
    </w:p>
    <w:p w14:paraId="191F1057" w14:textId="77777777" w:rsidR="00AE14F4" w:rsidRPr="00163BF5" w:rsidRDefault="00AE14F4" w:rsidP="00AE14F4">
      <w:pPr>
        <w:spacing w:line="480" w:lineRule="auto"/>
        <w:ind w:left="708"/>
        <w:jc w:val="both"/>
        <w:rPr>
          <w:color w:val="000000" w:themeColor="text1"/>
          <w:lang w:eastAsia="es-ES_tradnl"/>
        </w:rPr>
      </w:pPr>
      <w:r w:rsidRPr="00163BF5">
        <w:rPr>
          <w:color w:val="000000" w:themeColor="text1"/>
          <w:lang w:eastAsia="es-ES_tradnl"/>
        </w:rPr>
        <w:t xml:space="preserve">De igual manera considera como una falta a la debida diligencia el que: </w:t>
      </w:r>
    </w:p>
    <w:p w14:paraId="57C2A5BB" w14:textId="4A1FC6CC"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 xml:space="preserve">el Estado limitó sus investigaciones al homicidio [de la víctima], quedando sin aclaración otros hechos relacionados a ese crimen, tales como su detención ilegal, las lesiones corporales que sufrió, el allanamiento ilegal en su domicilio, la colaboración de exsoldados en el encubrimiento de los hechos, y la supuesta participación de indígenas y/o terratenientes en el delito. (Corte IDH, Caso </w:t>
      </w:r>
      <w:proofErr w:type="spellStart"/>
      <w:r w:rsidRPr="00163BF5">
        <w:rPr>
          <w:color w:val="000000" w:themeColor="text1"/>
          <w:sz w:val="22"/>
          <w:szCs w:val="22"/>
          <w:lang w:eastAsia="es-ES_tradnl"/>
        </w:rPr>
        <w:t>Escué</w:t>
      </w:r>
      <w:proofErr w:type="spellEnd"/>
      <w:r w:rsidRPr="00163BF5">
        <w:rPr>
          <w:color w:val="000000" w:themeColor="text1"/>
          <w:sz w:val="22"/>
          <w:szCs w:val="22"/>
          <w:lang w:eastAsia="es-ES_tradnl"/>
        </w:rPr>
        <w:t xml:space="preserve"> Zapata Vs. Colombia, 2007, párr. 109) </w:t>
      </w:r>
    </w:p>
    <w:p w14:paraId="401A6A5C" w14:textId="77777777" w:rsidR="00F92151" w:rsidRPr="00163BF5" w:rsidRDefault="00F92151" w:rsidP="00AE14F4">
      <w:pPr>
        <w:ind w:left="1440"/>
        <w:jc w:val="both"/>
        <w:rPr>
          <w:color w:val="000000" w:themeColor="text1"/>
          <w:sz w:val="22"/>
          <w:szCs w:val="22"/>
          <w:lang w:eastAsia="es-ES_tradnl"/>
        </w:rPr>
      </w:pPr>
    </w:p>
    <w:p w14:paraId="5A98609E" w14:textId="5BF4C561" w:rsidR="00066AEC" w:rsidRPr="00163BF5" w:rsidRDefault="00AE14F4" w:rsidP="009F112D">
      <w:pPr>
        <w:spacing w:line="480" w:lineRule="auto"/>
        <w:ind w:firstLine="708"/>
        <w:jc w:val="both"/>
        <w:rPr>
          <w:color w:val="000000" w:themeColor="text1"/>
          <w:lang w:eastAsia="es-ES_tradnl"/>
        </w:rPr>
      </w:pPr>
      <w:r w:rsidRPr="00163BF5">
        <w:rPr>
          <w:color w:val="000000" w:themeColor="text1"/>
          <w:lang w:eastAsia="es-ES_tradnl"/>
        </w:rPr>
        <w:t xml:space="preserve">Es decir, el Estado tiene el deber de investigar todos aquellos actos que hayan vulnerado los derechos humanos y no solamente en aquel acto que sea considerado más grave, es importante destacar que de no hacerlo se estaría vulnerando el principio de debida diligencia en el proceso. </w:t>
      </w:r>
    </w:p>
    <w:p w14:paraId="43E6E964" w14:textId="61BA7683" w:rsidR="00AE14F4" w:rsidRPr="00163BF5" w:rsidRDefault="00AE14F4" w:rsidP="009F304A">
      <w:pPr>
        <w:pStyle w:val="Ttulo4"/>
        <w:numPr>
          <w:ilvl w:val="2"/>
          <w:numId w:val="32"/>
        </w:numPr>
        <w:rPr>
          <w:rFonts w:ascii="Times New Roman" w:hAnsi="Times New Roman" w:cs="Times New Roman"/>
          <w:color w:val="000000" w:themeColor="text1"/>
        </w:rPr>
      </w:pPr>
      <w:bookmarkStart w:id="50" w:name="_Toc67513399"/>
      <w:r w:rsidRPr="00163BF5">
        <w:rPr>
          <w:rFonts w:ascii="Times New Roman" w:hAnsi="Times New Roman" w:cs="Times New Roman"/>
          <w:color w:val="000000" w:themeColor="text1"/>
        </w:rPr>
        <w:t>Ejecución de decisiones judiciales y ordenes de capturas</w:t>
      </w:r>
      <w:bookmarkEnd w:id="50"/>
    </w:p>
    <w:p w14:paraId="0C9477B9" w14:textId="0BE1C63E"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Una de las obligaciones del Estado al realizar una investigación de manera diligente es que aquellas investigaciones que versen sobre violaciones a los derechos humanos, es que el Estado realice todos los esfuerzos para que las órdenes de captura sean ejecutadas (CEJIL, 2010)</w:t>
      </w:r>
      <w:r w:rsidR="00523543" w:rsidRPr="00163BF5">
        <w:rPr>
          <w:color w:val="000000" w:themeColor="text1"/>
          <w:lang w:eastAsia="es-ES_tradnl"/>
        </w:rPr>
        <w:t>.</w:t>
      </w:r>
    </w:p>
    <w:p w14:paraId="36C1B83E" w14:textId="734CDC6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Sobre lo anterior, la Corte IDH ha mencionado que el Estado no solo tiene la obligación de ofrecer a la sociedad los recursos judiciales para proteger los derechos humanos, sino también deben asegurarse de que las decisiones emitidas por parte de los distintos tribunales sean ejecutadas (Corte IDH, Caso Cin</w:t>
      </w:r>
      <w:r w:rsidR="002258A5" w:rsidRPr="00163BF5">
        <w:rPr>
          <w:color w:val="000000" w:themeColor="text1"/>
          <w:lang w:eastAsia="es-ES_tradnl"/>
        </w:rPr>
        <w:t>co</w:t>
      </w:r>
      <w:r w:rsidRPr="00163BF5">
        <w:rPr>
          <w:color w:val="000000" w:themeColor="text1"/>
          <w:lang w:eastAsia="es-ES_tradnl"/>
        </w:rPr>
        <w:t xml:space="preserve"> Pensionistas Vs. Perú, 2003)</w:t>
      </w:r>
      <w:r w:rsidR="00523543" w:rsidRPr="00163BF5">
        <w:rPr>
          <w:color w:val="000000" w:themeColor="text1"/>
          <w:lang w:eastAsia="es-ES_tradnl"/>
        </w:rPr>
        <w:t>.</w:t>
      </w:r>
    </w:p>
    <w:p w14:paraId="40C5F9AA" w14:textId="0D75BC76"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En cuanto a la existencia de casos en los que la ejecución de las decisiones es anulada por presentaciones de recursos posteriores la CIDH ha expresado: </w:t>
      </w:r>
    </w:p>
    <w:p w14:paraId="0607D21E" w14:textId="100432BF" w:rsidR="00AE14F4" w:rsidRPr="00163BF5" w:rsidRDefault="00AE14F4" w:rsidP="001E72E1">
      <w:pPr>
        <w:ind w:left="1440"/>
        <w:jc w:val="both"/>
        <w:rPr>
          <w:color w:val="000000" w:themeColor="text1"/>
          <w:sz w:val="22"/>
          <w:szCs w:val="22"/>
          <w:lang w:eastAsia="es-ES_tradnl"/>
        </w:rPr>
      </w:pPr>
      <w:r w:rsidRPr="00163BF5">
        <w:rPr>
          <w:color w:val="000000" w:themeColor="text1"/>
          <w:sz w:val="22"/>
          <w:szCs w:val="22"/>
          <w:lang w:eastAsia="es-ES_tradnl"/>
        </w:rPr>
        <w:t>declarando que existe violación al deber de investigar y sancionar violaciones de derechos humanos cuando ha existido sentencia condenatoria contra los responsables de una violación y la sentencia se anula a raíz de la presentación de un recurso de apelación extemporáneo y con irregularidades procesales</w:t>
      </w:r>
      <w:r w:rsidR="00523543" w:rsidRPr="00163BF5">
        <w:rPr>
          <w:color w:val="000000" w:themeColor="text1"/>
          <w:sz w:val="22"/>
          <w:szCs w:val="22"/>
          <w:lang w:eastAsia="es-ES_tradnl"/>
        </w:rPr>
        <w:t xml:space="preserve">. </w:t>
      </w:r>
      <w:r w:rsidRPr="00163BF5">
        <w:rPr>
          <w:color w:val="000000" w:themeColor="text1"/>
          <w:sz w:val="22"/>
          <w:szCs w:val="22"/>
          <w:lang w:eastAsia="es-ES_tradnl"/>
        </w:rPr>
        <w:t>(Citado por CEJIL, 2010</w:t>
      </w:r>
      <w:r w:rsidR="00BA5F87" w:rsidRPr="00163BF5">
        <w:rPr>
          <w:color w:val="000000" w:themeColor="text1"/>
          <w:sz w:val="22"/>
          <w:szCs w:val="22"/>
          <w:lang w:eastAsia="es-ES_tradnl"/>
        </w:rPr>
        <w:t>, p.44</w:t>
      </w:r>
      <w:r w:rsidRPr="00163BF5">
        <w:rPr>
          <w:color w:val="000000" w:themeColor="text1"/>
          <w:sz w:val="22"/>
          <w:szCs w:val="22"/>
          <w:lang w:eastAsia="es-ES_tradnl"/>
        </w:rPr>
        <w:t xml:space="preserve">) </w:t>
      </w:r>
    </w:p>
    <w:p w14:paraId="751476D4" w14:textId="77777777" w:rsidR="00AE14F4" w:rsidRPr="00163BF5" w:rsidRDefault="00AE14F4" w:rsidP="00AE14F4">
      <w:pPr>
        <w:jc w:val="both"/>
        <w:rPr>
          <w:color w:val="000000" w:themeColor="text1"/>
          <w:lang w:eastAsia="es-ES_tradnl"/>
        </w:rPr>
      </w:pPr>
    </w:p>
    <w:p w14:paraId="2D1F8A1E" w14:textId="57900D80" w:rsidR="00AE14F4" w:rsidRPr="00163BF5" w:rsidRDefault="00D80D5C" w:rsidP="00AE14F4">
      <w:pPr>
        <w:spacing w:line="480" w:lineRule="auto"/>
        <w:ind w:firstLine="708"/>
        <w:jc w:val="both"/>
        <w:rPr>
          <w:color w:val="000000" w:themeColor="text1"/>
          <w:lang w:eastAsia="es-ES_tradnl"/>
        </w:rPr>
      </w:pPr>
      <w:r w:rsidRPr="00163BF5">
        <w:rPr>
          <w:color w:val="000000" w:themeColor="text1"/>
          <w:lang w:eastAsia="es-ES_tradnl"/>
        </w:rPr>
        <w:t>De esta forma,</w:t>
      </w:r>
      <w:r w:rsidR="00AE14F4" w:rsidRPr="00163BF5">
        <w:rPr>
          <w:color w:val="000000" w:themeColor="text1"/>
          <w:lang w:eastAsia="es-ES_tradnl"/>
        </w:rPr>
        <w:t xml:space="preserve"> se puede establecer que el Estado no solo tiene la obligación de otorgar los recursos judiciales para la tutela de los derechos, sino que debe de igual manera tiene el deber que las sentencias emitidas por parte de los tribunales sean ejecutadas. </w:t>
      </w:r>
    </w:p>
    <w:p w14:paraId="2E027857" w14:textId="7777777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Es importante de igual manera señalar que es violatorio de derechos humanos que cuando exista una sentencia condenatoria esta no pueda ser ejecutada por presentación de recursos extemporáneos y con irregularidades a en el proceso. </w:t>
      </w:r>
    </w:p>
    <w:p w14:paraId="2FCF7A79" w14:textId="68DFB2D6"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En cuanto a la ejecución de órdenes de captura, la Corte IDH ha establecido que: </w:t>
      </w:r>
    </w:p>
    <w:p w14:paraId="459A37C4" w14:textId="67E25ACF"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 el retardo en hacer efectivas las órdenes de captura ya dictadas contribuye a perpetuar los actos de violencia e intimidación contra testigos y fiscales vinculados al esclarecimiento de los hechos, más aún cuando del expediente surge que los sobrevivientes y algunos familiares y testigos fueron hostigados y amenazados, e incluso algunos tuvieron que salir del país. (Corte IDH, Caso de la Masacre de la Rochela Vs. Colombia</w:t>
      </w:r>
      <w:r w:rsidR="00BA5F87" w:rsidRPr="00163BF5">
        <w:rPr>
          <w:color w:val="000000" w:themeColor="text1"/>
          <w:sz w:val="22"/>
          <w:szCs w:val="22"/>
          <w:lang w:eastAsia="es-ES_tradnl"/>
        </w:rPr>
        <w:t>, 2007, párr. 175</w:t>
      </w:r>
      <w:r w:rsidRPr="00163BF5">
        <w:rPr>
          <w:color w:val="000000" w:themeColor="text1"/>
          <w:sz w:val="22"/>
          <w:szCs w:val="22"/>
          <w:lang w:eastAsia="es-ES_tradnl"/>
        </w:rPr>
        <w:t>)</w:t>
      </w:r>
    </w:p>
    <w:p w14:paraId="23BDF9AA" w14:textId="77777777" w:rsidR="00F92151" w:rsidRPr="00163BF5" w:rsidRDefault="00F92151" w:rsidP="00AE14F4">
      <w:pPr>
        <w:ind w:left="1440"/>
        <w:jc w:val="both"/>
        <w:rPr>
          <w:color w:val="000000" w:themeColor="text1"/>
          <w:sz w:val="22"/>
          <w:szCs w:val="22"/>
          <w:lang w:eastAsia="es-ES_tradnl"/>
        </w:rPr>
      </w:pPr>
    </w:p>
    <w:p w14:paraId="19B7D921" w14:textId="49616AAA" w:rsidR="00E334E2" w:rsidRPr="00163BF5" w:rsidRDefault="00AE14F4" w:rsidP="00AE14F4">
      <w:pPr>
        <w:spacing w:line="480" w:lineRule="auto"/>
        <w:jc w:val="both"/>
        <w:rPr>
          <w:color w:val="000000" w:themeColor="text1"/>
          <w:lang w:eastAsia="es-ES_tradnl"/>
        </w:rPr>
      </w:pPr>
      <w:r w:rsidRPr="00163BF5">
        <w:rPr>
          <w:color w:val="000000" w:themeColor="text1"/>
          <w:lang w:eastAsia="es-ES_tradnl"/>
        </w:rPr>
        <w:tab/>
        <w:t xml:space="preserve">La Corte IDH entonces establece que el retardo en hacer ejecutadas las órdenes de captura dictadas genera que se realicen actos de violencia o intimidación a víctimas, testigos y fiscales vinculados en el caso, generando que todo el proceso sea afectado de manera negativa. </w:t>
      </w:r>
    </w:p>
    <w:p w14:paraId="49C1A231" w14:textId="046D481C" w:rsidR="00AE14F4" w:rsidRPr="00163BF5" w:rsidRDefault="00AE14F4" w:rsidP="009F304A">
      <w:pPr>
        <w:pStyle w:val="Ttulo4"/>
        <w:numPr>
          <w:ilvl w:val="2"/>
          <w:numId w:val="32"/>
        </w:numPr>
        <w:rPr>
          <w:rFonts w:ascii="Times New Roman" w:hAnsi="Times New Roman" w:cs="Times New Roman"/>
          <w:color w:val="000000" w:themeColor="text1"/>
        </w:rPr>
      </w:pPr>
      <w:r w:rsidRPr="00163BF5">
        <w:rPr>
          <w:color w:val="000000" w:themeColor="text1"/>
        </w:rPr>
        <w:t xml:space="preserve"> </w:t>
      </w:r>
      <w:bookmarkStart w:id="51" w:name="_Toc67513400"/>
      <w:r w:rsidRPr="00163BF5">
        <w:rPr>
          <w:rFonts w:ascii="Times New Roman" w:hAnsi="Times New Roman" w:cs="Times New Roman"/>
          <w:color w:val="000000" w:themeColor="text1"/>
        </w:rPr>
        <w:t>En el transcurso de la investigación debe utilizarse todos los medios posibles para la obtención de pruebas relevantes en el caso</w:t>
      </w:r>
      <w:bookmarkEnd w:id="51"/>
    </w:p>
    <w:p w14:paraId="247804F9" w14:textId="7BA5CAA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En cuanto a las pruebas, la Corte IDH ha mencionado que las autoridades deben utilizar todos los medios legales para obtener las pruebas sobre los acontecimientos que derivaron en las violaciones a los derechos humanos (Corte IDH, Caso de la Masacre del Pueblo Bello, 2006)</w:t>
      </w:r>
      <w:r w:rsidR="00523543" w:rsidRPr="00163BF5">
        <w:rPr>
          <w:color w:val="000000" w:themeColor="text1"/>
          <w:lang w:eastAsia="es-ES_tradnl"/>
        </w:rPr>
        <w:t>.</w:t>
      </w:r>
    </w:p>
    <w:p w14:paraId="2B638FC3" w14:textId="7777777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Acerca de los medios que el Estado debe otorgar a quienes están a cargo de la investigación, la Corte IDH ha mencionado que: </w:t>
      </w:r>
    </w:p>
    <w:p w14:paraId="258EF45F" w14:textId="4B6D9589"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 xml:space="preserve">[…] el Estado garantizará que las autoridades encargadas de la investigación cuenten con los recursos logísticos y científicos necesarios para la recaudación y procesamiento de pruebas y, en particular, tengan las facultades para acceder a la documentación e información pertinente para investigar los hechos denunciados y puedan obtener indicios o evidencias de la ubicación de las víctimas. En este sentido, cabe reiterar que, en caso de violaciones de derechos humanos, las autoridades estatales no se pueden amparar en mecanismos como el secreto de Estado o la confidencialidad de la información, o en razones de interés público o seguridad nacional, para dejar de aportar la información requerida por las autoridades judiciales o administrativas encargadas de la investigación o proceso pendientes. (Corte IDH, </w:t>
      </w:r>
      <w:proofErr w:type="spellStart"/>
      <w:r w:rsidRPr="00163BF5">
        <w:rPr>
          <w:color w:val="000000" w:themeColor="text1"/>
          <w:sz w:val="22"/>
          <w:szCs w:val="22"/>
          <w:lang w:eastAsia="es-ES_tradnl"/>
        </w:rPr>
        <w:t>Tiu</w:t>
      </w:r>
      <w:proofErr w:type="spellEnd"/>
      <w:r w:rsidRPr="00163BF5">
        <w:rPr>
          <w:color w:val="000000" w:themeColor="text1"/>
          <w:sz w:val="22"/>
          <w:szCs w:val="22"/>
          <w:lang w:eastAsia="es-ES_tradnl"/>
        </w:rPr>
        <w:t xml:space="preserve"> </w:t>
      </w:r>
      <w:proofErr w:type="spellStart"/>
      <w:r w:rsidRPr="00163BF5">
        <w:rPr>
          <w:color w:val="000000" w:themeColor="text1"/>
          <w:sz w:val="22"/>
          <w:szCs w:val="22"/>
          <w:lang w:eastAsia="es-ES_tradnl"/>
        </w:rPr>
        <w:t>Tojín</w:t>
      </w:r>
      <w:proofErr w:type="spellEnd"/>
      <w:r w:rsidRPr="00163BF5">
        <w:rPr>
          <w:color w:val="000000" w:themeColor="text1"/>
          <w:sz w:val="22"/>
          <w:szCs w:val="22"/>
          <w:lang w:eastAsia="es-ES_tradnl"/>
        </w:rPr>
        <w:t xml:space="preserve"> Vs. Guatemala, 2008, párr. 77) </w:t>
      </w:r>
    </w:p>
    <w:p w14:paraId="460E86E1" w14:textId="77777777" w:rsidR="00E334E2" w:rsidRPr="00163BF5" w:rsidRDefault="00E334E2" w:rsidP="00AE14F4">
      <w:pPr>
        <w:ind w:left="1440"/>
        <w:jc w:val="both"/>
        <w:rPr>
          <w:color w:val="000000" w:themeColor="text1"/>
          <w:lang w:eastAsia="es-ES_tradnl"/>
        </w:rPr>
      </w:pPr>
    </w:p>
    <w:p w14:paraId="7841B3C1" w14:textId="4C62B9D9" w:rsidR="00AE14F4" w:rsidRPr="00163BF5" w:rsidRDefault="00AE14F4" w:rsidP="00AE14F4">
      <w:pPr>
        <w:spacing w:line="480" w:lineRule="auto"/>
        <w:jc w:val="both"/>
        <w:rPr>
          <w:color w:val="000000" w:themeColor="text1"/>
          <w:lang w:eastAsia="es-ES_tradnl"/>
        </w:rPr>
      </w:pPr>
      <w:r w:rsidRPr="00163BF5">
        <w:rPr>
          <w:color w:val="000000" w:themeColor="text1"/>
          <w:lang w:eastAsia="es-ES_tradnl"/>
        </w:rPr>
        <w:t xml:space="preserve"> </w:t>
      </w:r>
      <w:r w:rsidRPr="00163BF5">
        <w:rPr>
          <w:color w:val="000000" w:themeColor="text1"/>
          <w:lang w:eastAsia="es-ES_tradnl"/>
        </w:rPr>
        <w:tab/>
        <w:t>Es así como</w:t>
      </w:r>
      <w:r w:rsidR="00D80D5C" w:rsidRPr="00163BF5">
        <w:rPr>
          <w:color w:val="000000" w:themeColor="text1"/>
          <w:lang w:eastAsia="es-ES_tradnl"/>
        </w:rPr>
        <w:t>,</w:t>
      </w:r>
      <w:r w:rsidRPr="00163BF5">
        <w:rPr>
          <w:color w:val="000000" w:themeColor="text1"/>
          <w:lang w:eastAsia="es-ES_tradnl"/>
        </w:rPr>
        <w:t xml:space="preserve"> la Corte IDH señala que es obligación del Estado garantizar que las personas a cargo de las investigaciones cuenten con todos la recaudación y procesamiento de las pruebas, además de que estas autoridades deben tener total acceso a la información sobre los hechos que hayan sido denunciados. Algo a destacar señalado por la misma Corte IDH es que en casos de violaciones a los derechos humanos, las autoridades estatales no pueden alegar que se trata de una situación de secreto de Estado o confidencialidad </w:t>
      </w:r>
    </w:p>
    <w:p w14:paraId="0B99EBC0" w14:textId="613C7D0C" w:rsidR="00AE14F4" w:rsidRPr="00163BF5" w:rsidRDefault="00AE14F4" w:rsidP="00AE14F4">
      <w:pPr>
        <w:spacing w:line="480" w:lineRule="auto"/>
        <w:jc w:val="both"/>
        <w:rPr>
          <w:color w:val="000000" w:themeColor="text1"/>
          <w:lang w:eastAsia="es-ES_tradnl"/>
        </w:rPr>
      </w:pPr>
      <w:r w:rsidRPr="00163BF5">
        <w:rPr>
          <w:color w:val="000000" w:themeColor="text1"/>
          <w:lang w:eastAsia="es-ES_tradnl"/>
        </w:rPr>
        <w:tab/>
      </w:r>
      <w:r w:rsidR="00D72F68" w:rsidRPr="00163BF5">
        <w:rPr>
          <w:color w:val="000000" w:themeColor="text1"/>
          <w:lang w:eastAsia="es-ES_tradnl"/>
        </w:rPr>
        <w:t>A</w:t>
      </w:r>
      <w:r w:rsidRPr="00163BF5">
        <w:rPr>
          <w:color w:val="000000" w:themeColor="text1"/>
          <w:lang w:eastAsia="es-ES_tradnl"/>
        </w:rPr>
        <w:t>sí</w:t>
      </w:r>
      <w:r w:rsidR="00D72F68" w:rsidRPr="00163BF5">
        <w:rPr>
          <w:color w:val="000000" w:themeColor="text1"/>
          <w:lang w:eastAsia="es-ES_tradnl"/>
        </w:rPr>
        <w:t>,</w:t>
      </w:r>
      <w:r w:rsidRPr="00163BF5">
        <w:rPr>
          <w:color w:val="000000" w:themeColor="text1"/>
          <w:lang w:eastAsia="es-ES_tradnl"/>
        </w:rPr>
        <w:t xml:space="preserve"> las autoridades a cargo del caso deben recolectar todos los elementos probatorios necesarios de acuerdo a los hechos y circunstancias presentadas. </w:t>
      </w:r>
    </w:p>
    <w:p w14:paraId="2AF5E950" w14:textId="06B76A04"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En base a l</w:t>
      </w:r>
      <w:r w:rsidR="006A66B9" w:rsidRPr="00163BF5">
        <w:rPr>
          <w:color w:val="000000" w:themeColor="text1"/>
          <w:lang w:eastAsia="es-ES_tradnl"/>
        </w:rPr>
        <w:t>o señalado en los párrafos precedentes</w:t>
      </w:r>
      <w:r w:rsidRPr="00163BF5">
        <w:rPr>
          <w:color w:val="000000" w:themeColor="text1"/>
          <w:lang w:eastAsia="es-ES_tradnl"/>
        </w:rPr>
        <w:t xml:space="preserve">, la Corte IDH, en casos concretos ha señalado que existe una falta de debida diligencia en lo que versa a las investigaciones y a las pruebas en los siguientes casos: </w:t>
      </w:r>
    </w:p>
    <w:p w14:paraId="37045D42" w14:textId="155D2B21" w:rsidR="00AE14F4" w:rsidRPr="00163BF5" w:rsidRDefault="00AE14F4" w:rsidP="006B620B">
      <w:pPr>
        <w:numPr>
          <w:ilvl w:val="0"/>
          <w:numId w:val="8"/>
        </w:numPr>
        <w:spacing w:line="480" w:lineRule="auto"/>
        <w:contextualSpacing/>
        <w:jc w:val="both"/>
        <w:rPr>
          <w:color w:val="000000" w:themeColor="text1"/>
          <w:lang w:eastAsia="es-ES_tradnl"/>
        </w:rPr>
      </w:pPr>
      <w:r w:rsidRPr="00163BF5">
        <w:rPr>
          <w:color w:val="000000" w:themeColor="text1"/>
          <w:lang w:eastAsia="es-ES_tradnl"/>
        </w:rPr>
        <w:t>La omisión de solicitar información relevante a instituciones o autoridades que puedan aportar a la investigación, sin importar que esta sea escasa</w:t>
      </w:r>
      <w:r w:rsidR="00523543" w:rsidRPr="00163BF5">
        <w:rPr>
          <w:color w:val="000000" w:themeColor="text1"/>
          <w:lang w:eastAsia="es-ES_tradnl"/>
        </w:rPr>
        <w:t xml:space="preserve"> </w:t>
      </w:r>
      <w:r w:rsidRPr="00163BF5">
        <w:rPr>
          <w:color w:val="000000" w:themeColor="text1"/>
          <w:lang w:eastAsia="es-ES_tradnl"/>
        </w:rPr>
        <w:t>(Corte IDH, Caso de las Hermanas Serrano Cruz Vs. El Salvador)</w:t>
      </w:r>
      <w:r w:rsidR="00523543" w:rsidRPr="00163BF5">
        <w:rPr>
          <w:color w:val="000000" w:themeColor="text1"/>
          <w:lang w:eastAsia="es-ES_tradnl"/>
        </w:rPr>
        <w:t>.</w:t>
      </w:r>
    </w:p>
    <w:p w14:paraId="3D7A737C" w14:textId="34192D53" w:rsidR="00AE14F4" w:rsidRPr="00163BF5" w:rsidRDefault="00AE14F4" w:rsidP="006B620B">
      <w:pPr>
        <w:numPr>
          <w:ilvl w:val="0"/>
          <w:numId w:val="8"/>
        </w:numPr>
        <w:spacing w:line="480" w:lineRule="auto"/>
        <w:contextualSpacing/>
        <w:jc w:val="both"/>
        <w:rPr>
          <w:color w:val="000000" w:themeColor="text1"/>
          <w:lang w:eastAsia="es-ES_tradnl"/>
        </w:rPr>
      </w:pPr>
      <w:r w:rsidRPr="00163BF5">
        <w:rPr>
          <w:color w:val="000000" w:themeColor="text1"/>
          <w:lang w:eastAsia="es-ES_tradnl"/>
        </w:rPr>
        <w:t>La decisión del fiscal de no realizar versiones o entrevistas a ninguno de los familiares directos de las víctimas (Corte IDH, Caso de las Hermanas Serrano Cruz Vs. El Salvador)</w:t>
      </w:r>
      <w:r w:rsidR="00523543" w:rsidRPr="00163BF5">
        <w:rPr>
          <w:color w:val="000000" w:themeColor="text1"/>
          <w:lang w:eastAsia="es-ES_tradnl"/>
        </w:rPr>
        <w:t>.</w:t>
      </w:r>
    </w:p>
    <w:p w14:paraId="1DAD32F7" w14:textId="43896F37" w:rsidR="00AE14F4" w:rsidRPr="00163BF5" w:rsidRDefault="00AE14F4" w:rsidP="006B620B">
      <w:pPr>
        <w:numPr>
          <w:ilvl w:val="0"/>
          <w:numId w:val="8"/>
        </w:numPr>
        <w:spacing w:line="480" w:lineRule="auto"/>
        <w:contextualSpacing/>
        <w:jc w:val="both"/>
        <w:rPr>
          <w:color w:val="000000" w:themeColor="text1"/>
          <w:lang w:eastAsia="es-ES_tradnl"/>
        </w:rPr>
      </w:pPr>
      <w:r w:rsidRPr="00163BF5">
        <w:rPr>
          <w:color w:val="000000" w:themeColor="text1"/>
          <w:lang w:eastAsia="es-ES_tradnl"/>
        </w:rPr>
        <w:t>No realizar peritajes dentales en caso en que los testigos hayan descrito una seña particular (Corte IDH, Caso de los “Niños de la Calle” (Villagrán Morales y Otros) Vs. Guatemala, 1999)</w:t>
      </w:r>
      <w:r w:rsidR="00523543" w:rsidRPr="00163BF5">
        <w:rPr>
          <w:color w:val="000000" w:themeColor="text1"/>
          <w:lang w:eastAsia="es-ES_tradnl"/>
        </w:rPr>
        <w:t>.</w:t>
      </w:r>
    </w:p>
    <w:p w14:paraId="1888FC2F" w14:textId="0A7C6A99" w:rsidR="00AE14F4" w:rsidRPr="00163BF5" w:rsidRDefault="00AE14F4" w:rsidP="006B620B">
      <w:pPr>
        <w:numPr>
          <w:ilvl w:val="0"/>
          <w:numId w:val="8"/>
        </w:numPr>
        <w:spacing w:line="480" w:lineRule="auto"/>
        <w:contextualSpacing/>
        <w:jc w:val="both"/>
        <w:rPr>
          <w:color w:val="000000" w:themeColor="text1"/>
          <w:lang w:eastAsia="es-ES_tradnl"/>
        </w:rPr>
      </w:pPr>
      <w:r w:rsidRPr="00163BF5">
        <w:rPr>
          <w:color w:val="000000" w:themeColor="text1"/>
          <w:lang w:eastAsia="es-ES_tradnl"/>
        </w:rPr>
        <w:t>No se realizar la reconstrucción de los hechos (Corte IDH, Caso de los “Niños de la Calle” (Villagrán Morales y Otros) Vs. Guatemala, 1999)</w:t>
      </w:r>
      <w:r w:rsidR="00523543" w:rsidRPr="00163BF5">
        <w:rPr>
          <w:color w:val="000000" w:themeColor="text1"/>
          <w:lang w:eastAsia="es-ES_tradnl"/>
        </w:rPr>
        <w:t>.</w:t>
      </w:r>
    </w:p>
    <w:p w14:paraId="5A3F515E" w14:textId="62122C59" w:rsidR="00AE14F4" w:rsidRPr="00163BF5" w:rsidRDefault="00AE14F4" w:rsidP="006B620B">
      <w:pPr>
        <w:numPr>
          <w:ilvl w:val="0"/>
          <w:numId w:val="8"/>
        </w:numPr>
        <w:spacing w:line="480" w:lineRule="auto"/>
        <w:contextualSpacing/>
        <w:jc w:val="both"/>
        <w:rPr>
          <w:color w:val="000000" w:themeColor="text1"/>
          <w:lang w:eastAsia="es-ES_tradnl"/>
        </w:rPr>
      </w:pPr>
      <w:r w:rsidRPr="00163BF5">
        <w:rPr>
          <w:color w:val="000000" w:themeColor="text1"/>
          <w:lang w:eastAsia="es-ES_tradnl"/>
        </w:rPr>
        <w:t>No investigar si se ha realizado adulteración de los registros de entradas y salidas de los presuntos responsables (Corte IDH, Caso de los “Niños de la Calle” (Villagrán Morales y Otros) Vs. Guatemala, 1999)</w:t>
      </w:r>
      <w:r w:rsidR="00523543" w:rsidRPr="00163BF5">
        <w:rPr>
          <w:color w:val="000000" w:themeColor="text1"/>
          <w:lang w:eastAsia="es-ES_tradnl"/>
        </w:rPr>
        <w:t>.</w:t>
      </w:r>
    </w:p>
    <w:p w14:paraId="4A216920" w14:textId="6E3C3815" w:rsidR="00AE14F4" w:rsidRPr="00163BF5" w:rsidRDefault="00AE14F4" w:rsidP="006B620B">
      <w:pPr>
        <w:numPr>
          <w:ilvl w:val="0"/>
          <w:numId w:val="8"/>
        </w:numPr>
        <w:spacing w:line="480" w:lineRule="auto"/>
        <w:contextualSpacing/>
        <w:jc w:val="both"/>
        <w:rPr>
          <w:color w:val="000000" w:themeColor="text1"/>
          <w:lang w:eastAsia="es-ES_tradnl"/>
        </w:rPr>
      </w:pPr>
      <w:r w:rsidRPr="00163BF5">
        <w:rPr>
          <w:color w:val="000000" w:themeColor="text1"/>
          <w:lang w:eastAsia="es-ES_tradnl"/>
        </w:rPr>
        <w:t>No investigar el vehículo se movilizaron los responsables al momento que ocurrió la vulneración a los derechos humanos (Corte IDH, Caso de los “Niños de la Calle” (Villagrán Morales y Otros) Vs. Guatemala, 1999)</w:t>
      </w:r>
      <w:r w:rsidR="00523543" w:rsidRPr="00163BF5">
        <w:rPr>
          <w:color w:val="000000" w:themeColor="text1"/>
          <w:lang w:eastAsia="es-ES_tradnl"/>
        </w:rPr>
        <w:t>.</w:t>
      </w:r>
    </w:p>
    <w:p w14:paraId="7ECAD2A1" w14:textId="17407119" w:rsidR="00AE14F4" w:rsidRPr="00163BF5" w:rsidRDefault="00AE14F4" w:rsidP="006B620B">
      <w:pPr>
        <w:numPr>
          <w:ilvl w:val="0"/>
          <w:numId w:val="8"/>
        </w:numPr>
        <w:spacing w:line="480" w:lineRule="auto"/>
        <w:contextualSpacing/>
        <w:jc w:val="both"/>
        <w:rPr>
          <w:color w:val="000000" w:themeColor="text1"/>
          <w:lang w:eastAsia="es-ES_tradnl"/>
        </w:rPr>
      </w:pPr>
      <w:r w:rsidRPr="00163BF5">
        <w:rPr>
          <w:color w:val="000000" w:themeColor="text1"/>
          <w:lang w:eastAsia="es-ES_tradnl"/>
        </w:rPr>
        <w:t>No realizar una investigación a los elementos probatorios que dirijan a la vinculación de miembros de la fuerza pública (Corte IDH, Caso de la Masacre de la Rochela Vs. Colombia, 2007)</w:t>
      </w:r>
      <w:r w:rsidR="00523543" w:rsidRPr="00163BF5">
        <w:rPr>
          <w:color w:val="000000" w:themeColor="text1"/>
          <w:lang w:eastAsia="es-ES_tradnl"/>
        </w:rPr>
        <w:t>.</w:t>
      </w:r>
    </w:p>
    <w:p w14:paraId="45FF5ACE" w14:textId="1E3F7C1D" w:rsidR="00AE14F4" w:rsidRPr="00163BF5" w:rsidRDefault="00AE14F4" w:rsidP="006B620B">
      <w:pPr>
        <w:numPr>
          <w:ilvl w:val="0"/>
          <w:numId w:val="8"/>
        </w:numPr>
        <w:spacing w:line="480" w:lineRule="auto"/>
        <w:contextualSpacing/>
        <w:jc w:val="both"/>
        <w:rPr>
          <w:color w:val="000000" w:themeColor="text1"/>
          <w:lang w:eastAsia="es-ES_tradnl"/>
        </w:rPr>
      </w:pPr>
      <w:r w:rsidRPr="00163BF5">
        <w:rPr>
          <w:color w:val="000000" w:themeColor="text1"/>
          <w:lang w:eastAsia="es-ES_tradnl"/>
        </w:rPr>
        <w:t>No realizar la investigación desde una línea en la cual el delito puede ser más complejo de lo inicialmente fue valorado (Corte IDH, Caso de la Masacre de la Rochela Vs. Colombia, 2007)</w:t>
      </w:r>
      <w:r w:rsidR="00523543" w:rsidRPr="00163BF5">
        <w:rPr>
          <w:color w:val="000000" w:themeColor="text1"/>
          <w:lang w:eastAsia="es-ES_tradnl"/>
        </w:rPr>
        <w:t>.</w:t>
      </w:r>
    </w:p>
    <w:p w14:paraId="704B7576" w14:textId="4DA8A6B2" w:rsidR="00AE14F4" w:rsidRPr="00163BF5" w:rsidRDefault="00AE14F4" w:rsidP="006B620B">
      <w:pPr>
        <w:numPr>
          <w:ilvl w:val="0"/>
          <w:numId w:val="8"/>
        </w:numPr>
        <w:spacing w:line="480" w:lineRule="auto"/>
        <w:contextualSpacing/>
        <w:jc w:val="both"/>
        <w:rPr>
          <w:color w:val="000000" w:themeColor="text1"/>
          <w:lang w:eastAsia="es-ES_tradnl"/>
        </w:rPr>
      </w:pPr>
      <w:r w:rsidRPr="00163BF5">
        <w:rPr>
          <w:color w:val="000000" w:themeColor="text1"/>
          <w:lang w:eastAsia="es-ES_tradnl"/>
        </w:rPr>
        <w:t>No realizar las diligencias necesarias para localizar a unos de los presuntos responsables, sin importar que este último sea un agente estatal (Corte IDH, Caso Servellón García y otros Vs. Honduras, 2006)</w:t>
      </w:r>
      <w:r w:rsidR="00872F05" w:rsidRPr="00163BF5">
        <w:rPr>
          <w:color w:val="000000" w:themeColor="text1"/>
          <w:lang w:eastAsia="es-ES_tradnl"/>
        </w:rPr>
        <w:t>.</w:t>
      </w:r>
    </w:p>
    <w:p w14:paraId="19E62DE6" w14:textId="1612C28E" w:rsidR="00AE14F4" w:rsidRPr="00163BF5" w:rsidRDefault="00AE14F4" w:rsidP="006B620B">
      <w:pPr>
        <w:numPr>
          <w:ilvl w:val="0"/>
          <w:numId w:val="8"/>
        </w:numPr>
        <w:spacing w:line="480" w:lineRule="auto"/>
        <w:contextualSpacing/>
        <w:rPr>
          <w:color w:val="000000" w:themeColor="text1"/>
          <w:lang w:eastAsia="es-ES_tradnl"/>
        </w:rPr>
      </w:pPr>
      <w:r w:rsidRPr="00163BF5">
        <w:rPr>
          <w:color w:val="000000" w:themeColor="text1"/>
          <w:lang w:eastAsia="es-ES_tradnl"/>
        </w:rPr>
        <w:t>No realizar las diligencias para identificar los cadáveres (Corte IDH, Caso de la Masacre del Pueblo Bello, 2006)</w:t>
      </w:r>
      <w:r w:rsidR="00872F05" w:rsidRPr="00163BF5">
        <w:rPr>
          <w:color w:val="000000" w:themeColor="text1"/>
          <w:lang w:eastAsia="es-ES_tradnl"/>
        </w:rPr>
        <w:t>.</w:t>
      </w:r>
    </w:p>
    <w:p w14:paraId="2E7B981D" w14:textId="68BE8DC9" w:rsidR="00AE14F4" w:rsidRPr="00163BF5" w:rsidRDefault="00AE14F4" w:rsidP="006B620B">
      <w:pPr>
        <w:numPr>
          <w:ilvl w:val="0"/>
          <w:numId w:val="8"/>
        </w:numPr>
        <w:spacing w:line="480" w:lineRule="auto"/>
        <w:contextualSpacing/>
        <w:jc w:val="both"/>
        <w:rPr>
          <w:color w:val="000000" w:themeColor="text1"/>
          <w:lang w:eastAsia="es-ES_tradnl"/>
        </w:rPr>
      </w:pPr>
      <w:r w:rsidRPr="00163BF5">
        <w:rPr>
          <w:color w:val="000000" w:themeColor="text1"/>
          <w:lang w:eastAsia="es-ES_tradnl"/>
        </w:rPr>
        <w:t>No realizar investigaciones sobre presuntas amenazas sobre las víctimas y sus familiares (Corte IDH, Caso de los “Niños de la Calle” (Villagrán Morales y Otros) Vs. Guatemala, 1999)</w:t>
      </w:r>
      <w:r w:rsidR="00872F05" w:rsidRPr="00163BF5">
        <w:rPr>
          <w:color w:val="000000" w:themeColor="text1"/>
          <w:lang w:eastAsia="es-ES_tradnl"/>
        </w:rPr>
        <w:t>.</w:t>
      </w:r>
    </w:p>
    <w:p w14:paraId="568755EB" w14:textId="5FEDBD01" w:rsidR="00AE14F4" w:rsidRPr="00163BF5" w:rsidRDefault="00AE14F4" w:rsidP="00AE14F4">
      <w:pPr>
        <w:spacing w:line="480" w:lineRule="auto"/>
        <w:jc w:val="both"/>
        <w:rPr>
          <w:color w:val="000000" w:themeColor="text1"/>
          <w:lang w:eastAsia="es-ES_tradnl"/>
        </w:rPr>
      </w:pPr>
      <w:r w:rsidRPr="00163BF5">
        <w:rPr>
          <w:color w:val="000000" w:themeColor="text1"/>
          <w:lang w:eastAsia="es-ES_tradnl"/>
        </w:rPr>
        <w:tab/>
        <w:t xml:space="preserve">Por parte de la Corte Europea, está a lo largo de su jurisprudencia considera que las investigaciones han sido llevadas de manera negligente en los siguientes casos: </w:t>
      </w:r>
    </w:p>
    <w:p w14:paraId="20F7F9DB" w14:textId="7D7FC65A" w:rsidR="00AE14F4" w:rsidRPr="00163BF5" w:rsidRDefault="00AE14F4" w:rsidP="006B620B">
      <w:pPr>
        <w:numPr>
          <w:ilvl w:val="0"/>
          <w:numId w:val="9"/>
        </w:numPr>
        <w:spacing w:line="480" w:lineRule="auto"/>
        <w:contextualSpacing/>
        <w:jc w:val="both"/>
        <w:rPr>
          <w:color w:val="000000" w:themeColor="text1"/>
          <w:lang w:eastAsia="es-ES_tradnl"/>
        </w:rPr>
      </w:pPr>
      <w:r w:rsidRPr="00163BF5">
        <w:rPr>
          <w:color w:val="000000" w:themeColor="text1"/>
          <w:lang w:eastAsia="es-ES_tradnl"/>
        </w:rPr>
        <w:t>No solicitar información sobre las actuaciones de la fuerza pública o presumir que estos no son responsables (C</w:t>
      </w:r>
      <w:r w:rsidR="002258A5" w:rsidRPr="00163BF5">
        <w:rPr>
          <w:color w:val="000000" w:themeColor="text1"/>
          <w:lang w:eastAsia="es-ES_tradnl"/>
        </w:rPr>
        <w:t xml:space="preserve">orte </w:t>
      </w:r>
      <w:r w:rsidRPr="00163BF5">
        <w:rPr>
          <w:color w:val="000000" w:themeColor="text1"/>
          <w:lang w:eastAsia="es-ES_tradnl"/>
        </w:rPr>
        <w:t>E</w:t>
      </w:r>
      <w:r w:rsidR="002258A5" w:rsidRPr="00163BF5">
        <w:rPr>
          <w:color w:val="000000" w:themeColor="text1"/>
          <w:lang w:eastAsia="es-ES_tradnl"/>
        </w:rPr>
        <w:t>uropea</w:t>
      </w:r>
      <w:r w:rsidRPr="00163BF5">
        <w:rPr>
          <w:color w:val="000000" w:themeColor="text1"/>
          <w:lang w:eastAsia="es-ES_tradnl"/>
        </w:rPr>
        <w:t xml:space="preserve">, </w:t>
      </w:r>
      <w:proofErr w:type="spellStart"/>
      <w:r w:rsidRPr="00163BF5">
        <w:rPr>
          <w:color w:val="000000" w:themeColor="text1"/>
          <w:lang w:eastAsia="es-ES_tradnl"/>
        </w:rPr>
        <w:t>Cicek</w:t>
      </w:r>
      <w:proofErr w:type="spellEnd"/>
      <w:r w:rsidRPr="00163BF5">
        <w:rPr>
          <w:color w:val="000000" w:themeColor="text1"/>
          <w:lang w:eastAsia="es-ES_tradnl"/>
        </w:rPr>
        <w:t xml:space="preserve"> Vs Turquía)</w:t>
      </w:r>
      <w:r w:rsidR="00872F05" w:rsidRPr="00163BF5">
        <w:rPr>
          <w:color w:val="000000" w:themeColor="text1"/>
          <w:lang w:eastAsia="es-ES_tradnl"/>
        </w:rPr>
        <w:t>.</w:t>
      </w:r>
    </w:p>
    <w:p w14:paraId="64390619" w14:textId="7A43D079" w:rsidR="00AE14F4" w:rsidRPr="00163BF5" w:rsidRDefault="00AE14F4" w:rsidP="006B620B">
      <w:pPr>
        <w:numPr>
          <w:ilvl w:val="0"/>
          <w:numId w:val="9"/>
        </w:numPr>
        <w:spacing w:line="480" w:lineRule="auto"/>
        <w:contextualSpacing/>
        <w:jc w:val="both"/>
        <w:rPr>
          <w:color w:val="000000" w:themeColor="text1"/>
          <w:lang w:eastAsia="es-ES_tradnl"/>
        </w:rPr>
      </w:pPr>
      <w:r w:rsidRPr="00163BF5">
        <w:rPr>
          <w:color w:val="000000" w:themeColor="text1"/>
          <w:lang w:eastAsia="es-ES_tradnl"/>
        </w:rPr>
        <w:t>La omisión de no obtener fotografías de una persona desaparecida (C</w:t>
      </w:r>
      <w:r w:rsidR="002258A5" w:rsidRPr="00163BF5">
        <w:rPr>
          <w:color w:val="000000" w:themeColor="text1"/>
          <w:lang w:eastAsia="es-ES_tradnl"/>
        </w:rPr>
        <w:t xml:space="preserve">orte </w:t>
      </w:r>
      <w:r w:rsidRPr="00163BF5">
        <w:rPr>
          <w:color w:val="000000" w:themeColor="text1"/>
          <w:lang w:eastAsia="es-ES_tradnl"/>
        </w:rPr>
        <w:t>E</w:t>
      </w:r>
      <w:r w:rsidR="002258A5" w:rsidRPr="00163BF5">
        <w:rPr>
          <w:color w:val="000000" w:themeColor="text1"/>
          <w:lang w:eastAsia="es-ES_tradnl"/>
        </w:rPr>
        <w:t>uropea</w:t>
      </w:r>
      <w:r w:rsidRPr="00163BF5">
        <w:rPr>
          <w:color w:val="000000" w:themeColor="text1"/>
          <w:lang w:eastAsia="es-ES_tradnl"/>
        </w:rPr>
        <w:t xml:space="preserve">, </w:t>
      </w:r>
      <w:proofErr w:type="spellStart"/>
      <w:r w:rsidRPr="00163BF5">
        <w:rPr>
          <w:color w:val="000000" w:themeColor="text1"/>
          <w:lang w:eastAsia="es-ES_tradnl"/>
        </w:rPr>
        <w:t>Orhan</w:t>
      </w:r>
      <w:proofErr w:type="spellEnd"/>
      <w:r w:rsidRPr="00163BF5">
        <w:rPr>
          <w:color w:val="000000" w:themeColor="text1"/>
          <w:lang w:eastAsia="es-ES_tradnl"/>
        </w:rPr>
        <w:t xml:space="preserve"> vs Turquía)</w:t>
      </w:r>
      <w:r w:rsidR="00872F05" w:rsidRPr="00163BF5">
        <w:rPr>
          <w:color w:val="000000" w:themeColor="text1"/>
          <w:lang w:eastAsia="es-ES_tradnl"/>
        </w:rPr>
        <w:t>.</w:t>
      </w:r>
    </w:p>
    <w:p w14:paraId="7AABC81E" w14:textId="16A19DB5" w:rsidR="00AE14F4" w:rsidRPr="00163BF5" w:rsidRDefault="00AE14F4" w:rsidP="006B620B">
      <w:pPr>
        <w:numPr>
          <w:ilvl w:val="0"/>
          <w:numId w:val="9"/>
        </w:numPr>
        <w:spacing w:line="480" w:lineRule="auto"/>
        <w:contextualSpacing/>
        <w:jc w:val="both"/>
        <w:rPr>
          <w:color w:val="000000" w:themeColor="text1"/>
          <w:lang w:eastAsia="es-ES_tradnl"/>
        </w:rPr>
      </w:pPr>
      <w:r w:rsidRPr="00163BF5">
        <w:rPr>
          <w:color w:val="000000" w:themeColor="text1"/>
          <w:lang w:eastAsia="es-ES_tradnl"/>
        </w:rPr>
        <w:t>No dar relevancia o ignorar información relevante otorgada por parte de los investigadores (C</w:t>
      </w:r>
      <w:r w:rsidR="002258A5" w:rsidRPr="00163BF5">
        <w:rPr>
          <w:color w:val="000000" w:themeColor="text1"/>
          <w:lang w:eastAsia="es-ES_tradnl"/>
        </w:rPr>
        <w:t xml:space="preserve">orte </w:t>
      </w:r>
      <w:r w:rsidRPr="00163BF5">
        <w:rPr>
          <w:color w:val="000000" w:themeColor="text1"/>
          <w:lang w:eastAsia="es-ES_tradnl"/>
        </w:rPr>
        <w:t>E</w:t>
      </w:r>
      <w:r w:rsidR="002258A5" w:rsidRPr="00163BF5">
        <w:rPr>
          <w:color w:val="000000" w:themeColor="text1"/>
          <w:lang w:eastAsia="es-ES_tradnl"/>
        </w:rPr>
        <w:t>uropea</w:t>
      </w:r>
      <w:r w:rsidRPr="00163BF5">
        <w:rPr>
          <w:color w:val="000000" w:themeColor="text1"/>
          <w:lang w:eastAsia="es-ES_tradnl"/>
        </w:rPr>
        <w:t xml:space="preserve">, </w:t>
      </w:r>
      <w:proofErr w:type="spellStart"/>
      <w:r w:rsidRPr="00163BF5">
        <w:rPr>
          <w:color w:val="000000" w:themeColor="text1"/>
          <w:lang w:eastAsia="es-ES_tradnl"/>
        </w:rPr>
        <w:t>Orhan</w:t>
      </w:r>
      <w:proofErr w:type="spellEnd"/>
      <w:r w:rsidRPr="00163BF5">
        <w:rPr>
          <w:color w:val="000000" w:themeColor="text1"/>
          <w:lang w:eastAsia="es-ES_tradnl"/>
        </w:rPr>
        <w:t xml:space="preserve"> vs Turquía)</w:t>
      </w:r>
      <w:r w:rsidR="00872F05" w:rsidRPr="00163BF5">
        <w:rPr>
          <w:color w:val="000000" w:themeColor="text1"/>
          <w:lang w:eastAsia="es-ES_tradnl"/>
        </w:rPr>
        <w:t>.</w:t>
      </w:r>
    </w:p>
    <w:p w14:paraId="79D6C643" w14:textId="68F6563D" w:rsidR="002258A5" w:rsidRPr="00163BF5" w:rsidRDefault="00AE14F4" w:rsidP="002258A5">
      <w:pPr>
        <w:pStyle w:val="Prrafodelista"/>
        <w:numPr>
          <w:ilvl w:val="0"/>
          <w:numId w:val="9"/>
        </w:numPr>
        <w:rPr>
          <w:rFonts w:ascii="Times New Roman" w:hAnsi="Times New Roman" w:cs="Times New Roman"/>
          <w:color w:val="000000" w:themeColor="text1"/>
          <w:sz w:val="24"/>
          <w:szCs w:val="24"/>
        </w:rPr>
      </w:pPr>
      <w:r w:rsidRPr="00163BF5">
        <w:rPr>
          <w:rFonts w:ascii="Times New Roman" w:hAnsi="Times New Roman" w:cs="Times New Roman"/>
          <w:color w:val="000000" w:themeColor="text1"/>
          <w:sz w:val="24"/>
          <w:szCs w:val="24"/>
        </w:rPr>
        <w:t>No establecer el vínculo entre la víctima detenida y su muerte, en casos de ejecuciones extrajudiciales</w:t>
      </w:r>
      <w:r w:rsidR="00872F05" w:rsidRPr="00163BF5">
        <w:rPr>
          <w:rFonts w:ascii="Times New Roman" w:hAnsi="Times New Roman" w:cs="Times New Roman"/>
          <w:color w:val="000000" w:themeColor="text1"/>
          <w:sz w:val="24"/>
          <w:szCs w:val="24"/>
        </w:rPr>
        <w:t xml:space="preserve"> </w:t>
      </w:r>
      <w:r w:rsidRPr="00163BF5">
        <w:rPr>
          <w:rFonts w:ascii="Times New Roman" w:hAnsi="Times New Roman" w:cs="Times New Roman"/>
          <w:color w:val="000000" w:themeColor="text1"/>
          <w:sz w:val="24"/>
          <w:szCs w:val="24"/>
        </w:rPr>
        <w:t>(C</w:t>
      </w:r>
      <w:r w:rsidR="002258A5" w:rsidRPr="00163BF5">
        <w:rPr>
          <w:rFonts w:ascii="Times New Roman" w:hAnsi="Times New Roman" w:cs="Times New Roman"/>
          <w:color w:val="000000" w:themeColor="text1"/>
          <w:sz w:val="24"/>
          <w:szCs w:val="24"/>
        </w:rPr>
        <w:t xml:space="preserve">orte </w:t>
      </w:r>
      <w:r w:rsidRPr="00163BF5">
        <w:rPr>
          <w:rFonts w:ascii="Times New Roman" w:hAnsi="Times New Roman" w:cs="Times New Roman"/>
          <w:color w:val="000000" w:themeColor="text1"/>
          <w:sz w:val="24"/>
          <w:szCs w:val="24"/>
        </w:rPr>
        <w:t>E</w:t>
      </w:r>
      <w:r w:rsidR="002258A5" w:rsidRPr="00163BF5">
        <w:rPr>
          <w:rFonts w:ascii="Times New Roman" w:hAnsi="Times New Roman" w:cs="Times New Roman"/>
          <w:color w:val="000000" w:themeColor="text1"/>
          <w:sz w:val="24"/>
          <w:szCs w:val="24"/>
        </w:rPr>
        <w:t>uropea</w:t>
      </w:r>
      <w:r w:rsidRPr="00163BF5">
        <w:rPr>
          <w:rFonts w:ascii="Times New Roman" w:hAnsi="Times New Roman" w:cs="Times New Roman"/>
          <w:color w:val="000000" w:themeColor="text1"/>
          <w:sz w:val="24"/>
          <w:szCs w:val="24"/>
        </w:rPr>
        <w:t xml:space="preserve">, </w:t>
      </w:r>
      <w:proofErr w:type="spellStart"/>
      <w:r w:rsidRPr="00163BF5">
        <w:rPr>
          <w:rFonts w:ascii="Times New Roman" w:hAnsi="Times New Roman" w:cs="Times New Roman"/>
          <w:color w:val="000000" w:themeColor="text1"/>
          <w:sz w:val="24"/>
          <w:szCs w:val="24"/>
        </w:rPr>
        <w:t>Ahmet</w:t>
      </w:r>
      <w:proofErr w:type="spellEnd"/>
      <w:r w:rsidRPr="00163BF5">
        <w:rPr>
          <w:rFonts w:ascii="Times New Roman" w:hAnsi="Times New Roman" w:cs="Times New Roman"/>
          <w:color w:val="000000" w:themeColor="text1"/>
          <w:sz w:val="24"/>
          <w:szCs w:val="24"/>
        </w:rPr>
        <w:t xml:space="preserve"> </w:t>
      </w:r>
      <w:proofErr w:type="spellStart"/>
      <w:r w:rsidR="002258A5" w:rsidRPr="00163BF5">
        <w:rPr>
          <w:rFonts w:ascii="Times New Roman" w:hAnsi="Times New Roman" w:cs="Times New Roman"/>
          <w:color w:val="000000" w:themeColor="text1"/>
          <w:sz w:val="24"/>
          <w:szCs w:val="24"/>
        </w:rPr>
        <w:t>Özkan</w:t>
      </w:r>
      <w:proofErr w:type="spellEnd"/>
      <w:r w:rsidR="002258A5" w:rsidRPr="00163BF5">
        <w:rPr>
          <w:rFonts w:ascii="Times New Roman" w:hAnsi="Times New Roman" w:cs="Times New Roman"/>
          <w:color w:val="000000" w:themeColor="text1"/>
          <w:sz w:val="24"/>
          <w:szCs w:val="24"/>
        </w:rPr>
        <w:t xml:space="preserve"> </w:t>
      </w:r>
      <w:r w:rsidRPr="00163BF5">
        <w:rPr>
          <w:rFonts w:ascii="Times New Roman" w:hAnsi="Times New Roman" w:cs="Times New Roman"/>
          <w:color w:val="000000" w:themeColor="text1"/>
          <w:sz w:val="24"/>
          <w:szCs w:val="24"/>
        </w:rPr>
        <w:t>y otros Vs. Turquía)</w:t>
      </w:r>
      <w:r w:rsidR="00872F05" w:rsidRPr="00163BF5">
        <w:rPr>
          <w:rFonts w:ascii="Times New Roman" w:hAnsi="Times New Roman" w:cs="Times New Roman"/>
          <w:color w:val="000000" w:themeColor="text1"/>
          <w:sz w:val="24"/>
          <w:szCs w:val="24"/>
        </w:rPr>
        <w:t>.</w:t>
      </w:r>
    </w:p>
    <w:p w14:paraId="630A9692" w14:textId="1B0A9DBA" w:rsidR="00AE14F4" w:rsidRPr="00163BF5" w:rsidRDefault="00AE14F4" w:rsidP="00872F05">
      <w:pPr>
        <w:spacing w:line="480" w:lineRule="auto"/>
        <w:ind w:firstLine="708"/>
        <w:jc w:val="both"/>
        <w:rPr>
          <w:color w:val="000000" w:themeColor="text1"/>
          <w:lang w:eastAsia="es-ES_tradnl"/>
        </w:rPr>
      </w:pPr>
      <w:r w:rsidRPr="00163BF5">
        <w:rPr>
          <w:color w:val="000000" w:themeColor="text1"/>
          <w:lang w:eastAsia="es-ES_tradnl"/>
        </w:rPr>
        <w:t>Si bien</w:t>
      </w:r>
      <w:r w:rsidR="00D72F68" w:rsidRPr="00163BF5">
        <w:rPr>
          <w:color w:val="000000" w:themeColor="text1"/>
          <w:lang w:eastAsia="es-ES_tradnl"/>
        </w:rPr>
        <w:t>,</w:t>
      </w:r>
      <w:r w:rsidRPr="00163BF5">
        <w:rPr>
          <w:color w:val="000000" w:themeColor="text1"/>
          <w:lang w:eastAsia="es-ES_tradnl"/>
        </w:rPr>
        <w:t xml:space="preserve"> cada una de las situaciones anteriormente señaladas responden a un caso concreto, la falta de una de estas diligencias en la obtención de pruebas para el caso puede ocasionar una falta a la debida diligencia en el proceso.</w:t>
      </w:r>
    </w:p>
    <w:p w14:paraId="283F4132" w14:textId="77777777" w:rsidR="00AE14F4" w:rsidRPr="00163BF5" w:rsidRDefault="00AE14F4" w:rsidP="00872F05">
      <w:pPr>
        <w:spacing w:line="480" w:lineRule="auto"/>
        <w:ind w:firstLine="708"/>
        <w:jc w:val="both"/>
        <w:rPr>
          <w:color w:val="000000" w:themeColor="text1"/>
          <w:lang w:eastAsia="es-ES_tradnl"/>
        </w:rPr>
      </w:pPr>
      <w:r w:rsidRPr="00163BF5">
        <w:rPr>
          <w:color w:val="000000" w:themeColor="text1"/>
          <w:lang w:eastAsia="es-ES_tradnl"/>
        </w:rPr>
        <w:t xml:space="preserve">Es importante de igual manera destacar que la existencia de una investigación no llevada a cabo con los estándares de debida diligencia dificulta la obtención de pruebas. </w:t>
      </w:r>
    </w:p>
    <w:p w14:paraId="1DB4F30F" w14:textId="1BC86715" w:rsidR="00AE14F4" w:rsidRPr="00163BF5" w:rsidRDefault="00AE14F4" w:rsidP="009F304A">
      <w:pPr>
        <w:pStyle w:val="Ttulo4"/>
        <w:numPr>
          <w:ilvl w:val="2"/>
          <w:numId w:val="32"/>
        </w:numPr>
        <w:rPr>
          <w:rFonts w:ascii="Times New Roman" w:hAnsi="Times New Roman" w:cs="Times New Roman"/>
          <w:color w:val="000000" w:themeColor="text1"/>
        </w:rPr>
      </w:pPr>
      <w:bookmarkStart w:id="52" w:name="_Toc67513401"/>
      <w:r w:rsidRPr="00163BF5">
        <w:rPr>
          <w:rFonts w:ascii="Times New Roman" w:hAnsi="Times New Roman" w:cs="Times New Roman"/>
          <w:color w:val="000000" w:themeColor="text1"/>
        </w:rPr>
        <w:t>La investigación debe contar con el apoyo de expertos/ peritos especializados para dar con veracidad de los hechos.</w:t>
      </w:r>
      <w:bookmarkEnd w:id="52"/>
      <w:r w:rsidRPr="00163BF5">
        <w:rPr>
          <w:rFonts w:ascii="Times New Roman" w:hAnsi="Times New Roman" w:cs="Times New Roman"/>
          <w:color w:val="000000" w:themeColor="text1"/>
        </w:rPr>
        <w:t xml:space="preserve"> </w:t>
      </w:r>
    </w:p>
    <w:p w14:paraId="41DD3C66" w14:textId="7777777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La Corte IDH en lo relativo al apoyo de personal especialista en la investigación de delitos ha señalado que: </w:t>
      </w:r>
    </w:p>
    <w:p w14:paraId="5A423C83" w14:textId="6FF0B92B" w:rsidR="00D72F68"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 Este Tribunal estima que los Estados, en atención a sus obligaciones de investigar los delitos, deben asignar a una autoridad competente para que realice las investigaciones forenses, entre las que se incluye la autopsia, en observancia de las normativas interna e internacional. […</w:t>
      </w:r>
      <w:r w:rsidR="00872F05" w:rsidRPr="00163BF5">
        <w:rPr>
          <w:color w:val="000000" w:themeColor="text1"/>
          <w:sz w:val="22"/>
          <w:szCs w:val="22"/>
          <w:lang w:eastAsia="es-ES_tradnl"/>
        </w:rPr>
        <w:t>].</w:t>
      </w:r>
      <w:r w:rsidRPr="00163BF5">
        <w:rPr>
          <w:color w:val="000000" w:themeColor="text1"/>
          <w:sz w:val="22"/>
          <w:szCs w:val="22"/>
          <w:lang w:eastAsia="es-ES_tradnl"/>
        </w:rPr>
        <w:t xml:space="preserve"> (Corte IDH, Caso </w:t>
      </w:r>
      <w:proofErr w:type="spellStart"/>
      <w:r w:rsidRPr="00163BF5">
        <w:rPr>
          <w:color w:val="000000" w:themeColor="text1"/>
          <w:sz w:val="22"/>
          <w:szCs w:val="22"/>
          <w:lang w:eastAsia="es-ES_tradnl"/>
        </w:rPr>
        <w:t>Ximenes</w:t>
      </w:r>
      <w:proofErr w:type="spellEnd"/>
      <w:r w:rsidRPr="00163BF5">
        <w:rPr>
          <w:color w:val="000000" w:themeColor="text1"/>
          <w:sz w:val="22"/>
          <w:szCs w:val="22"/>
          <w:lang w:eastAsia="es-ES_tradnl"/>
        </w:rPr>
        <w:t xml:space="preserve"> </w:t>
      </w:r>
      <w:proofErr w:type="spellStart"/>
      <w:r w:rsidRPr="00163BF5">
        <w:rPr>
          <w:color w:val="000000" w:themeColor="text1"/>
          <w:sz w:val="22"/>
          <w:szCs w:val="22"/>
          <w:lang w:eastAsia="es-ES_tradnl"/>
        </w:rPr>
        <w:t>Lopes</w:t>
      </w:r>
      <w:proofErr w:type="spellEnd"/>
      <w:r w:rsidRPr="00163BF5">
        <w:rPr>
          <w:color w:val="000000" w:themeColor="text1"/>
          <w:sz w:val="22"/>
          <w:szCs w:val="22"/>
          <w:lang w:eastAsia="es-ES_tradnl"/>
        </w:rPr>
        <w:t xml:space="preserve"> Vs. Brasil, 2006, párr. 187)</w:t>
      </w:r>
    </w:p>
    <w:p w14:paraId="5F62E680" w14:textId="060DCB70"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 xml:space="preserve"> </w:t>
      </w:r>
    </w:p>
    <w:p w14:paraId="7031A758" w14:textId="7777777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En base a lo citado, la Corte IDH menciona que, en caso de delitos, el Estado debe designar a las autoridades competentes las investigaciones forenses, estas deben estar bajo la normativa interna y externa. Si no se llegase a realizar una investigación del resto en base a lo señalado por parte de las practicas forenses estipuladas en normativa nacional o internacional se estaría vulnerando el principio de debida diligencia y dificultaría la prosecución de la causa. </w:t>
      </w:r>
    </w:p>
    <w:p w14:paraId="3BEDDBEC" w14:textId="41626312"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En cuanto a las ejecuciones extrajudiciales, el Protocolo de Minnesota señala que en estos casos se debe contar con el apto de personal especializado como lo son: abogados, médicos o especialistas en ciencias forenses (Protocolo de Minnesota, 20</w:t>
      </w:r>
      <w:r w:rsidR="0002203C" w:rsidRPr="00163BF5">
        <w:rPr>
          <w:color w:val="000000" w:themeColor="text1"/>
          <w:lang w:eastAsia="es-ES_tradnl"/>
        </w:rPr>
        <w:t>0</w:t>
      </w:r>
      <w:r w:rsidRPr="00163BF5">
        <w:rPr>
          <w:color w:val="000000" w:themeColor="text1"/>
          <w:lang w:eastAsia="es-ES_tradnl"/>
        </w:rPr>
        <w:t>6)</w:t>
      </w:r>
      <w:r w:rsidR="00872F05" w:rsidRPr="00163BF5">
        <w:rPr>
          <w:color w:val="000000" w:themeColor="text1"/>
          <w:lang w:eastAsia="es-ES_tradnl"/>
        </w:rPr>
        <w:t xml:space="preserve">. </w:t>
      </w:r>
    </w:p>
    <w:p w14:paraId="2F1AB770" w14:textId="540AD3B2"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Por parte del Protocolo de Estambul, se señala que “tendrá autoridad para encomendar investigaciones a expertos imparciales, médicos o de otro tipo, y podrán acceder a sus resultados” (Protocolo de Estambul, 1999)</w:t>
      </w:r>
      <w:r w:rsidR="00872F05" w:rsidRPr="00163BF5">
        <w:rPr>
          <w:color w:val="000000" w:themeColor="text1"/>
          <w:lang w:eastAsia="es-ES_tradnl"/>
        </w:rPr>
        <w:t>.</w:t>
      </w:r>
    </w:p>
    <w:p w14:paraId="2EFC2133" w14:textId="3E684388"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De igual manera el Protocolo Modelo para la Investigación Forense de Muertes Sospechosas de Haberse Producido por Violación de los Derechos Humanos establece que para que una investigación sea efectiva, las autoridades deben apoyar la investigación en especialistas forenses (Protocolo Modelo para la Investigación Forense de Muertes Sospechosas de Haberse Producido por Violación de los Derechos Humanos, 2001)</w:t>
      </w:r>
      <w:r w:rsidR="00D72F68" w:rsidRPr="00163BF5">
        <w:rPr>
          <w:color w:val="000000" w:themeColor="text1"/>
          <w:lang w:eastAsia="es-ES_tradnl"/>
        </w:rPr>
        <w:t>.</w:t>
      </w:r>
      <w:r w:rsidRPr="00163BF5">
        <w:rPr>
          <w:color w:val="000000" w:themeColor="text1"/>
          <w:lang w:eastAsia="es-ES_tradnl"/>
        </w:rPr>
        <w:t xml:space="preserve"> </w:t>
      </w:r>
    </w:p>
    <w:p w14:paraId="040BA12D" w14:textId="50CC74E2"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Es así como</w:t>
      </w:r>
      <w:r w:rsidR="00D72F68" w:rsidRPr="00163BF5">
        <w:rPr>
          <w:color w:val="000000" w:themeColor="text1"/>
          <w:lang w:eastAsia="es-ES_tradnl"/>
        </w:rPr>
        <w:t>,</w:t>
      </w:r>
      <w:r w:rsidRPr="00163BF5">
        <w:rPr>
          <w:color w:val="000000" w:themeColor="text1"/>
          <w:lang w:eastAsia="es-ES_tradnl"/>
        </w:rPr>
        <w:t xml:space="preserve"> desde distintos instrumentos internacional hasta la misma Corte Interamericana de Derechos Humanos establecen que en la investigación, el apoyo de peritos o personal especialista en distintas materias es esencial.</w:t>
      </w:r>
    </w:p>
    <w:p w14:paraId="4D32F3FE" w14:textId="33F6C62B" w:rsidR="00AE14F4" w:rsidRPr="00163BF5" w:rsidRDefault="00AE14F4" w:rsidP="009F304A">
      <w:pPr>
        <w:pStyle w:val="Ttulo4"/>
        <w:numPr>
          <w:ilvl w:val="2"/>
          <w:numId w:val="32"/>
        </w:numPr>
        <w:rPr>
          <w:rFonts w:ascii="Times New Roman" w:hAnsi="Times New Roman" w:cs="Times New Roman"/>
          <w:color w:val="000000" w:themeColor="text1"/>
        </w:rPr>
      </w:pPr>
      <w:r w:rsidRPr="00163BF5">
        <w:rPr>
          <w:rFonts w:ascii="Times New Roman" w:hAnsi="Times New Roman" w:cs="Times New Roman"/>
          <w:color w:val="000000" w:themeColor="text1"/>
        </w:rPr>
        <w:t xml:space="preserve"> </w:t>
      </w:r>
      <w:bookmarkStart w:id="53" w:name="_Toc67513402"/>
      <w:r w:rsidRPr="00163BF5">
        <w:rPr>
          <w:rFonts w:ascii="Times New Roman" w:hAnsi="Times New Roman" w:cs="Times New Roman"/>
          <w:color w:val="000000" w:themeColor="text1"/>
        </w:rPr>
        <w:t>La investigación debe tener en cuenta el contexto y las particularidades del caso o del tipo de vulneración a los derechos humanos que se está investigando.</w:t>
      </w:r>
      <w:bookmarkEnd w:id="53"/>
      <w:r w:rsidRPr="00163BF5">
        <w:rPr>
          <w:rFonts w:ascii="Times New Roman" w:hAnsi="Times New Roman" w:cs="Times New Roman"/>
          <w:color w:val="000000" w:themeColor="text1"/>
        </w:rPr>
        <w:t xml:space="preserve"> </w:t>
      </w:r>
    </w:p>
    <w:p w14:paraId="36C73D67" w14:textId="48BA02BC"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La Corte IDH ha establecido que tanto jueces como fiscales deben tener en cuenta los hechos, circunstancias y contexto para realizar las investigaciones (Corte IDH, Caso de las Hermanas Serrano Cruz, 2005)</w:t>
      </w:r>
      <w:r w:rsidR="00872F05" w:rsidRPr="00163BF5">
        <w:rPr>
          <w:color w:val="000000" w:themeColor="text1"/>
          <w:lang w:eastAsia="es-ES_tradnl"/>
        </w:rPr>
        <w:t>.</w:t>
      </w:r>
    </w:p>
    <w:p w14:paraId="148B6200" w14:textId="7957A7EC"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En el mismo sentido, la Corte Europea también ha establecido que las investigaciones deben realizarse en base a las circunstancias del caso específico (C</w:t>
      </w:r>
      <w:r w:rsidR="002258A5" w:rsidRPr="00163BF5">
        <w:rPr>
          <w:color w:val="000000" w:themeColor="text1"/>
          <w:lang w:eastAsia="es-ES_tradnl"/>
        </w:rPr>
        <w:t xml:space="preserve">orte </w:t>
      </w:r>
      <w:r w:rsidRPr="00163BF5">
        <w:rPr>
          <w:color w:val="000000" w:themeColor="text1"/>
          <w:lang w:eastAsia="es-ES_tradnl"/>
        </w:rPr>
        <w:t>E</w:t>
      </w:r>
      <w:r w:rsidR="002258A5" w:rsidRPr="00163BF5">
        <w:rPr>
          <w:color w:val="000000" w:themeColor="text1"/>
          <w:lang w:eastAsia="es-ES_tradnl"/>
        </w:rPr>
        <w:t>uropea</w:t>
      </w:r>
      <w:r w:rsidRPr="00163BF5">
        <w:rPr>
          <w:color w:val="000000" w:themeColor="text1"/>
          <w:lang w:eastAsia="es-ES_tradnl"/>
        </w:rPr>
        <w:t>, M.C Vs. Bulgaria)</w:t>
      </w:r>
      <w:r w:rsidR="00872F05" w:rsidRPr="00163BF5">
        <w:rPr>
          <w:color w:val="000000" w:themeColor="text1"/>
          <w:lang w:eastAsia="es-ES_tradnl"/>
        </w:rPr>
        <w:t>.</w:t>
      </w:r>
    </w:p>
    <w:p w14:paraId="423B5BB6" w14:textId="7777777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Lo relativo a la información sobre la circunstancia o contexto del caso, esta debe ser realizada por los investigadores y especialistas signados para el caso. </w:t>
      </w:r>
    </w:p>
    <w:p w14:paraId="7A3A3A6B" w14:textId="3C074F75"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Es importante considerar que, en casos de desaparición y ejecución extrajudicial, los esfuerzos de quienes cometen estas violaciones a los derechos humanos están enfocados en eliminar todas aquellas evidencias que permitan la comisión del delito (CEJIL, 2010)</w:t>
      </w:r>
      <w:r w:rsidR="00872F05" w:rsidRPr="00163BF5">
        <w:rPr>
          <w:color w:val="000000" w:themeColor="text1"/>
          <w:lang w:eastAsia="es-ES_tradnl"/>
        </w:rPr>
        <w:t>.</w:t>
      </w:r>
    </w:p>
    <w:p w14:paraId="26E00AE4" w14:textId="7777777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Además, en aquellas violaciones a los derechos humanos que un </w:t>
      </w:r>
      <w:r w:rsidRPr="00163BF5">
        <w:rPr>
          <w:i/>
          <w:iCs/>
          <w:color w:val="000000" w:themeColor="text1"/>
          <w:lang w:eastAsia="es-ES_tradnl"/>
        </w:rPr>
        <w:t>modus operandi</w:t>
      </w:r>
      <w:r w:rsidRPr="00163BF5">
        <w:rPr>
          <w:color w:val="000000" w:themeColor="text1"/>
          <w:lang w:eastAsia="es-ES_tradnl"/>
        </w:rPr>
        <w:t xml:space="preserve">, todas estas situaciones deben ser tomados para la investigación y juzgamiento de los hechos.  </w:t>
      </w:r>
    </w:p>
    <w:p w14:paraId="7C0E9595" w14:textId="7777777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En ese sentido la Corte IDH: </w:t>
      </w:r>
    </w:p>
    <w:p w14:paraId="568D5D47" w14:textId="7F8002FB"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 xml:space="preserve">[…]el Estado deberá asegurar que las autoridades encargadas de la investigación tomen en cuenta los patrones sistemáticos que permitieron la comisión de graves violaciones de los derechos humanos en el presente caso, con el objeto de que la investigación sea conducida tomando en cuenta la complejidad de estos hechos, el contexto en que ocurrieron y los patrones que explican su comisión, evitando omisiones en la </w:t>
      </w:r>
      <w:proofErr w:type="spellStart"/>
      <w:r w:rsidRPr="00163BF5">
        <w:rPr>
          <w:color w:val="000000" w:themeColor="text1"/>
          <w:sz w:val="22"/>
          <w:szCs w:val="22"/>
          <w:lang w:eastAsia="es-ES_tradnl"/>
        </w:rPr>
        <w:t>recabación</w:t>
      </w:r>
      <w:proofErr w:type="spellEnd"/>
      <w:r w:rsidRPr="00163BF5">
        <w:rPr>
          <w:color w:val="000000" w:themeColor="text1"/>
          <w:sz w:val="22"/>
          <w:szCs w:val="22"/>
          <w:lang w:eastAsia="es-ES_tradnl"/>
        </w:rPr>
        <w:t xml:space="preserve"> de prueba y en el seguimiento de líneas lógicas de investigación</w:t>
      </w:r>
      <w:r w:rsidR="00872F05" w:rsidRPr="00163BF5">
        <w:rPr>
          <w:color w:val="000000" w:themeColor="text1"/>
          <w:sz w:val="22"/>
          <w:szCs w:val="22"/>
          <w:lang w:eastAsia="es-ES_tradnl"/>
        </w:rPr>
        <w:t>.</w:t>
      </w:r>
      <w:r w:rsidRPr="00163BF5">
        <w:rPr>
          <w:color w:val="000000" w:themeColor="text1"/>
          <w:sz w:val="22"/>
          <w:szCs w:val="22"/>
          <w:lang w:eastAsia="es-ES_tradnl"/>
        </w:rPr>
        <w:t xml:space="preserve"> (Corte IDH, Caso de la Masacre de la Rochela Vs. Colombia, párr. 157) </w:t>
      </w:r>
    </w:p>
    <w:p w14:paraId="111406FC" w14:textId="77777777" w:rsidR="00F92151" w:rsidRPr="00163BF5" w:rsidRDefault="00F92151" w:rsidP="00AE14F4">
      <w:pPr>
        <w:ind w:left="1440"/>
        <w:jc w:val="both"/>
        <w:rPr>
          <w:color w:val="000000" w:themeColor="text1"/>
          <w:sz w:val="22"/>
          <w:szCs w:val="22"/>
          <w:lang w:eastAsia="es-ES_tradnl"/>
        </w:rPr>
      </w:pPr>
    </w:p>
    <w:p w14:paraId="08405938" w14:textId="29DD09BD" w:rsidR="00AE14F4" w:rsidRPr="00163BF5" w:rsidRDefault="00D72F68" w:rsidP="00AE14F4">
      <w:pPr>
        <w:spacing w:line="480" w:lineRule="auto"/>
        <w:ind w:firstLine="708"/>
        <w:jc w:val="both"/>
        <w:rPr>
          <w:color w:val="000000" w:themeColor="text1"/>
          <w:lang w:eastAsia="es-ES_tradnl"/>
        </w:rPr>
      </w:pPr>
      <w:r w:rsidRPr="00163BF5">
        <w:rPr>
          <w:color w:val="000000" w:themeColor="text1"/>
          <w:lang w:eastAsia="es-ES_tradnl"/>
        </w:rPr>
        <w:t>De tal forma que,</w:t>
      </w:r>
      <w:r w:rsidR="00AE14F4" w:rsidRPr="00163BF5">
        <w:rPr>
          <w:color w:val="000000" w:themeColor="text1"/>
          <w:lang w:eastAsia="es-ES_tradnl"/>
        </w:rPr>
        <w:t xml:space="preserve"> frente a un </w:t>
      </w:r>
      <w:r w:rsidR="00AE14F4" w:rsidRPr="00163BF5">
        <w:rPr>
          <w:i/>
          <w:iCs/>
          <w:color w:val="000000" w:themeColor="text1"/>
          <w:lang w:eastAsia="es-ES_tradnl"/>
        </w:rPr>
        <w:t>modus operandi</w:t>
      </w:r>
      <w:r w:rsidR="00AE14F4" w:rsidRPr="00163BF5">
        <w:rPr>
          <w:color w:val="000000" w:themeColor="text1"/>
          <w:lang w:eastAsia="es-ES_tradnl"/>
        </w:rPr>
        <w:t>, el Estado debe asegurar que aquellas autoridades investigadoras de la vulneración a los derechos humanos tengan en cuenta estos patrones dado que así la investigación está tomando en cuenta la complejidad del caso.</w:t>
      </w:r>
    </w:p>
    <w:p w14:paraId="27AB6674" w14:textId="28EAE7DF" w:rsidR="00AE14F4" w:rsidRPr="00163BF5" w:rsidRDefault="00AE14F4" w:rsidP="009F304A">
      <w:pPr>
        <w:pStyle w:val="Ttulo4"/>
        <w:numPr>
          <w:ilvl w:val="2"/>
          <w:numId w:val="32"/>
        </w:numPr>
        <w:rPr>
          <w:rFonts w:ascii="Times New Roman" w:hAnsi="Times New Roman" w:cs="Times New Roman"/>
          <w:color w:val="000000" w:themeColor="text1"/>
        </w:rPr>
      </w:pPr>
      <w:bookmarkStart w:id="54" w:name="_Toc67513403"/>
      <w:r w:rsidRPr="00163BF5">
        <w:rPr>
          <w:rFonts w:ascii="Times New Roman" w:hAnsi="Times New Roman" w:cs="Times New Roman"/>
          <w:color w:val="000000" w:themeColor="text1"/>
        </w:rPr>
        <w:t>Los investigadores deben considerar distintas hipótesis y contar una metodología.</w:t>
      </w:r>
      <w:bookmarkEnd w:id="54"/>
      <w:r w:rsidRPr="00163BF5">
        <w:rPr>
          <w:rFonts w:ascii="Times New Roman" w:hAnsi="Times New Roman" w:cs="Times New Roman"/>
          <w:color w:val="000000" w:themeColor="text1"/>
        </w:rPr>
        <w:t xml:space="preserve"> </w:t>
      </w:r>
    </w:p>
    <w:p w14:paraId="758630F3" w14:textId="2C8EA240"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Es importante señalar que, si las autoridades encargadas de la investigación de una vulneración a los derechos humanos no llegasen a considerar más de una hipótesis y no abarquen información importante, estarían cometido la obligación del estado de investigar de manera exhaustiva. Es decir, toda investigación debe cubrir todas las hipótesis posibles para el caso.</w:t>
      </w:r>
    </w:p>
    <w:p w14:paraId="3810DF0D" w14:textId="1C6BEFD5" w:rsidR="00AE14F4" w:rsidRPr="00163BF5" w:rsidRDefault="00AE14F4" w:rsidP="00AE14F4">
      <w:pPr>
        <w:spacing w:line="480" w:lineRule="auto"/>
        <w:jc w:val="both"/>
        <w:rPr>
          <w:color w:val="000000" w:themeColor="text1"/>
          <w:lang w:eastAsia="es-ES_tradnl"/>
        </w:rPr>
      </w:pPr>
      <w:r w:rsidRPr="00163BF5">
        <w:rPr>
          <w:color w:val="000000" w:themeColor="text1"/>
          <w:lang w:eastAsia="es-ES_tradnl"/>
        </w:rPr>
        <w:tab/>
        <w:t xml:space="preserve">En base a lo señalado en el párrafo precedente, la Corte IDH ha mencionado que: “[…] la investigación iniciada debía ser conducida de tal forma que pudiese garantizar el debido análisis de las hipótesis de autoría surgidas a raíz de la misma […]” (Corte IDH, Caso </w:t>
      </w:r>
      <w:proofErr w:type="spellStart"/>
      <w:r w:rsidRPr="00163BF5">
        <w:rPr>
          <w:color w:val="000000" w:themeColor="text1"/>
          <w:lang w:eastAsia="es-ES_tradnl"/>
        </w:rPr>
        <w:t>Kawas</w:t>
      </w:r>
      <w:proofErr w:type="spellEnd"/>
      <w:r w:rsidRPr="00163BF5">
        <w:rPr>
          <w:color w:val="000000" w:themeColor="text1"/>
          <w:lang w:eastAsia="es-ES_tradnl"/>
        </w:rPr>
        <w:t xml:space="preserve"> Fernández Vs. Honduras, 2011, párr. 96)</w:t>
      </w:r>
      <w:r w:rsidR="00872F05" w:rsidRPr="00163BF5">
        <w:rPr>
          <w:color w:val="000000" w:themeColor="text1"/>
          <w:lang w:eastAsia="es-ES_tradnl"/>
        </w:rPr>
        <w:t>.</w:t>
      </w:r>
    </w:p>
    <w:p w14:paraId="57373B71" w14:textId="409DCD20" w:rsidR="00AE14F4" w:rsidRPr="00163BF5" w:rsidRDefault="00AE14F4" w:rsidP="00AE14F4">
      <w:pPr>
        <w:spacing w:line="480" w:lineRule="auto"/>
        <w:jc w:val="both"/>
        <w:rPr>
          <w:color w:val="000000" w:themeColor="text1"/>
          <w:lang w:eastAsia="es-ES_tradnl"/>
        </w:rPr>
      </w:pPr>
      <w:r w:rsidRPr="00163BF5">
        <w:rPr>
          <w:color w:val="000000" w:themeColor="text1"/>
          <w:lang w:eastAsia="es-ES_tradnl"/>
        </w:rPr>
        <w:tab/>
        <w:t xml:space="preserve">Es así como la investigación de violaciones a los derechos humanos no puede basarse solo en una hipótesis; sin embargo, en Ecuador </w:t>
      </w:r>
      <w:r w:rsidR="006A66B9" w:rsidRPr="00163BF5">
        <w:rPr>
          <w:color w:val="000000" w:themeColor="text1"/>
          <w:lang w:eastAsia="es-ES_tradnl"/>
        </w:rPr>
        <w:t xml:space="preserve">los </w:t>
      </w:r>
      <w:r w:rsidRPr="00163BF5">
        <w:rPr>
          <w:color w:val="000000" w:themeColor="text1"/>
          <w:lang w:eastAsia="es-ES_tradnl"/>
        </w:rPr>
        <w:t xml:space="preserve">casos de desaparición involuntaria es una práctica recurrente, se tiene de ejemplo al Caso Carolina Garzón o Juliana Campoverde, en las cuales varias hipótesis aun siendo propuestas por la familia fueron desechadas sin un previo análisis exhaustivo o análisis. Es importante señalar que estas actuaciones generan una vulneración a los derechos de las víctimas. </w:t>
      </w:r>
    </w:p>
    <w:p w14:paraId="0ECEAE19" w14:textId="167E0978" w:rsidR="008F55C9" w:rsidRPr="00163BF5" w:rsidRDefault="008F55C9" w:rsidP="009F304A">
      <w:pPr>
        <w:pStyle w:val="Ttulo3"/>
        <w:numPr>
          <w:ilvl w:val="1"/>
          <w:numId w:val="32"/>
        </w:numPr>
        <w:rPr>
          <w:rFonts w:eastAsia="Times New Roman"/>
          <w:lang w:eastAsia="es-ES_tradnl"/>
        </w:rPr>
      </w:pPr>
      <w:bookmarkStart w:id="55" w:name="_Toc67513404"/>
      <w:r w:rsidRPr="00163BF5">
        <w:rPr>
          <w:rFonts w:eastAsia="Times New Roman"/>
          <w:lang w:eastAsia="es-ES_tradnl"/>
        </w:rPr>
        <w:t>Los estándares de debida diligencia para la investigación de graves violaciones de derechos humanos</w:t>
      </w:r>
      <w:bookmarkEnd w:id="55"/>
      <w:r w:rsidRPr="00163BF5">
        <w:rPr>
          <w:rFonts w:eastAsia="Times New Roman"/>
          <w:lang w:eastAsia="es-ES_tradnl"/>
        </w:rPr>
        <w:t xml:space="preserve"> </w:t>
      </w:r>
    </w:p>
    <w:p w14:paraId="29F9A45D"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De acuerdo con lo mencionado por parte de la CADH y desarrollado posteriormente por la Corte IDH en su jurisprudencia: </w:t>
      </w:r>
    </w:p>
    <w:p w14:paraId="0A954E47" w14:textId="7821097C" w:rsidR="008F55C9" w:rsidRPr="00163BF5" w:rsidRDefault="008F55C9" w:rsidP="001E72E1">
      <w:pPr>
        <w:ind w:left="1440"/>
        <w:jc w:val="both"/>
        <w:rPr>
          <w:color w:val="000000" w:themeColor="text1"/>
          <w:sz w:val="22"/>
          <w:szCs w:val="22"/>
          <w:lang w:eastAsia="es-ES_tradnl"/>
        </w:rPr>
      </w:pPr>
      <w:r w:rsidRPr="00163BF5">
        <w:rPr>
          <w:color w:val="000000" w:themeColor="text1"/>
          <w:sz w:val="22"/>
          <w:szCs w:val="22"/>
          <w:lang w:eastAsia="es-ES_tradnl"/>
        </w:rPr>
        <w:t>[…] los Estados están obligados a proveer recursos judiciales efectivos a las víctimas de violaciones de derechos humanos (artículo 25), los cuales deber ser sustanciados de conformidad con las reglas del debido proceso legal (artículo 8.1) todo ello dentro de la obligación general, a cargo de los mismos Estados, de garantizar el libre y pleno ejercicio de los derechos reconocidos por la Convención a toda persona que se encuentre bajo su jurisdicción (artículo 1.1)</w:t>
      </w:r>
      <w:r w:rsidR="00872F05" w:rsidRPr="00163BF5">
        <w:rPr>
          <w:color w:val="000000" w:themeColor="text1"/>
          <w:sz w:val="22"/>
          <w:szCs w:val="22"/>
          <w:lang w:eastAsia="es-ES_tradnl"/>
        </w:rPr>
        <w:t xml:space="preserve">. </w:t>
      </w:r>
      <w:r w:rsidRPr="00163BF5">
        <w:rPr>
          <w:color w:val="000000" w:themeColor="text1"/>
          <w:sz w:val="22"/>
          <w:szCs w:val="22"/>
          <w:lang w:eastAsia="es-ES_tradnl"/>
        </w:rPr>
        <w:t xml:space="preserve">(Corte IDH Caso Hermanos Landaeta Mejías y otros Vs. Venezuela, 2014, párr. 215) </w:t>
      </w:r>
    </w:p>
    <w:p w14:paraId="005E52A2" w14:textId="77777777" w:rsidR="00F92151" w:rsidRPr="00163BF5" w:rsidRDefault="00F92151" w:rsidP="00A7013F">
      <w:pPr>
        <w:ind w:left="1416"/>
        <w:jc w:val="both"/>
        <w:rPr>
          <w:color w:val="000000" w:themeColor="text1"/>
          <w:sz w:val="22"/>
          <w:szCs w:val="22"/>
          <w:lang w:eastAsia="es-ES_tradnl"/>
        </w:rPr>
      </w:pPr>
    </w:p>
    <w:p w14:paraId="1CE8B30A"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En lo relativo al recurso judicial, la Opinión Consultiva -9/87 establece “[…] la obligación a cargo de los Estados de ofrecer, a todas las personas sometidas a su jurisdicción, un recurso judicial efectivo contra actos violatorios de sus derechos fundamentales” (OC-9/87, 1987, párr. 23). Esos recursos judiciales efectivos según la Corte IDH son aquellos que buscan determinar la verdad de los hechos y la reparación a la víctima y sus familiares (Corte IDH, Caso Masacre del Pueblo Bello Vs. Colombia, 2006, párr. 170).</w:t>
      </w:r>
    </w:p>
    <w:p w14:paraId="262957C8" w14:textId="2675DFA5" w:rsidR="008F55C9" w:rsidRPr="00163BF5" w:rsidRDefault="008F55C9" w:rsidP="008F55C9">
      <w:pPr>
        <w:spacing w:line="480" w:lineRule="auto"/>
        <w:jc w:val="both"/>
        <w:rPr>
          <w:color w:val="000000" w:themeColor="text1"/>
          <w:lang w:eastAsia="es-ES_tradnl"/>
        </w:rPr>
      </w:pPr>
      <w:r w:rsidRPr="00163BF5">
        <w:rPr>
          <w:color w:val="000000" w:themeColor="text1"/>
          <w:lang w:eastAsia="es-ES_tradnl"/>
        </w:rPr>
        <w:tab/>
        <w:t xml:space="preserve">Es importante resaltar que la obligación de proporcionar un recurso efectivo no imposibilita que el Estado investigue el caso en base a recursos no judiciales; como son los procesos administrativos o las investigaciones realizadas por las comisiones de la verdad, pero no es de olvidar que estos últimos no van a sustituir a la jurisdicción penal en casos de violaciones a derechos humanos </w:t>
      </w:r>
      <w:sdt>
        <w:sdtPr>
          <w:rPr>
            <w:color w:val="000000" w:themeColor="text1"/>
            <w:lang w:eastAsia="es-ES_tradnl"/>
          </w:rPr>
          <w:id w:val="-298848186"/>
          <w:citation/>
        </w:sdtPr>
        <w:sdtEndPr/>
        <w:sdtContent>
          <w:r w:rsidRPr="00163BF5">
            <w:rPr>
              <w:color w:val="000000" w:themeColor="text1"/>
              <w:lang w:eastAsia="es-ES_tradnl"/>
            </w:rPr>
            <w:fldChar w:fldCharType="begin"/>
          </w:r>
          <w:r w:rsidRPr="00163BF5">
            <w:rPr>
              <w:color w:val="000000" w:themeColor="text1"/>
              <w:lang w:eastAsia="es-ES_tradnl"/>
            </w:rPr>
            <w:instrText xml:space="preserve"> CITATION CEJ10 \l 12298 </w:instrText>
          </w:r>
          <w:r w:rsidRPr="00163BF5">
            <w:rPr>
              <w:color w:val="000000" w:themeColor="text1"/>
              <w:lang w:eastAsia="es-ES_tradnl"/>
            </w:rPr>
            <w:fldChar w:fldCharType="separate"/>
          </w:r>
          <w:r w:rsidR="00282214" w:rsidRPr="00163BF5">
            <w:rPr>
              <w:noProof/>
              <w:color w:val="000000" w:themeColor="text1"/>
              <w:lang w:eastAsia="es-ES_tradnl"/>
            </w:rPr>
            <w:t>(CEJIL, 2010)</w:t>
          </w:r>
          <w:r w:rsidRPr="00163BF5">
            <w:rPr>
              <w:color w:val="000000" w:themeColor="text1"/>
              <w:lang w:eastAsia="es-ES_tradnl"/>
            </w:rPr>
            <w:fldChar w:fldCharType="end"/>
          </w:r>
        </w:sdtContent>
      </w:sdt>
      <w:r w:rsidR="00872F05" w:rsidRPr="00163BF5">
        <w:rPr>
          <w:color w:val="000000" w:themeColor="text1"/>
          <w:lang w:eastAsia="es-ES_tradnl"/>
        </w:rPr>
        <w:t>.</w:t>
      </w:r>
    </w:p>
    <w:p w14:paraId="1B1962A2" w14:textId="77777777" w:rsidR="008F55C9" w:rsidRPr="00163BF5" w:rsidRDefault="008F55C9" w:rsidP="008F55C9">
      <w:pPr>
        <w:spacing w:line="480" w:lineRule="auto"/>
        <w:jc w:val="both"/>
        <w:rPr>
          <w:color w:val="000000" w:themeColor="text1"/>
          <w:lang w:eastAsia="es-ES_tradnl"/>
        </w:rPr>
      </w:pPr>
      <w:r w:rsidRPr="00163BF5">
        <w:rPr>
          <w:color w:val="000000" w:themeColor="text1"/>
          <w:lang w:eastAsia="es-ES_tradnl"/>
        </w:rPr>
        <w:tab/>
        <w:t xml:space="preserve">En base a lo señalado en el párrafo precedente, en lo referente a los límites de la investigación judicial y no judicial, la Corte ha definido que: </w:t>
      </w:r>
    </w:p>
    <w:p w14:paraId="37E9A590" w14:textId="77777777" w:rsidR="008F55C9" w:rsidRPr="00163BF5" w:rsidRDefault="008F55C9" w:rsidP="008F55C9">
      <w:pPr>
        <w:ind w:left="1440"/>
        <w:jc w:val="both"/>
        <w:rPr>
          <w:color w:val="000000" w:themeColor="text1"/>
          <w:sz w:val="22"/>
          <w:szCs w:val="22"/>
          <w:lang w:eastAsia="es-ES_tradnl"/>
        </w:rPr>
      </w:pPr>
      <w:r w:rsidRPr="00163BF5">
        <w:rPr>
          <w:color w:val="000000" w:themeColor="text1"/>
          <w:sz w:val="22"/>
          <w:szCs w:val="22"/>
          <w:lang w:eastAsia="es-ES_tradnl"/>
        </w:rPr>
        <w:t xml:space="preserve">La Corte estima que el establecimiento de una comisión de la verdad, según el objeto, procedimiento, estructura y fin de su mandato, puede contribuir a la construcción y preservación de la memoria histórica, el esclarecimiento de hechos y la determinación de responsabilidades institucionales, sociales y políticas en determinados períodos históricos de una sociedad. Las verdades históricas que a través de ese mecanismo se logren, no deben ser entendidas como un sustituto del deber del Estado de asegurar la determinación judicial de responsabilidades individuales o estatales por los medios jurisdiccionales correspondientes, ni con la determinación de responsabilidad internacional que corresponda a este Tribunal. Se trata de determinaciones de la verdad que son complementarias entre sí, pues tienen todas un sentido y alcance propios, así como potencialidades y límites particulares, que dependen del contexto en el que surgen y de los casos y circunstancias concretas que analicen. (Corte IDH, Caso Zambrano Vélez y otros Vs. Ecuador, 2007, párr. 128) </w:t>
      </w:r>
    </w:p>
    <w:p w14:paraId="19814E72" w14:textId="77777777" w:rsidR="008F55C9" w:rsidRPr="00163BF5" w:rsidRDefault="008F55C9" w:rsidP="008F55C9">
      <w:pPr>
        <w:spacing w:line="480" w:lineRule="auto"/>
        <w:ind w:firstLine="708"/>
        <w:jc w:val="both"/>
        <w:rPr>
          <w:color w:val="000000" w:themeColor="text1"/>
          <w:sz w:val="22"/>
          <w:szCs w:val="22"/>
          <w:lang w:eastAsia="es-ES_tradnl"/>
        </w:rPr>
      </w:pPr>
    </w:p>
    <w:p w14:paraId="10AB29AF"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Teniendo en cuenta lo señalado en la cita anterior, y a partir de un análisis de la jurisprudencia de la Corte IDH y al Protocolo de Estambul, que en su párrafo 75 indica que: </w:t>
      </w:r>
    </w:p>
    <w:p w14:paraId="49B5B225" w14:textId="240ED120" w:rsidR="008F55C9" w:rsidRPr="00163BF5" w:rsidRDefault="008F55C9" w:rsidP="00F92151">
      <w:pPr>
        <w:ind w:left="1440"/>
        <w:jc w:val="both"/>
        <w:rPr>
          <w:color w:val="000000" w:themeColor="text1"/>
          <w:sz w:val="22"/>
          <w:szCs w:val="22"/>
          <w:lang w:eastAsia="es-ES_tradnl"/>
        </w:rPr>
      </w:pPr>
      <w:r w:rsidRPr="00163BF5">
        <w:rPr>
          <w:color w:val="000000" w:themeColor="text1"/>
          <w:sz w:val="22"/>
          <w:szCs w:val="22"/>
          <w:lang w:eastAsia="es-ES_tradnl"/>
        </w:rPr>
        <w:t>Cuando los procedimientos de investigación sean inadecuados por falta de recursos o de pericia, falta de imparcialidad, un cuadro manifiesto de abusos u otras razones sustanciales, los Estados procederán a las investigaciones valiéndose de una comisión de indagación independiente o algún otro procedimiento similar. Los miembros de esa comisión serán seleccionados a título personal por su imparcialidad, competencia e independencia reconocidas. En particular, deberán ser independientes de toda institución, agencia o persona que pueda ser objeto de la indagación. (Protocolo de Estambul, 1999, párr. 75)</w:t>
      </w:r>
    </w:p>
    <w:p w14:paraId="1E13AA8F" w14:textId="77777777" w:rsidR="00F92151" w:rsidRPr="00163BF5" w:rsidRDefault="00F92151" w:rsidP="00F92151">
      <w:pPr>
        <w:ind w:left="1440"/>
        <w:jc w:val="both"/>
        <w:rPr>
          <w:color w:val="000000" w:themeColor="text1"/>
          <w:sz w:val="22"/>
          <w:szCs w:val="22"/>
          <w:lang w:eastAsia="es-ES_tradnl"/>
        </w:rPr>
      </w:pPr>
    </w:p>
    <w:p w14:paraId="5A801340" w14:textId="3EDA008F"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En lo relativo a la investigación de graves violaciones de derechos humanos, existen los siguientes principios generales o estándares de debida diligencia: “Oficiosidad, Oportunidad, Competencia, Independencia e imparcialidad, Exhaustividad y Participación de las víctimas y sus familiares” (CEJIL, 2010, </w:t>
      </w:r>
      <w:r w:rsidR="00651EBA" w:rsidRPr="00163BF5">
        <w:rPr>
          <w:color w:val="000000" w:themeColor="text1"/>
          <w:lang w:eastAsia="es-ES_tradnl"/>
        </w:rPr>
        <w:t>p.</w:t>
      </w:r>
      <w:r w:rsidRPr="00163BF5">
        <w:rPr>
          <w:color w:val="000000" w:themeColor="text1"/>
          <w:lang w:eastAsia="es-ES_tradnl"/>
        </w:rPr>
        <w:t xml:space="preserve"> 21)</w:t>
      </w:r>
      <w:r w:rsidR="00872F05" w:rsidRPr="00163BF5">
        <w:rPr>
          <w:color w:val="000000" w:themeColor="text1"/>
          <w:lang w:eastAsia="es-ES_tradnl"/>
        </w:rPr>
        <w:t>.</w:t>
      </w:r>
    </w:p>
    <w:p w14:paraId="7E6F67F8" w14:textId="7FA1AAE2"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Todos estos estándares de debida diligencia van a ser analizados independientemente en los siguientes subcapítulos con la finalidad de establecer si se encuentran bien expresados en la Ley orgánica de actuación en casos de personas desaparecidas y Extraviadas</w:t>
      </w:r>
      <w:r w:rsidR="00872F05" w:rsidRPr="00163BF5">
        <w:rPr>
          <w:color w:val="000000" w:themeColor="text1"/>
          <w:lang w:eastAsia="es-ES_tradnl"/>
        </w:rPr>
        <w:t>.</w:t>
      </w:r>
    </w:p>
    <w:p w14:paraId="12F4A09D" w14:textId="77777777" w:rsidR="008F55C9" w:rsidRPr="00163BF5" w:rsidRDefault="008F55C9" w:rsidP="009F304A">
      <w:pPr>
        <w:pStyle w:val="Ttulo4"/>
        <w:numPr>
          <w:ilvl w:val="2"/>
          <w:numId w:val="32"/>
        </w:numPr>
        <w:rPr>
          <w:rFonts w:ascii="Times New Roman" w:hAnsi="Times New Roman" w:cs="Times New Roman"/>
          <w:color w:val="000000" w:themeColor="text1"/>
        </w:rPr>
      </w:pPr>
      <w:bookmarkStart w:id="56" w:name="_Toc67513405"/>
      <w:r w:rsidRPr="00163BF5">
        <w:rPr>
          <w:rFonts w:ascii="Times New Roman" w:hAnsi="Times New Roman" w:cs="Times New Roman"/>
          <w:color w:val="000000" w:themeColor="text1"/>
        </w:rPr>
        <w:t>Estándar de oficiosidad</w:t>
      </w:r>
      <w:bookmarkEnd w:id="56"/>
      <w:r w:rsidRPr="00163BF5">
        <w:rPr>
          <w:rFonts w:ascii="Times New Roman" w:hAnsi="Times New Roman" w:cs="Times New Roman"/>
          <w:color w:val="000000" w:themeColor="text1"/>
        </w:rPr>
        <w:t xml:space="preserve"> </w:t>
      </w:r>
    </w:p>
    <w:p w14:paraId="4DC262E7"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Como se ha observado a lo largo del desarrollo del presente capítulo, al momento en que sucede una grave violación a los derechos humanos dentro de la jurisdicción del Estado, este “tiene el deber de iniciar ex </w:t>
      </w:r>
      <w:proofErr w:type="spellStart"/>
      <w:r w:rsidRPr="00163BF5">
        <w:rPr>
          <w:color w:val="000000" w:themeColor="text1"/>
          <w:lang w:eastAsia="es-ES_tradnl"/>
        </w:rPr>
        <w:t>officio</w:t>
      </w:r>
      <w:proofErr w:type="spellEnd"/>
      <w:r w:rsidRPr="00163BF5">
        <w:rPr>
          <w:color w:val="000000" w:themeColor="text1"/>
          <w:lang w:eastAsia="es-ES_tradnl"/>
        </w:rPr>
        <w:t xml:space="preserve"> y sin dilación, una investigación seria, imparcial y efectiva, que no se emprenda como una simple formalidad condenada de antemano a ser infructuosa” (Corte IDH, Caso de la Masacre de Pueblo Bello Vs. Colombia, 2006, párr. 143). </w:t>
      </w:r>
    </w:p>
    <w:p w14:paraId="355916C7" w14:textId="2E589ECE" w:rsidR="008F55C9" w:rsidRPr="00163BF5" w:rsidRDefault="008F55C9" w:rsidP="008F55C9">
      <w:pPr>
        <w:spacing w:line="480" w:lineRule="auto"/>
        <w:jc w:val="both"/>
        <w:rPr>
          <w:color w:val="000000" w:themeColor="text1"/>
          <w:lang w:eastAsia="es-ES_tradnl"/>
        </w:rPr>
      </w:pPr>
      <w:r w:rsidRPr="00163BF5">
        <w:rPr>
          <w:color w:val="000000" w:themeColor="text1"/>
          <w:lang w:eastAsia="es-ES_tradnl"/>
        </w:rPr>
        <w:tab/>
        <w:t>Es así como</w:t>
      </w:r>
      <w:r w:rsidR="00D72F68" w:rsidRPr="00163BF5">
        <w:rPr>
          <w:color w:val="000000" w:themeColor="text1"/>
          <w:lang w:eastAsia="es-ES_tradnl"/>
        </w:rPr>
        <w:t xml:space="preserve">, </w:t>
      </w:r>
      <w:r w:rsidRPr="00163BF5">
        <w:rPr>
          <w:color w:val="000000" w:themeColor="text1"/>
          <w:lang w:eastAsia="es-ES_tradnl"/>
        </w:rPr>
        <w:t xml:space="preserve">la Corte IDH en el Caso Heliodoro Portugal Vs. Panamá ha señalado que: </w:t>
      </w:r>
    </w:p>
    <w:p w14:paraId="610B6EDE" w14:textId="047569E0" w:rsidR="008F55C9" w:rsidRPr="00163BF5" w:rsidRDefault="008F55C9" w:rsidP="00F92151">
      <w:pPr>
        <w:ind w:left="1440"/>
        <w:jc w:val="both"/>
        <w:rPr>
          <w:color w:val="000000" w:themeColor="text1"/>
          <w:sz w:val="22"/>
          <w:szCs w:val="22"/>
          <w:lang w:eastAsia="es-ES_tradnl"/>
        </w:rPr>
      </w:pPr>
      <w:r w:rsidRPr="00163BF5">
        <w:rPr>
          <w:color w:val="000000" w:themeColor="text1"/>
          <w:sz w:val="22"/>
          <w:szCs w:val="22"/>
          <w:lang w:eastAsia="es-ES_tradnl"/>
        </w:rPr>
        <w:t xml:space="preserve">La investigación debe ser realizada por todos los medios legales disponibles y orientada a la determinación de la verdad y a la persecución, captura, enjuiciamiento y eventual castigo de todos los responsables intelectuales y materiales de los hechos, especialmente cuando están o puedan estar involucrados agentes estatales. (Corte IDH, Caso Heliodoro Portugal Vs. Panamá, 2008, párr. 144) </w:t>
      </w:r>
    </w:p>
    <w:p w14:paraId="276B75B1" w14:textId="77777777" w:rsidR="00F92151" w:rsidRPr="00163BF5" w:rsidRDefault="00F92151" w:rsidP="00F92151">
      <w:pPr>
        <w:ind w:left="1440"/>
        <w:jc w:val="both"/>
        <w:rPr>
          <w:color w:val="000000" w:themeColor="text1"/>
          <w:sz w:val="22"/>
          <w:szCs w:val="22"/>
          <w:lang w:eastAsia="es-ES_tradnl"/>
        </w:rPr>
      </w:pPr>
    </w:p>
    <w:p w14:paraId="0EA921FA"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Esta obligación de investigar por todos los medios legales disponibles y con finalidad de determinar la verdad y el posible enjuiciamiento de los responsables, se extiende también a los casos donde existe una vulneración a la integridad personal de la persona, siempre que exista una denuncia o razón fundada de que se haya cometido el ilícito (Corte IDH, Caso Tibi Vs Ecuador, 2004). </w:t>
      </w:r>
    </w:p>
    <w:p w14:paraId="098939CF" w14:textId="77777777" w:rsidR="008F55C9" w:rsidRPr="00163BF5" w:rsidRDefault="008F55C9" w:rsidP="008F55C9">
      <w:pPr>
        <w:spacing w:line="480" w:lineRule="auto"/>
        <w:jc w:val="both"/>
        <w:rPr>
          <w:color w:val="000000" w:themeColor="text1"/>
          <w:lang w:eastAsia="es-ES_tradnl"/>
        </w:rPr>
      </w:pPr>
      <w:r w:rsidRPr="00163BF5">
        <w:rPr>
          <w:color w:val="000000" w:themeColor="text1"/>
          <w:lang w:eastAsia="es-ES_tradnl"/>
        </w:rPr>
        <w:tab/>
        <w:t xml:space="preserve">Basado en lo expuesto la Corte se ha pronunciado dictando que: </w:t>
      </w:r>
    </w:p>
    <w:p w14:paraId="707B6056" w14:textId="5772376C" w:rsidR="008F55C9" w:rsidRPr="00163BF5" w:rsidRDefault="008F55C9" w:rsidP="008F55C9">
      <w:pPr>
        <w:ind w:left="1440"/>
        <w:jc w:val="both"/>
        <w:rPr>
          <w:color w:val="000000" w:themeColor="text1"/>
          <w:sz w:val="22"/>
          <w:szCs w:val="22"/>
          <w:lang w:eastAsia="es-ES_tradnl"/>
        </w:rPr>
      </w:pPr>
      <w:r w:rsidRPr="00163BF5">
        <w:rPr>
          <w:color w:val="000000" w:themeColor="text1"/>
          <w:sz w:val="22"/>
          <w:szCs w:val="22"/>
          <w:lang w:eastAsia="es-ES_tradnl"/>
        </w:rPr>
        <w:t>[…] este Tribunal debe reiterar que aun cuando la aplicación de tortura o tratos crueles, inhumanos o degradantes no haya sido denunciada ante las autoridades competentes, en todo caso en que existan indicios de su ocurrencia el Estado deberá iniciar de oficio y de inmediato una investigación imparcial, independiente y minuciosa que permita determinar la naturaleza y el origen de las lesiones advertidas, identificar a los responsables e iniciar su procesamiento. Es indispensable que el Estado actúe con diligencia para evitar las prácticas de tortura, tomando en cuenta, por otra parte, que la víctima suele abstenerse, por temor, de denunciar los hechos. (Corte IDH, Caso Bayarri Vs Argentina, 2008, párr. 109)</w:t>
      </w:r>
    </w:p>
    <w:p w14:paraId="52617E17" w14:textId="77777777" w:rsidR="00F92151" w:rsidRPr="00163BF5" w:rsidRDefault="00F92151" w:rsidP="008F55C9">
      <w:pPr>
        <w:ind w:left="1440"/>
        <w:jc w:val="both"/>
        <w:rPr>
          <w:color w:val="000000" w:themeColor="text1"/>
          <w:sz w:val="22"/>
          <w:szCs w:val="22"/>
          <w:lang w:eastAsia="es-ES_tradnl"/>
        </w:rPr>
      </w:pPr>
    </w:p>
    <w:p w14:paraId="482BAE8A" w14:textId="62FFA8FB" w:rsidR="008F55C9" w:rsidRPr="00163BF5" w:rsidRDefault="008F55C9" w:rsidP="008F55C9">
      <w:pPr>
        <w:spacing w:line="480" w:lineRule="auto"/>
        <w:jc w:val="both"/>
        <w:rPr>
          <w:color w:val="000000" w:themeColor="text1"/>
          <w:lang w:eastAsia="es-ES_tradnl"/>
        </w:rPr>
      </w:pPr>
      <w:r w:rsidRPr="00163BF5">
        <w:rPr>
          <w:color w:val="000000" w:themeColor="text1"/>
          <w:lang w:eastAsia="es-ES_tradnl"/>
        </w:rPr>
        <w:tab/>
        <w:t>E</w:t>
      </w:r>
      <w:r w:rsidR="00D72F68" w:rsidRPr="00163BF5">
        <w:rPr>
          <w:color w:val="000000" w:themeColor="text1"/>
          <w:lang w:eastAsia="es-ES_tradnl"/>
        </w:rPr>
        <w:t xml:space="preserve">n consecuencia, </w:t>
      </w:r>
      <w:r w:rsidRPr="00163BF5">
        <w:rPr>
          <w:color w:val="000000" w:themeColor="text1"/>
          <w:lang w:eastAsia="es-ES_tradnl"/>
        </w:rPr>
        <w:t xml:space="preserve">a pesar de no existir una denuncia sobre el ilícito, si llegase a existir indicios, el Estado deberá iniciar de oficio la investigación para determinar la existencia o no del delito. </w:t>
      </w:r>
    </w:p>
    <w:p w14:paraId="4ED3C22B"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En suma, se puede establecer que la investigación de una grave vulneración de un derecho humano debe desarrollarse de oficio por parte de la autoridad estatal, siendo esta investigación llevada a cabo de manera seria, imparcial y efectiva, además que la Corte IDH señala si bien es necesaria la denuncia del acto, no es un requisito indispensable, dado que la existencia de una razón fundada de posible vulneración a la integridad personal es motivo para que el Estado inicie la investigación de oficio. </w:t>
      </w:r>
    </w:p>
    <w:p w14:paraId="2CCCC3E3" w14:textId="77777777" w:rsidR="008F55C9" w:rsidRPr="00163BF5" w:rsidRDefault="008F55C9" w:rsidP="009F304A">
      <w:pPr>
        <w:pStyle w:val="Ttulo4"/>
        <w:numPr>
          <w:ilvl w:val="2"/>
          <w:numId w:val="32"/>
        </w:numPr>
        <w:rPr>
          <w:rFonts w:ascii="Times New Roman" w:hAnsi="Times New Roman" w:cs="Times New Roman"/>
          <w:color w:val="000000" w:themeColor="text1"/>
        </w:rPr>
      </w:pPr>
      <w:bookmarkStart w:id="57" w:name="_Toc67513406"/>
      <w:r w:rsidRPr="00163BF5">
        <w:rPr>
          <w:rFonts w:ascii="Times New Roman" w:hAnsi="Times New Roman" w:cs="Times New Roman"/>
          <w:color w:val="000000" w:themeColor="text1"/>
        </w:rPr>
        <w:t>Estándar de oportunidad</w:t>
      </w:r>
      <w:bookmarkEnd w:id="57"/>
      <w:r w:rsidRPr="00163BF5">
        <w:rPr>
          <w:rFonts w:ascii="Times New Roman" w:hAnsi="Times New Roman" w:cs="Times New Roman"/>
          <w:color w:val="000000" w:themeColor="text1"/>
        </w:rPr>
        <w:t xml:space="preserve"> </w:t>
      </w:r>
    </w:p>
    <w:p w14:paraId="4683B441" w14:textId="77777777" w:rsidR="008F55C9" w:rsidRPr="00163BF5" w:rsidRDefault="008F55C9" w:rsidP="008F55C9">
      <w:pPr>
        <w:spacing w:line="480" w:lineRule="auto"/>
        <w:ind w:firstLine="708"/>
        <w:jc w:val="both"/>
        <w:rPr>
          <w:b/>
          <w:bCs/>
          <w:color w:val="000000" w:themeColor="text1"/>
          <w:lang w:eastAsia="es-ES_tradnl"/>
        </w:rPr>
      </w:pPr>
      <w:r w:rsidRPr="00163BF5">
        <w:rPr>
          <w:color w:val="000000" w:themeColor="text1"/>
          <w:lang w:eastAsia="es-ES_tradnl"/>
        </w:rPr>
        <w:t xml:space="preserve">La Corte Interamericana de Derechos Humanos a lo largo de su jurisprudencia ha desarrollado el estándar de oportunidad basándose en tres elementos: a) debe iniciarse la investigación de manera inmediata b) debe llevarse a cabo la investigación en un plazo razonable c) la investigación debe ser propositiva. Todas estas características se deben cumplir para que una investigación pueda ser oportuna. </w:t>
      </w:r>
    </w:p>
    <w:p w14:paraId="45A704D1" w14:textId="77777777" w:rsidR="008F55C9" w:rsidRPr="00163BF5" w:rsidRDefault="008F55C9" w:rsidP="008F55C9">
      <w:pPr>
        <w:numPr>
          <w:ilvl w:val="0"/>
          <w:numId w:val="7"/>
        </w:numPr>
        <w:spacing w:line="480" w:lineRule="auto"/>
        <w:contextualSpacing/>
        <w:jc w:val="both"/>
        <w:rPr>
          <w:b/>
          <w:bCs/>
          <w:color w:val="000000" w:themeColor="text1"/>
          <w:lang w:eastAsia="es-ES_tradnl"/>
        </w:rPr>
      </w:pPr>
      <w:r w:rsidRPr="00163BF5">
        <w:rPr>
          <w:b/>
          <w:bCs/>
          <w:color w:val="000000" w:themeColor="text1"/>
          <w:lang w:eastAsia="es-ES_tradnl"/>
        </w:rPr>
        <w:t>La investigación debe iniciarse de manera inmediata</w:t>
      </w:r>
    </w:p>
    <w:p w14:paraId="3370B2A6"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La Corte Interamericana de Derechos Humanos ha establecido que el no iniciar una investigación de manera inmediata ocasiona una falta de debida diligencia por parte del Estado a cargo de dicha investigación, dado que se limita actuaciones como la recolección y preservación de las pruebas e identificación de testigos (Corte IDH, Caso </w:t>
      </w:r>
      <w:proofErr w:type="spellStart"/>
      <w:r w:rsidRPr="00163BF5">
        <w:rPr>
          <w:color w:val="000000" w:themeColor="text1"/>
          <w:lang w:eastAsia="es-ES_tradnl"/>
        </w:rPr>
        <w:t>Ximenes</w:t>
      </w:r>
      <w:proofErr w:type="spellEnd"/>
      <w:r w:rsidRPr="00163BF5">
        <w:rPr>
          <w:color w:val="000000" w:themeColor="text1"/>
          <w:lang w:eastAsia="es-ES_tradnl"/>
        </w:rPr>
        <w:t xml:space="preserve"> </w:t>
      </w:r>
      <w:proofErr w:type="spellStart"/>
      <w:r w:rsidRPr="00163BF5">
        <w:rPr>
          <w:color w:val="000000" w:themeColor="text1"/>
          <w:lang w:eastAsia="es-ES_tradnl"/>
        </w:rPr>
        <w:t>Lopes</w:t>
      </w:r>
      <w:proofErr w:type="spellEnd"/>
      <w:r w:rsidRPr="00163BF5">
        <w:rPr>
          <w:color w:val="000000" w:themeColor="text1"/>
          <w:lang w:eastAsia="es-ES_tradnl"/>
        </w:rPr>
        <w:t xml:space="preserve"> Vs Brasil, 2006). </w:t>
      </w:r>
    </w:p>
    <w:p w14:paraId="0582534A"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En el sentido del párrafo precedente, la Corte IDH ha mencionado que: </w:t>
      </w:r>
    </w:p>
    <w:p w14:paraId="71DC6D86" w14:textId="02A385E9" w:rsidR="008F55C9" w:rsidRPr="00163BF5" w:rsidRDefault="008F55C9" w:rsidP="001E72E1">
      <w:pPr>
        <w:ind w:left="1440"/>
        <w:jc w:val="both"/>
        <w:rPr>
          <w:color w:val="000000" w:themeColor="text1"/>
          <w:sz w:val="22"/>
          <w:szCs w:val="22"/>
          <w:lang w:eastAsia="es-ES_tradnl"/>
        </w:rPr>
      </w:pPr>
      <w:r w:rsidRPr="00163BF5">
        <w:rPr>
          <w:color w:val="000000" w:themeColor="text1"/>
          <w:sz w:val="22"/>
          <w:szCs w:val="22"/>
          <w:lang w:eastAsia="es-ES_tradnl"/>
        </w:rPr>
        <w:t xml:space="preserve">[…] el paso del tiempo guarda una relación directamente proporcional con la limitación –y en algunos casos, la imposibilidad- para obtener las pruebas y/o testimonios, dificultando y aún tornando nugatoria o ineficaz, la práctica de diligencias probatorias a fin de esclarecer los hechos materia de investigación, identificar a los posibles autores y partícipes, y determinar las eventuales responsabilidades penales. (Corte IDH, Caso </w:t>
      </w:r>
      <w:proofErr w:type="spellStart"/>
      <w:r w:rsidRPr="00163BF5">
        <w:rPr>
          <w:color w:val="000000" w:themeColor="text1"/>
          <w:sz w:val="22"/>
          <w:szCs w:val="22"/>
          <w:lang w:eastAsia="es-ES_tradnl"/>
        </w:rPr>
        <w:t>Anzualdo</w:t>
      </w:r>
      <w:proofErr w:type="spellEnd"/>
      <w:r w:rsidRPr="00163BF5">
        <w:rPr>
          <w:color w:val="000000" w:themeColor="text1"/>
          <w:sz w:val="22"/>
          <w:szCs w:val="22"/>
          <w:lang w:eastAsia="es-ES_tradnl"/>
        </w:rPr>
        <w:t xml:space="preserve"> Castro Vs. Perú, 2009, párr. 135) </w:t>
      </w:r>
    </w:p>
    <w:p w14:paraId="5654E9B9" w14:textId="77777777" w:rsidR="00F92151" w:rsidRPr="00163BF5" w:rsidRDefault="00F92151" w:rsidP="00A7013F">
      <w:pPr>
        <w:ind w:left="1418"/>
        <w:jc w:val="both"/>
        <w:rPr>
          <w:color w:val="000000" w:themeColor="text1"/>
          <w:sz w:val="22"/>
          <w:szCs w:val="22"/>
          <w:lang w:eastAsia="es-ES_tradnl"/>
        </w:rPr>
      </w:pPr>
    </w:p>
    <w:p w14:paraId="06A45565" w14:textId="767F8613" w:rsidR="00872F05" w:rsidRPr="00163BF5" w:rsidRDefault="008F55C9" w:rsidP="0002203C">
      <w:pPr>
        <w:spacing w:line="480" w:lineRule="auto"/>
        <w:ind w:firstLine="708"/>
        <w:jc w:val="both"/>
        <w:rPr>
          <w:color w:val="000000" w:themeColor="text1"/>
          <w:lang w:eastAsia="es-ES_tradnl"/>
        </w:rPr>
      </w:pPr>
      <w:r w:rsidRPr="00163BF5">
        <w:rPr>
          <w:color w:val="000000" w:themeColor="text1"/>
          <w:lang w:eastAsia="es-ES_tradnl"/>
        </w:rPr>
        <w:t xml:space="preserve">Es así como la misma Corte IDH reitera que el paso del tiempo puede afectar negativamente a la investigación del caso, dado que dificulta la posibilidad de obtener pruebas, testimonios y realizar distintas diligencias probatorias para determinar a los responsables de la violación a los derechos humanos. </w:t>
      </w:r>
    </w:p>
    <w:p w14:paraId="51D5A9F4" w14:textId="77777777" w:rsidR="008F55C9" w:rsidRPr="00163BF5" w:rsidRDefault="008F55C9" w:rsidP="008F55C9">
      <w:pPr>
        <w:numPr>
          <w:ilvl w:val="0"/>
          <w:numId w:val="7"/>
        </w:numPr>
        <w:spacing w:line="480" w:lineRule="auto"/>
        <w:contextualSpacing/>
        <w:jc w:val="both"/>
        <w:rPr>
          <w:b/>
          <w:bCs/>
          <w:color w:val="000000" w:themeColor="text1"/>
          <w:lang w:eastAsia="es-ES_tradnl"/>
        </w:rPr>
      </w:pPr>
      <w:r w:rsidRPr="00163BF5">
        <w:rPr>
          <w:b/>
          <w:bCs/>
          <w:color w:val="000000" w:themeColor="text1"/>
          <w:lang w:eastAsia="es-ES_tradnl"/>
        </w:rPr>
        <w:t>La investigación debe ser llevada a cabo en un plazo razonable</w:t>
      </w:r>
    </w:p>
    <w:p w14:paraId="0CE5E92F"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La Corte IDH ha establecido a lo largo de su jurisprudencia que “[…] el órgano que investiga debe llevar a cabo, dentro de un plazo razonable, todas aquellas diligencias que sean necesarias con el fin de intentar obtener un resultado […]” (Corte IDH, Caso Hermanos Serrano Cruz Vs El Salvador, 2005, párr. 65). </w:t>
      </w:r>
    </w:p>
    <w:p w14:paraId="6B2F66FF"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Esas diligencias necesarias para obtener el resultado son todas aquellas que buscan esclarecer todos los hechos del caso y de ser el caso la sanción a los responsables de la violación a los derechos humanos de la víctima. </w:t>
      </w:r>
    </w:p>
    <w:p w14:paraId="148F23F3" w14:textId="616700B3"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En cuanto a la suspensión de las investigaciones la Corte Interamericana de Derechos Humanos ha dictado que esta situación solo puede darse en casos de extrema gravedad</w:t>
      </w:r>
      <w:r w:rsidR="00872F05" w:rsidRPr="00163BF5">
        <w:rPr>
          <w:color w:val="000000" w:themeColor="text1"/>
          <w:lang w:eastAsia="es-ES_tradnl"/>
        </w:rPr>
        <w:t xml:space="preserve"> </w:t>
      </w:r>
      <w:r w:rsidRPr="00163BF5">
        <w:rPr>
          <w:color w:val="000000" w:themeColor="text1"/>
          <w:lang w:eastAsia="es-ES_tradnl"/>
        </w:rPr>
        <w:t xml:space="preserve">(Corte IDH, Caso Juan Humberto Sánchez Vs. Honduras, párr. 65). Sin embargo, la misma Corte no ha mencionado que casos son catalogados como de extrema gravedad. </w:t>
      </w:r>
    </w:p>
    <w:p w14:paraId="5262D68D"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En base a lo antes señalado, la Corte IDH en el Caso Hermanos Serrano Cruz Vs. El Salvador ha mencionado que: </w:t>
      </w:r>
    </w:p>
    <w:p w14:paraId="541902C9" w14:textId="61466F16" w:rsidR="008F55C9" w:rsidRPr="00163BF5" w:rsidRDefault="008F55C9" w:rsidP="00A7013F">
      <w:pPr>
        <w:ind w:left="1440"/>
        <w:jc w:val="both"/>
        <w:rPr>
          <w:color w:val="000000" w:themeColor="text1"/>
          <w:sz w:val="22"/>
          <w:szCs w:val="22"/>
          <w:lang w:eastAsia="es-ES_tradnl"/>
        </w:rPr>
      </w:pPr>
      <w:r w:rsidRPr="00163BF5">
        <w:rPr>
          <w:color w:val="000000" w:themeColor="text1"/>
          <w:sz w:val="22"/>
          <w:szCs w:val="22"/>
          <w:lang w:eastAsia="es-ES_tradnl"/>
        </w:rPr>
        <w:t>el derecho de acceso a la justicia no se agota con el trámite de procesos internos, sino que éste debe además asegurar, en tiempo razonable, el derecho de la presunta víctima o sus familiares a que se haga todo lo necesario para conocer la verdad de lo sucedido y para que se sancione a los eventuales responsables</w:t>
      </w:r>
      <w:r w:rsidR="00872F05" w:rsidRPr="00163BF5">
        <w:rPr>
          <w:color w:val="000000" w:themeColor="text1"/>
          <w:sz w:val="22"/>
          <w:szCs w:val="22"/>
          <w:lang w:eastAsia="es-ES_tradnl"/>
        </w:rPr>
        <w:t>.</w:t>
      </w:r>
      <w:r w:rsidRPr="00163BF5">
        <w:rPr>
          <w:color w:val="000000" w:themeColor="text1"/>
          <w:sz w:val="22"/>
          <w:szCs w:val="22"/>
          <w:lang w:eastAsia="es-ES_tradnl"/>
        </w:rPr>
        <w:t xml:space="preserve"> (Corte IDH, Caso Hermanos Serrano Cruz Vs El Salvador, 2005, párr. 66)</w:t>
      </w:r>
    </w:p>
    <w:p w14:paraId="39FFEF9E" w14:textId="77777777" w:rsidR="0044597D" w:rsidRPr="00163BF5" w:rsidRDefault="0044597D" w:rsidP="00A7013F">
      <w:pPr>
        <w:ind w:left="1440"/>
        <w:jc w:val="both"/>
        <w:rPr>
          <w:color w:val="000000" w:themeColor="text1"/>
          <w:sz w:val="22"/>
          <w:szCs w:val="22"/>
          <w:lang w:eastAsia="es-ES_tradnl"/>
        </w:rPr>
      </w:pPr>
    </w:p>
    <w:p w14:paraId="5E8CB03C"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Es así como la Corte Interamericana de Derechos Humanos estipula que el derecho al acceso de la justicia no se limita solo con el otorgamiento de procesos internos, sino también el aseguramiento de un plazo razonable para la investigación de una vulneración a un derecho humano. </w:t>
      </w:r>
    </w:p>
    <w:p w14:paraId="5651D81E" w14:textId="66208471"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En casos de una demora prolongada, la corte establece que esta “constituye en principio, por si misma una violación a las garantías judiciales” (Caso Hermanos Serrano Cruz Vs. El Salvador, 2005, párr. 69)</w:t>
      </w:r>
      <w:r w:rsidR="00872F05" w:rsidRPr="00163BF5">
        <w:rPr>
          <w:color w:val="000000" w:themeColor="text1"/>
          <w:lang w:eastAsia="es-ES_tradnl"/>
        </w:rPr>
        <w:t>.</w:t>
      </w:r>
      <w:r w:rsidRPr="00163BF5">
        <w:rPr>
          <w:color w:val="000000" w:themeColor="text1"/>
          <w:lang w:eastAsia="es-ES_tradnl"/>
        </w:rPr>
        <w:t xml:space="preserve"> </w:t>
      </w:r>
    </w:p>
    <w:p w14:paraId="1CDCED70" w14:textId="7CC1DB53" w:rsidR="008F55C9" w:rsidRPr="00163BF5" w:rsidRDefault="0044597D" w:rsidP="008F55C9">
      <w:pPr>
        <w:spacing w:line="480" w:lineRule="auto"/>
        <w:ind w:firstLine="708"/>
        <w:jc w:val="both"/>
        <w:rPr>
          <w:color w:val="000000" w:themeColor="text1"/>
          <w:lang w:eastAsia="es-ES_tradnl"/>
        </w:rPr>
      </w:pPr>
      <w:r w:rsidRPr="00163BF5">
        <w:rPr>
          <w:color w:val="000000" w:themeColor="text1"/>
          <w:lang w:eastAsia="es-ES_tradnl"/>
        </w:rPr>
        <w:t>De acuerdo con</w:t>
      </w:r>
      <w:r w:rsidR="008F55C9" w:rsidRPr="00163BF5">
        <w:rPr>
          <w:color w:val="000000" w:themeColor="text1"/>
          <w:lang w:eastAsia="es-ES_tradnl"/>
        </w:rPr>
        <w:t xml:space="preserve"> lo señalado en los párrafos precedentes la Corte IDH ha mencionado que: </w:t>
      </w:r>
    </w:p>
    <w:p w14:paraId="628DA2CC" w14:textId="45F98F30" w:rsidR="008F55C9" w:rsidRPr="00163BF5" w:rsidRDefault="008F55C9" w:rsidP="008F55C9">
      <w:pPr>
        <w:ind w:left="1440"/>
        <w:jc w:val="both"/>
        <w:rPr>
          <w:color w:val="000000" w:themeColor="text1"/>
          <w:sz w:val="22"/>
          <w:szCs w:val="22"/>
          <w:lang w:eastAsia="es-ES_tradnl"/>
        </w:rPr>
      </w:pPr>
      <w:r w:rsidRPr="00163BF5">
        <w:rPr>
          <w:color w:val="000000" w:themeColor="text1"/>
          <w:sz w:val="22"/>
          <w:szCs w:val="22"/>
          <w:lang w:eastAsia="es-ES_tradnl"/>
        </w:rPr>
        <w:t>(…) la falta de respuesta estatal es un elemento determinante al valorar si se ha dado un incumplimiento del contenido de los artículos 8.1 y 25.1 de la Convención Americana, pues tiene relación directa con el principio de efectividad que debe irradiar el desarrollo de tales investigaciones. De tal forma el Estado al recibir una denuncia penal, debe realizar una investigación seria e imparcial, pero también debe brindar en un plazo razonable una resolución que resuelva el fondo de las circunstancias que le fueron planteadas</w:t>
      </w:r>
      <w:r w:rsidR="00872F05" w:rsidRPr="00163BF5">
        <w:rPr>
          <w:color w:val="000000" w:themeColor="text1"/>
          <w:sz w:val="22"/>
          <w:szCs w:val="22"/>
          <w:lang w:eastAsia="es-ES_tradnl"/>
        </w:rPr>
        <w:t xml:space="preserve">. </w:t>
      </w:r>
      <w:r w:rsidRPr="00163BF5">
        <w:rPr>
          <w:color w:val="000000" w:themeColor="text1"/>
          <w:sz w:val="22"/>
          <w:szCs w:val="22"/>
          <w:lang w:eastAsia="es-ES_tradnl"/>
        </w:rPr>
        <w:t xml:space="preserve">(Corte IDH, Caso García Prieto y otros Vs. El Salvador, 2007, párr. 115) </w:t>
      </w:r>
    </w:p>
    <w:p w14:paraId="6EAB6664" w14:textId="77777777" w:rsidR="008F55C9" w:rsidRPr="00163BF5" w:rsidRDefault="008F55C9" w:rsidP="008F55C9">
      <w:pPr>
        <w:spacing w:line="480" w:lineRule="auto"/>
        <w:ind w:firstLine="708"/>
        <w:jc w:val="both"/>
        <w:rPr>
          <w:color w:val="000000" w:themeColor="text1"/>
          <w:lang w:eastAsia="es-ES_tradnl"/>
        </w:rPr>
      </w:pPr>
    </w:p>
    <w:p w14:paraId="4083F4F4"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La Corte IDH considera que el cumplimiento de los artículos 8.1 y 25.1 de la CADH son vitales para el desarrollo de las investigaciones, dado que tiene estos dos artículos tienen relación directa con el principio de efectividad y la investigación de las vulneraciones de los derechos humanos. Este principio de efectividad está relacionado con el plazo razonable otorgado para la investigación y posteriormente resolución   del caso. </w:t>
      </w:r>
    </w:p>
    <w:p w14:paraId="2158FA67" w14:textId="3DAB91B0"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En </w:t>
      </w:r>
      <w:r w:rsidR="0044597D" w:rsidRPr="00163BF5">
        <w:rPr>
          <w:color w:val="000000" w:themeColor="text1"/>
          <w:lang w:eastAsia="es-ES_tradnl"/>
        </w:rPr>
        <w:t>lo referente</w:t>
      </w:r>
      <w:r w:rsidRPr="00163BF5">
        <w:rPr>
          <w:color w:val="000000" w:themeColor="text1"/>
          <w:lang w:eastAsia="es-ES_tradnl"/>
        </w:rPr>
        <w:t xml:space="preserve"> a las consideraciones que se deben tener en cuenta para determinar un plazo razonable, la Corte IDH ha establecido que: “es preciso tomar en cuenta tres elementos para determinar la razonabilidad del plazo en el que se desarrolla un proceso: a) complejidad del asunto, b) actividad procesal del interesado y c) conducta de las autoridades judiciales” (Corte IDH, Caso Ricardo </w:t>
      </w:r>
      <w:proofErr w:type="spellStart"/>
      <w:r w:rsidRPr="00163BF5">
        <w:rPr>
          <w:color w:val="000000" w:themeColor="text1"/>
          <w:lang w:eastAsia="es-ES_tradnl"/>
        </w:rPr>
        <w:t>Canese</w:t>
      </w:r>
      <w:proofErr w:type="spellEnd"/>
      <w:r w:rsidRPr="00163BF5">
        <w:rPr>
          <w:color w:val="000000" w:themeColor="text1"/>
          <w:lang w:eastAsia="es-ES_tradnl"/>
        </w:rPr>
        <w:t xml:space="preserve"> Vs. Paraguay, 2004, párr. 141). Es importante resaltar que estas consideraciones deben ser analizadas en el caso en concreto. </w:t>
      </w:r>
    </w:p>
    <w:p w14:paraId="6D8AF903"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Por último, la Corte IDH al realizar un análisis sobre el plazo razonable ha mencionado que: </w:t>
      </w:r>
    </w:p>
    <w:p w14:paraId="077FDFC1" w14:textId="47B39A5E" w:rsidR="008F55C9" w:rsidRPr="00163BF5" w:rsidRDefault="008F55C9" w:rsidP="008F55C9">
      <w:pPr>
        <w:ind w:left="1440"/>
        <w:jc w:val="both"/>
        <w:rPr>
          <w:color w:val="000000" w:themeColor="text1"/>
          <w:sz w:val="22"/>
          <w:szCs w:val="22"/>
          <w:lang w:eastAsia="es-ES_tradnl"/>
        </w:rPr>
      </w:pPr>
      <w:r w:rsidRPr="00163BF5">
        <w:rPr>
          <w:color w:val="000000" w:themeColor="text1"/>
          <w:sz w:val="22"/>
          <w:szCs w:val="22"/>
          <w:lang w:eastAsia="es-ES_tradnl"/>
        </w:rPr>
        <w:t>(…) se debe tomar en cuenta la afectación generada por la duración del procedimiento en la situación jurídica de la persona involucrada en el mismo, considerando, entre otros elementos, la materia objeto de controversia. Si el paso del tiempo incide de manera relevante en la situación jurídica del individuo, resultará necesario que el procedimiento corra con más diligencia a fin de que el caso se resuelva en un tiempo breve</w:t>
      </w:r>
      <w:r w:rsidR="00872F05" w:rsidRPr="00163BF5">
        <w:rPr>
          <w:color w:val="000000" w:themeColor="text1"/>
          <w:sz w:val="22"/>
          <w:szCs w:val="22"/>
          <w:lang w:eastAsia="es-ES_tradnl"/>
        </w:rPr>
        <w:t>.</w:t>
      </w:r>
      <w:r w:rsidRPr="00163BF5">
        <w:rPr>
          <w:color w:val="000000" w:themeColor="text1"/>
          <w:sz w:val="22"/>
          <w:szCs w:val="22"/>
          <w:lang w:eastAsia="es-ES_tradnl"/>
        </w:rPr>
        <w:t xml:space="preserve"> (Corte IDH, Caso Valle Jaramillo y otros Vs. Colombia, 2008, párr. 155) </w:t>
      </w:r>
    </w:p>
    <w:p w14:paraId="08BE2BD0" w14:textId="77777777" w:rsidR="00F92151" w:rsidRPr="00163BF5" w:rsidRDefault="00F92151" w:rsidP="008F55C9">
      <w:pPr>
        <w:ind w:left="1440"/>
        <w:jc w:val="both"/>
        <w:rPr>
          <w:color w:val="000000" w:themeColor="text1"/>
          <w:sz w:val="22"/>
          <w:szCs w:val="22"/>
          <w:lang w:eastAsia="es-ES_tradnl"/>
        </w:rPr>
      </w:pPr>
    </w:p>
    <w:p w14:paraId="3C58BFE0" w14:textId="5035ED27" w:rsidR="00A7013F" w:rsidRPr="00163BF5" w:rsidRDefault="008F55C9" w:rsidP="00872F05">
      <w:pPr>
        <w:spacing w:line="480" w:lineRule="auto"/>
        <w:ind w:firstLine="708"/>
        <w:jc w:val="both"/>
        <w:rPr>
          <w:color w:val="000000" w:themeColor="text1"/>
          <w:lang w:eastAsia="es-ES_tradnl"/>
        </w:rPr>
      </w:pPr>
      <w:r w:rsidRPr="00163BF5">
        <w:rPr>
          <w:color w:val="000000" w:themeColor="text1"/>
          <w:lang w:eastAsia="es-ES_tradnl"/>
        </w:rPr>
        <w:t xml:space="preserve">Por lo visto en la presente sección, la Corte Interamericana de Derechos Humanos le da suma importancia al plazo razonable y a la diligencia con la que deben actuar las autoridades estatales, además de señalar que, para determinar el plazo razonable, hay que analizar por caso concreto lo siguiente: 1) Complejidad del asunto/caso 2) actividad procesal del interesado 3) conducta de las autoridades judiciales. </w:t>
      </w:r>
    </w:p>
    <w:p w14:paraId="535E0718" w14:textId="77777777" w:rsidR="008F55C9" w:rsidRPr="00163BF5" w:rsidRDefault="008F55C9" w:rsidP="008F55C9">
      <w:pPr>
        <w:numPr>
          <w:ilvl w:val="0"/>
          <w:numId w:val="7"/>
        </w:numPr>
        <w:spacing w:line="480" w:lineRule="auto"/>
        <w:contextualSpacing/>
        <w:jc w:val="both"/>
        <w:rPr>
          <w:b/>
          <w:bCs/>
          <w:color w:val="000000" w:themeColor="text1"/>
          <w:lang w:eastAsia="es-ES_tradnl"/>
        </w:rPr>
      </w:pPr>
      <w:r w:rsidRPr="00163BF5">
        <w:rPr>
          <w:b/>
          <w:bCs/>
          <w:color w:val="000000" w:themeColor="text1"/>
          <w:lang w:eastAsia="es-ES_tradnl"/>
        </w:rPr>
        <w:t>La investigación debe ser propositiva</w:t>
      </w:r>
    </w:p>
    <w:p w14:paraId="59430FD7" w14:textId="0AB9FBC2"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Este elemento del estándar de oportunidad se centra en que la investigación no puede consistir en la mera expedición de informes. La violación a los derechos humanos debe exigir a que las autoridades a cargo de la investigación la realicen de manera oportuna y propositiva a fin de que los elementos probatorios no se vean mermados por el paso del tiempo y se pueda establecer la verdad</w:t>
      </w:r>
      <w:r w:rsidR="00872F05" w:rsidRPr="00163BF5">
        <w:rPr>
          <w:color w:val="000000" w:themeColor="text1"/>
          <w:lang w:eastAsia="es-ES_tradnl"/>
        </w:rPr>
        <w:t xml:space="preserve"> </w:t>
      </w:r>
      <w:sdt>
        <w:sdtPr>
          <w:rPr>
            <w:color w:val="000000" w:themeColor="text1"/>
            <w:lang w:eastAsia="es-ES_tradnl"/>
          </w:rPr>
          <w:id w:val="454458223"/>
          <w:citation/>
        </w:sdtPr>
        <w:sdtEndPr/>
        <w:sdtContent>
          <w:r w:rsidRPr="00163BF5">
            <w:rPr>
              <w:color w:val="000000" w:themeColor="text1"/>
              <w:lang w:eastAsia="es-ES_tradnl"/>
            </w:rPr>
            <w:fldChar w:fldCharType="begin"/>
          </w:r>
          <w:r w:rsidRPr="00163BF5">
            <w:rPr>
              <w:color w:val="000000" w:themeColor="text1"/>
              <w:lang w:eastAsia="es-ES_tradnl"/>
            </w:rPr>
            <w:instrText xml:space="preserve"> CITATION CEJ10 \l 12298 </w:instrText>
          </w:r>
          <w:r w:rsidRPr="00163BF5">
            <w:rPr>
              <w:color w:val="000000" w:themeColor="text1"/>
              <w:lang w:eastAsia="es-ES_tradnl"/>
            </w:rPr>
            <w:fldChar w:fldCharType="separate"/>
          </w:r>
          <w:r w:rsidR="00282214" w:rsidRPr="00163BF5">
            <w:rPr>
              <w:noProof/>
              <w:color w:val="000000" w:themeColor="text1"/>
              <w:lang w:eastAsia="es-ES_tradnl"/>
            </w:rPr>
            <w:t>(CEJIL, 2010)</w:t>
          </w:r>
          <w:r w:rsidRPr="00163BF5">
            <w:rPr>
              <w:color w:val="000000" w:themeColor="text1"/>
              <w:lang w:eastAsia="es-ES_tradnl"/>
            </w:rPr>
            <w:fldChar w:fldCharType="end"/>
          </w:r>
        </w:sdtContent>
      </w:sdt>
      <w:r w:rsidRPr="00163BF5">
        <w:rPr>
          <w:color w:val="000000" w:themeColor="text1"/>
          <w:lang w:eastAsia="es-ES_tradnl"/>
        </w:rPr>
        <w:t xml:space="preserve">. </w:t>
      </w:r>
    </w:p>
    <w:p w14:paraId="7CC38910"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En cuanto al impulso de la investigación por parte del Estado, la Corte Interamericana de Derechos Humanos </w:t>
      </w:r>
    </w:p>
    <w:p w14:paraId="402D58F2" w14:textId="7D4A932A" w:rsidR="008F55C9" w:rsidRPr="00163BF5" w:rsidRDefault="008F55C9" w:rsidP="00A7013F">
      <w:pPr>
        <w:ind w:left="1440"/>
        <w:jc w:val="both"/>
        <w:rPr>
          <w:color w:val="000000" w:themeColor="text1"/>
          <w:sz w:val="22"/>
          <w:szCs w:val="22"/>
          <w:lang w:eastAsia="es-ES_tradnl"/>
        </w:rPr>
      </w:pPr>
      <w:r w:rsidRPr="00163BF5">
        <w:rPr>
          <w:color w:val="000000" w:themeColor="text1"/>
          <w:sz w:val="22"/>
          <w:szCs w:val="22"/>
          <w:lang w:eastAsia="es-ES_tradnl"/>
        </w:rPr>
        <w:t xml:space="preserve">[…]  una de esas condiciones para garantizar efectivamente este derecho está constituida por el deber de investigar las afectaciones al mismo. De tal manera, en casos de ejecuciones extrajudiciales, desapariciones forzadas y otras graves violaciones a los derechos humanos, el Estado tiene el deber de iniciar ex </w:t>
      </w:r>
      <w:proofErr w:type="spellStart"/>
      <w:r w:rsidRPr="00163BF5">
        <w:rPr>
          <w:color w:val="000000" w:themeColor="text1"/>
          <w:sz w:val="22"/>
          <w:szCs w:val="22"/>
          <w:lang w:eastAsia="es-ES_tradnl"/>
        </w:rPr>
        <w:t>officio</w:t>
      </w:r>
      <w:proofErr w:type="spellEnd"/>
      <w:r w:rsidRPr="00163BF5">
        <w:rPr>
          <w:color w:val="000000" w:themeColor="text1"/>
          <w:sz w:val="22"/>
          <w:szCs w:val="22"/>
          <w:lang w:eastAsia="es-ES_tradnl"/>
        </w:rPr>
        <w:t xml:space="preserve"> y sin dilación, una investigación seria, imparcial y efectiva, que no se emprenda como una simple formalidad condenada de antemano a ser infructuosa. Esta investigación debe ser realizada por todos los medios legales disponibles y orientada a la determinación de la verdad y la investigación, persecución, captura, enjuiciamiento y castigo de todos los responsables intelectuales y materiales de los hechos, especialmente cuando están o puedan estar involucrados agentes estatales. (Corte IDH, Caso de la Masacre de Pueblo Bello Vs. Colombia, 2006, párr. 143) </w:t>
      </w:r>
    </w:p>
    <w:p w14:paraId="30FCBDC7" w14:textId="77777777" w:rsidR="00A7013F" w:rsidRPr="00163BF5" w:rsidRDefault="00A7013F" w:rsidP="00A7013F">
      <w:pPr>
        <w:ind w:left="1440"/>
        <w:jc w:val="both"/>
        <w:rPr>
          <w:color w:val="000000" w:themeColor="text1"/>
          <w:sz w:val="22"/>
          <w:szCs w:val="22"/>
          <w:lang w:eastAsia="es-ES_tradnl"/>
        </w:rPr>
      </w:pPr>
    </w:p>
    <w:p w14:paraId="26B9FF6D" w14:textId="77777777" w:rsidR="008F55C9" w:rsidRPr="00163BF5" w:rsidRDefault="008F55C9" w:rsidP="00A7013F">
      <w:pPr>
        <w:spacing w:line="480" w:lineRule="auto"/>
        <w:ind w:firstLine="708"/>
        <w:jc w:val="both"/>
        <w:rPr>
          <w:color w:val="000000" w:themeColor="text1"/>
          <w:lang w:eastAsia="es-ES_tradnl"/>
        </w:rPr>
      </w:pPr>
      <w:r w:rsidRPr="00163BF5">
        <w:rPr>
          <w:color w:val="000000" w:themeColor="text1"/>
          <w:lang w:eastAsia="es-ES_tradnl"/>
        </w:rPr>
        <w:t xml:space="preserve">La Corte IDH establece que el Estado tiene el deber de iniciar la investigación de oficio, esta investigación como se ha visto a lo largo del presente capítulo, debe ser seria, imparcial y efectiva: y no debe constituir una mera formalidad. Además, la misma Corte señala que la investigación debe ser realizada por todos los medios legales existentes y disponibles para la posterior captura y enjuiciamiento de los responsables </w:t>
      </w:r>
    </w:p>
    <w:p w14:paraId="4888C553" w14:textId="77777777" w:rsidR="008F55C9" w:rsidRPr="00163BF5" w:rsidRDefault="008F55C9" w:rsidP="008F55C9">
      <w:pPr>
        <w:spacing w:line="480" w:lineRule="auto"/>
        <w:jc w:val="both"/>
        <w:rPr>
          <w:color w:val="000000" w:themeColor="text1"/>
          <w:lang w:eastAsia="es-ES_tradnl"/>
        </w:rPr>
      </w:pPr>
      <w:r w:rsidRPr="00163BF5">
        <w:rPr>
          <w:color w:val="000000" w:themeColor="text1"/>
          <w:lang w:eastAsia="es-ES_tradnl"/>
        </w:rPr>
        <w:tab/>
        <w:t xml:space="preserve">En cuanto a si la investigación es una obligación de medio o resultado, la Corte IDH aclara que: </w:t>
      </w:r>
    </w:p>
    <w:p w14:paraId="1C0C13F3" w14:textId="7037353F" w:rsidR="008F55C9" w:rsidRPr="00163BF5" w:rsidRDefault="008F55C9" w:rsidP="001E72E1">
      <w:pPr>
        <w:ind w:left="1440" w:firstLine="25"/>
        <w:jc w:val="both"/>
        <w:rPr>
          <w:color w:val="000000" w:themeColor="text1"/>
          <w:sz w:val="22"/>
          <w:szCs w:val="22"/>
          <w:lang w:eastAsia="es-ES_tradnl"/>
        </w:rPr>
      </w:pPr>
      <w:r w:rsidRPr="00163BF5">
        <w:rPr>
          <w:color w:val="000000" w:themeColor="text1"/>
          <w:sz w:val="22"/>
          <w:szCs w:val="22"/>
          <w:lang w:eastAsia="es-ES_tradnl"/>
        </w:rPr>
        <w:t xml:space="preserve">[…] el deber de investigar es una obligación de medios, y no de resultados. Sin embargo, debe ser asumida por el Estado como un deber jurídico propio y no como una simple formalidad condenada de antemano a ser infructuosa. (Corte IDH, Caso Heliodoro Portugal Vs. Panamá, 2008, párr. 144) </w:t>
      </w:r>
    </w:p>
    <w:p w14:paraId="11029B8A" w14:textId="77777777" w:rsidR="0002203C" w:rsidRPr="00163BF5" w:rsidRDefault="0002203C" w:rsidP="0002203C">
      <w:pPr>
        <w:ind w:left="2124" w:firstLine="25"/>
        <w:jc w:val="both"/>
        <w:rPr>
          <w:color w:val="000000" w:themeColor="text1"/>
          <w:sz w:val="22"/>
          <w:szCs w:val="22"/>
          <w:lang w:eastAsia="es-ES_tradnl"/>
        </w:rPr>
      </w:pPr>
    </w:p>
    <w:p w14:paraId="1666044E"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Siendo una obligación de medio, que debe ser asumida como una obligación jurídica propia del Estado y no como una mera formalidad</w:t>
      </w:r>
    </w:p>
    <w:p w14:paraId="62BFF28F" w14:textId="2BAEE94A" w:rsidR="008F55C9" w:rsidRPr="00163BF5" w:rsidRDefault="008F55C9" w:rsidP="008F55C9">
      <w:pPr>
        <w:spacing w:line="480" w:lineRule="auto"/>
        <w:jc w:val="both"/>
        <w:rPr>
          <w:color w:val="000000" w:themeColor="text1"/>
          <w:lang w:eastAsia="es-ES_tradnl"/>
        </w:rPr>
      </w:pPr>
      <w:r w:rsidRPr="00163BF5">
        <w:rPr>
          <w:color w:val="000000" w:themeColor="text1"/>
          <w:lang w:eastAsia="es-ES_tradnl"/>
        </w:rPr>
        <w:tab/>
        <w:t>Por último, es pertinente señalar que la Corte IDH en el caso Albán Cornejo y otros Vs Ecuador señala que las investigaciones de violaciones a derechos humanos deben ser realizadas de oficio y no debe depender de la iniciativa procesal de las víctimas o sus familiares. (Corte IDH, Caso Albán Cornejo y otros Vs Ecuador, 2007)</w:t>
      </w:r>
    </w:p>
    <w:p w14:paraId="78C94A10" w14:textId="77777777" w:rsidR="008F55C9" w:rsidRPr="00163BF5" w:rsidRDefault="008F55C9" w:rsidP="009F304A">
      <w:pPr>
        <w:pStyle w:val="Ttulo4"/>
        <w:numPr>
          <w:ilvl w:val="2"/>
          <w:numId w:val="32"/>
        </w:numPr>
        <w:rPr>
          <w:rFonts w:ascii="Times New Roman" w:hAnsi="Times New Roman" w:cs="Times New Roman"/>
          <w:color w:val="000000" w:themeColor="text1"/>
        </w:rPr>
      </w:pPr>
      <w:bookmarkStart w:id="58" w:name="_Toc67513407"/>
      <w:r w:rsidRPr="00163BF5">
        <w:rPr>
          <w:rFonts w:ascii="Times New Roman" w:hAnsi="Times New Roman" w:cs="Times New Roman"/>
          <w:color w:val="000000" w:themeColor="text1"/>
        </w:rPr>
        <w:t>Estándar de competencia</w:t>
      </w:r>
      <w:bookmarkEnd w:id="58"/>
    </w:p>
    <w:p w14:paraId="5D2B3A27"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La Corte Interamericana de Derechos Humanos, a lo largo de su jurisprudencia en casos como </w:t>
      </w:r>
      <w:proofErr w:type="spellStart"/>
      <w:r w:rsidRPr="00163BF5">
        <w:rPr>
          <w:color w:val="000000" w:themeColor="text1"/>
          <w:lang w:eastAsia="es-ES_tradnl"/>
        </w:rPr>
        <w:t>Ximenes</w:t>
      </w:r>
      <w:proofErr w:type="spellEnd"/>
      <w:r w:rsidRPr="00163BF5">
        <w:rPr>
          <w:color w:val="000000" w:themeColor="text1"/>
          <w:lang w:eastAsia="es-ES_tradnl"/>
        </w:rPr>
        <w:t xml:space="preserve"> </w:t>
      </w:r>
      <w:proofErr w:type="spellStart"/>
      <w:r w:rsidRPr="00163BF5">
        <w:rPr>
          <w:color w:val="000000" w:themeColor="text1"/>
          <w:lang w:eastAsia="es-ES_tradnl"/>
        </w:rPr>
        <w:t>Lopes</w:t>
      </w:r>
      <w:proofErr w:type="spellEnd"/>
      <w:r w:rsidRPr="00163BF5">
        <w:rPr>
          <w:color w:val="000000" w:themeColor="text1"/>
          <w:lang w:eastAsia="es-ES_tradnl"/>
        </w:rPr>
        <w:t xml:space="preserve"> Vs Brasil, Baldeón García Vs. Perú, Masacre de Pueblo Bello Vs. Colombia, entre otros, ha expresado que la investigación debe ser realizada de la manera más rigurosa posible, por medio de profesionales competentes en la materia y utilizando métodos y procedimientos apropiados. </w:t>
      </w:r>
    </w:p>
    <w:p w14:paraId="5E62CB33" w14:textId="42B86FB4"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El Protocolo de Minnesota sobre la investigación de muertes potencialmente ilícitas establece que la investigación debe ser realizado por parte de un personal competente a fin de que use todos los métodos y recursos disponibles, además de señalar que debe existir coordinación y cooperación entre todos aquellos que son parte de la investigación (Protocolo de Minnesota, 2016)</w:t>
      </w:r>
      <w:r w:rsidR="00872F05" w:rsidRPr="00163BF5">
        <w:rPr>
          <w:color w:val="000000" w:themeColor="text1"/>
          <w:lang w:eastAsia="es-ES_tradnl"/>
        </w:rPr>
        <w:t>.</w:t>
      </w:r>
      <w:r w:rsidRPr="00163BF5">
        <w:rPr>
          <w:color w:val="000000" w:themeColor="text1"/>
          <w:lang w:eastAsia="es-ES_tradnl"/>
        </w:rPr>
        <w:t xml:space="preserve"> </w:t>
      </w:r>
    </w:p>
    <w:p w14:paraId="0F1A45FD"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En un sentido similar, el Protocolo de Estambul, en su literal B establece los objetivos de la investigación en casos de tortura y otros tratos crueles, inhumanos o degradantes son: </w:t>
      </w:r>
    </w:p>
    <w:p w14:paraId="7DFBA1F2" w14:textId="77777777" w:rsidR="008F55C9" w:rsidRPr="00163BF5" w:rsidRDefault="008F55C9" w:rsidP="008F55C9">
      <w:pPr>
        <w:ind w:left="1440"/>
        <w:jc w:val="both"/>
        <w:rPr>
          <w:color w:val="000000" w:themeColor="text1"/>
          <w:sz w:val="22"/>
          <w:szCs w:val="22"/>
          <w:lang w:eastAsia="es-ES_tradnl"/>
        </w:rPr>
      </w:pPr>
      <w:r w:rsidRPr="00163BF5">
        <w:rPr>
          <w:color w:val="000000" w:themeColor="text1"/>
          <w:sz w:val="22"/>
          <w:szCs w:val="22"/>
          <w:lang w:eastAsia="es-ES_tradnl"/>
        </w:rPr>
        <w:t xml:space="preserve">a) Aclarar los hechos y establecer y reconocer la responsabilidad de las personas o los Estados ante las víctimas y sus familias; </w:t>
      </w:r>
    </w:p>
    <w:p w14:paraId="3980B31B" w14:textId="77777777" w:rsidR="008F55C9" w:rsidRPr="00163BF5" w:rsidRDefault="008F55C9" w:rsidP="008F55C9">
      <w:pPr>
        <w:ind w:left="1440"/>
        <w:jc w:val="both"/>
        <w:rPr>
          <w:color w:val="000000" w:themeColor="text1"/>
          <w:sz w:val="22"/>
          <w:szCs w:val="22"/>
          <w:lang w:eastAsia="es-ES_tradnl"/>
        </w:rPr>
      </w:pPr>
      <w:r w:rsidRPr="00163BF5">
        <w:rPr>
          <w:color w:val="000000" w:themeColor="text1"/>
          <w:sz w:val="22"/>
          <w:szCs w:val="22"/>
          <w:lang w:eastAsia="es-ES_tradnl"/>
        </w:rPr>
        <w:t>b) Determinar las medidas necesarias para impedir que se repitan estos actos;</w:t>
      </w:r>
    </w:p>
    <w:p w14:paraId="1963E5C2" w14:textId="77777777" w:rsidR="008F55C9" w:rsidRPr="00163BF5" w:rsidRDefault="008F55C9" w:rsidP="008F55C9">
      <w:pPr>
        <w:ind w:left="1440" w:firstLine="60"/>
        <w:jc w:val="both"/>
        <w:rPr>
          <w:color w:val="000000" w:themeColor="text1"/>
          <w:sz w:val="22"/>
          <w:szCs w:val="22"/>
          <w:lang w:eastAsia="es-ES_tradnl"/>
        </w:rPr>
      </w:pPr>
      <w:r w:rsidRPr="00163BF5">
        <w:rPr>
          <w:color w:val="000000" w:themeColor="text1"/>
          <w:sz w:val="22"/>
          <w:szCs w:val="22"/>
          <w:lang w:eastAsia="es-ES_tradnl"/>
        </w:rPr>
        <w:t xml:space="preserve">c) Facilitar el procesamiento y, cuando corresponda, el castigo mediante sanciones disciplinarias de las personas cuya responsabilidad se haya determinado en la investigación, y demostrar la necesidad de que el Estado ofrezca plena reparación, incluida una indemnización financiera justa y adecuada, así como los medios para obtener atención médica y rehabilitación. (Protocolo de Estambul, párr. 78) </w:t>
      </w:r>
    </w:p>
    <w:p w14:paraId="2871F9E0" w14:textId="77777777" w:rsidR="008F55C9" w:rsidRPr="00163BF5" w:rsidRDefault="008F55C9" w:rsidP="008F55C9">
      <w:pPr>
        <w:spacing w:line="480" w:lineRule="auto"/>
        <w:ind w:firstLine="708"/>
        <w:jc w:val="both"/>
        <w:rPr>
          <w:color w:val="000000" w:themeColor="text1"/>
          <w:lang w:eastAsia="es-ES_tradnl"/>
        </w:rPr>
      </w:pPr>
    </w:p>
    <w:p w14:paraId="378BDB45"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El principio de competencia versa en quienes deben realizar la investigación deben ser autoridades estatales que utilicen todos los métodos y recursos legales disponibles para aclarar los hechos y de ser el caso reconocer la responsabilidad de la persona que vulnero los derechos humanos a la víctima o sus familiares. </w:t>
      </w:r>
    </w:p>
    <w:p w14:paraId="0B67B831" w14:textId="77777777" w:rsidR="008F55C9" w:rsidRPr="00163BF5" w:rsidRDefault="008F55C9" w:rsidP="009F304A">
      <w:pPr>
        <w:pStyle w:val="Ttulo4"/>
        <w:numPr>
          <w:ilvl w:val="2"/>
          <w:numId w:val="32"/>
        </w:numPr>
        <w:rPr>
          <w:rFonts w:ascii="Times New Roman" w:hAnsi="Times New Roman" w:cs="Times New Roman"/>
          <w:color w:val="000000" w:themeColor="text1"/>
        </w:rPr>
      </w:pPr>
      <w:bookmarkStart w:id="59" w:name="_Toc67513408"/>
      <w:r w:rsidRPr="00163BF5">
        <w:rPr>
          <w:rFonts w:ascii="Times New Roman" w:hAnsi="Times New Roman" w:cs="Times New Roman"/>
          <w:color w:val="000000" w:themeColor="text1"/>
        </w:rPr>
        <w:t>Estándar de independencia e imparcialidad de las autoridades a cargo de la investigación.</w:t>
      </w:r>
      <w:bookmarkEnd w:id="59"/>
      <w:r w:rsidRPr="00163BF5">
        <w:rPr>
          <w:rFonts w:ascii="Times New Roman" w:hAnsi="Times New Roman" w:cs="Times New Roman"/>
          <w:color w:val="000000" w:themeColor="text1"/>
        </w:rPr>
        <w:t xml:space="preserve"> </w:t>
      </w:r>
    </w:p>
    <w:p w14:paraId="2511E647" w14:textId="30A15A6A"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Dos de los principios principales que se deben llevar a cabo a largo de toda investigación y del proceso son</w:t>
      </w:r>
      <w:r w:rsidR="0025053C" w:rsidRPr="00163BF5">
        <w:rPr>
          <w:color w:val="000000" w:themeColor="text1"/>
          <w:lang w:eastAsia="es-ES_tradnl"/>
        </w:rPr>
        <w:t>:</w:t>
      </w:r>
      <w:r w:rsidRPr="00163BF5">
        <w:rPr>
          <w:color w:val="000000" w:themeColor="text1"/>
          <w:lang w:eastAsia="es-ES_tradnl"/>
        </w:rPr>
        <w:t xml:space="preserve"> los principios de independencia </w:t>
      </w:r>
      <w:r w:rsidR="0025053C" w:rsidRPr="00163BF5">
        <w:rPr>
          <w:color w:val="000000" w:themeColor="text1"/>
          <w:lang w:eastAsia="es-ES_tradnl"/>
        </w:rPr>
        <w:t xml:space="preserve">e </w:t>
      </w:r>
      <w:r w:rsidRPr="00163BF5">
        <w:rPr>
          <w:color w:val="000000" w:themeColor="text1"/>
          <w:lang w:eastAsia="es-ES_tradnl"/>
        </w:rPr>
        <w:t>imparcialidad. La imparcialidad es un principio que debe llevarse en todas las etapas del proceso, en especial lo que respecte a la investigación</w:t>
      </w:r>
      <w:r w:rsidR="00872F05" w:rsidRPr="00163BF5">
        <w:rPr>
          <w:color w:val="000000" w:themeColor="text1"/>
          <w:lang w:eastAsia="es-ES_tradnl"/>
        </w:rPr>
        <w:t xml:space="preserve"> </w:t>
      </w:r>
      <w:r w:rsidRPr="00163BF5">
        <w:rPr>
          <w:color w:val="000000" w:themeColor="text1"/>
          <w:lang w:eastAsia="es-ES_tradnl"/>
        </w:rPr>
        <w:t xml:space="preserve">(Corte IDH, Caso Cantoral Huamaní y García Santa Cruz Vs. Perú, 2007). </w:t>
      </w:r>
    </w:p>
    <w:p w14:paraId="3ABBE74B" w14:textId="39165865"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La debida diligencia en la investigación obliga a los estados a excluir a aquellos funcionarios que por indicios de su participación puedan haber estado relacionados con el ilícito</w:t>
      </w:r>
      <w:sdt>
        <w:sdtPr>
          <w:rPr>
            <w:color w:val="000000" w:themeColor="text1"/>
            <w:lang w:eastAsia="es-ES_tradnl"/>
          </w:rPr>
          <w:id w:val="-1240397544"/>
          <w:citation/>
        </w:sdtPr>
        <w:sdtEndPr/>
        <w:sdtContent>
          <w:r w:rsidRPr="00163BF5">
            <w:rPr>
              <w:color w:val="000000" w:themeColor="text1"/>
              <w:lang w:eastAsia="es-ES_tradnl"/>
            </w:rPr>
            <w:fldChar w:fldCharType="begin"/>
          </w:r>
          <w:r w:rsidRPr="00163BF5">
            <w:rPr>
              <w:color w:val="000000" w:themeColor="text1"/>
              <w:lang w:eastAsia="es-ES_tradnl"/>
            </w:rPr>
            <w:instrText xml:space="preserve"> CITATION CEJ10 \l 12298 </w:instrText>
          </w:r>
          <w:r w:rsidRPr="00163BF5">
            <w:rPr>
              <w:color w:val="000000" w:themeColor="text1"/>
              <w:lang w:eastAsia="es-ES_tradnl"/>
            </w:rPr>
            <w:fldChar w:fldCharType="separate"/>
          </w:r>
          <w:r w:rsidR="00282214" w:rsidRPr="00163BF5">
            <w:rPr>
              <w:noProof/>
              <w:color w:val="000000" w:themeColor="text1"/>
              <w:lang w:eastAsia="es-ES_tradnl"/>
            </w:rPr>
            <w:t xml:space="preserve"> (CEJIL, 2010)</w:t>
          </w:r>
          <w:r w:rsidRPr="00163BF5">
            <w:rPr>
              <w:color w:val="000000" w:themeColor="text1"/>
              <w:lang w:eastAsia="es-ES_tradnl"/>
            </w:rPr>
            <w:fldChar w:fldCharType="end"/>
          </w:r>
        </w:sdtContent>
      </w:sdt>
      <w:r w:rsidRPr="00163BF5">
        <w:rPr>
          <w:color w:val="000000" w:themeColor="text1"/>
          <w:lang w:eastAsia="es-ES_tradnl"/>
        </w:rPr>
        <w:t xml:space="preserve">. </w:t>
      </w:r>
    </w:p>
    <w:p w14:paraId="55A4F63F"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La Corte IDH se ha pronunciado mencionando que: </w:t>
      </w:r>
    </w:p>
    <w:p w14:paraId="53E2136C" w14:textId="64DF403F" w:rsidR="008F55C9" w:rsidRPr="00163BF5" w:rsidRDefault="008F55C9" w:rsidP="00A7013F">
      <w:pPr>
        <w:ind w:left="1440"/>
        <w:jc w:val="both"/>
        <w:rPr>
          <w:color w:val="000000" w:themeColor="text1"/>
          <w:sz w:val="22"/>
          <w:szCs w:val="22"/>
          <w:lang w:eastAsia="es-ES_tradnl"/>
        </w:rPr>
      </w:pPr>
      <w:r w:rsidRPr="00163BF5">
        <w:rPr>
          <w:color w:val="000000" w:themeColor="text1"/>
          <w:sz w:val="22"/>
          <w:szCs w:val="22"/>
          <w:lang w:eastAsia="es-ES_tradnl"/>
        </w:rPr>
        <w:t xml:space="preserve">La Corte considera que el derecho a ser juzgado por un juez o tribunal imparcial es una garantía fundamental del debido proceso. Es decir, se debe garantizar que el juez o tribunal en el ejercicio de su función como juzgador cuente con la mayor objetividad para enfrentar el juicio. Esto permite a su vez, que los tribunales inspiren la confianza necesaria a las partes en el caso, así como a los ciudadanos en una sociedad democrática. (Corte IDH, Caso Herrera Ulloa Vs. Costa Rica, 2004, párr. 171) </w:t>
      </w:r>
    </w:p>
    <w:p w14:paraId="63B0AEEA" w14:textId="77777777" w:rsidR="00A7013F" w:rsidRPr="00163BF5" w:rsidRDefault="00A7013F" w:rsidP="00A7013F">
      <w:pPr>
        <w:ind w:left="1440"/>
        <w:jc w:val="both"/>
        <w:rPr>
          <w:color w:val="000000" w:themeColor="text1"/>
          <w:sz w:val="22"/>
          <w:szCs w:val="22"/>
          <w:lang w:eastAsia="es-ES_tradnl"/>
        </w:rPr>
      </w:pPr>
    </w:p>
    <w:p w14:paraId="230FF5FF"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Siendo una garantía fundamental del debido proceso el derecho a ser juzgado por tribunal integrado por jueces y juezas independientes e imparciales, con la finalidad de que las decisiones de este tribunal cuenten con la objetividad necesaria en el caso. Además, si todo lo señalado anteriormente ocurre genera confianza en las partes involucradas en el caso y en la sociedad. </w:t>
      </w:r>
    </w:p>
    <w:p w14:paraId="365CF05C" w14:textId="6C9CE5CF" w:rsidR="008F55C9" w:rsidRPr="00163BF5" w:rsidRDefault="008F55C9" w:rsidP="008F55C9">
      <w:pPr>
        <w:spacing w:line="480" w:lineRule="auto"/>
        <w:jc w:val="both"/>
        <w:rPr>
          <w:color w:val="000000" w:themeColor="text1"/>
          <w:lang w:eastAsia="es-ES_tradnl"/>
        </w:rPr>
      </w:pPr>
      <w:r w:rsidRPr="00163BF5">
        <w:rPr>
          <w:color w:val="000000" w:themeColor="text1"/>
          <w:lang w:eastAsia="es-ES_tradnl"/>
        </w:rPr>
        <w:tab/>
        <w:t>El Tribunal Europeo de Derechos Humanos por su parte, se ha referido que lo relativo a la imparcialidad lleva consigo aspectos objetivos y subjetivos</w:t>
      </w:r>
      <w:r w:rsidR="00872F05" w:rsidRPr="00163BF5">
        <w:rPr>
          <w:color w:val="000000" w:themeColor="text1"/>
          <w:lang w:eastAsia="es-ES_tradnl"/>
        </w:rPr>
        <w:t xml:space="preserve">. </w:t>
      </w:r>
      <w:r w:rsidRPr="00163BF5">
        <w:rPr>
          <w:color w:val="000000" w:themeColor="text1"/>
          <w:lang w:eastAsia="es-ES_tradnl"/>
        </w:rPr>
        <w:t xml:space="preserve">(Corte Europea de Derechos Humanos, Pabla </w:t>
      </w:r>
      <w:proofErr w:type="spellStart"/>
      <w:r w:rsidRPr="00163BF5">
        <w:rPr>
          <w:color w:val="000000" w:themeColor="text1"/>
          <w:lang w:eastAsia="es-ES_tradnl"/>
        </w:rPr>
        <w:t>Ky</w:t>
      </w:r>
      <w:proofErr w:type="spellEnd"/>
      <w:r w:rsidRPr="00163BF5">
        <w:rPr>
          <w:color w:val="000000" w:themeColor="text1"/>
          <w:lang w:eastAsia="es-ES_tradnl"/>
        </w:rPr>
        <w:t xml:space="preserve"> Vs. Finlandia, 2004, párr. 27).</w:t>
      </w:r>
      <w:r w:rsidR="0025053C" w:rsidRPr="00163BF5">
        <w:rPr>
          <w:color w:val="000000" w:themeColor="text1"/>
          <w:lang w:eastAsia="es-ES_tradnl"/>
        </w:rPr>
        <w:t xml:space="preserve"> Al respecto</w:t>
      </w:r>
      <w:r w:rsidRPr="00163BF5">
        <w:rPr>
          <w:color w:val="000000" w:themeColor="text1"/>
          <w:lang w:eastAsia="es-ES_tradnl"/>
        </w:rPr>
        <w:t xml:space="preserve">, el tribunal “considera, por un lado, el Tribunal debe carecer de prejuicio personal (aspecto subjetivo), y por el otro, debe ofrecer garantías suficientes para que no haya duda legítima respecto a su imparcialidad” (CEJIL, 2010). </w:t>
      </w:r>
    </w:p>
    <w:p w14:paraId="267DC028" w14:textId="6F1D6F3C" w:rsidR="008F55C9" w:rsidRPr="00163BF5" w:rsidRDefault="008F55C9" w:rsidP="008F55C9">
      <w:pPr>
        <w:spacing w:line="480" w:lineRule="auto"/>
        <w:jc w:val="both"/>
        <w:rPr>
          <w:color w:val="000000" w:themeColor="text1"/>
          <w:lang w:eastAsia="es-ES_tradnl"/>
        </w:rPr>
      </w:pPr>
      <w:r w:rsidRPr="00163BF5">
        <w:rPr>
          <w:color w:val="000000" w:themeColor="text1"/>
          <w:lang w:eastAsia="es-ES_tradnl"/>
        </w:rPr>
        <w:t>A manera de conclusión</w:t>
      </w:r>
      <w:r w:rsidR="00A078BE" w:rsidRPr="00163BF5">
        <w:rPr>
          <w:color w:val="000000" w:themeColor="text1"/>
          <w:lang w:eastAsia="es-ES_tradnl"/>
        </w:rPr>
        <w:t>,</w:t>
      </w:r>
      <w:r w:rsidRPr="00163BF5">
        <w:rPr>
          <w:color w:val="000000" w:themeColor="text1"/>
          <w:lang w:eastAsia="es-ES_tradnl"/>
        </w:rPr>
        <w:t xml:space="preserve"> se puede establecer que ambos principios no son solo destinados a la investigación de los casos de las graves violaciones de derechos humanos donde las autoridades deben ser independientes e imparciales, más bien estos dos estándares/principios son llevados a cabo a lo largo de todo el proceso. Además, hay que establecer que este estándar no se limita solo a la etapa de juzgamiento, que si bien es la más importante no es la única en la cual el estándar de imparcialidad puede verse vulnerado, el caso Cantoral Huamaní y García Santa Cruz Vs. Perú como se observó al principio de esta sección establece que la imparcialidad debe darse también en la investigación. </w:t>
      </w:r>
    </w:p>
    <w:p w14:paraId="414183FD" w14:textId="77777777" w:rsidR="008F55C9" w:rsidRPr="00163BF5" w:rsidRDefault="008F55C9" w:rsidP="009F304A">
      <w:pPr>
        <w:pStyle w:val="Ttulo4"/>
        <w:numPr>
          <w:ilvl w:val="2"/>
          <w:numId w:val="32"/>
        </w:numPr>
        <w:rPr>
          <w:rFonts w:ascii="Times New Roman" w:hAnsi="Times New Roman" w:cs="Times New Roman"/>
          <w:color w:val="000000" w:themeColor="text1"/>
        </w:rPr>
      </w:pPr>
      <w:bookmarkStart w:id="60" w:name="_Toc67513409"/>
      <w:r w:rsidRPr="00163BF5">
        <w:rPr>
          <w:rFonts w:ascii="Times New Roman" w:hAnsi="Times New Roman" w:cs="Times New Roman"/>
          <w:color w:val="000000" w:themeColor="text1"/>
        </w:rPr>
        <w:t>Estándar de exhaustividad</w:t>
      </w:r>
      <w:bookmarkEnd w:id="60"/>
      <w:r w:rsidRPr="00163BF5">
        <w:rPr>
          <w:rFonts w:ascii="Times New Roman" w:hAnsi="Times New Roman" w:cs="Times New Roman"/>
          <w:color w:val="000000" w:themeColor="text1"/>
        </w:rPr>
        <w:t xml:space="preserve"> </w:t>
      </w:r>
    </w:p>
    <w:p w14:paraId="0971695D"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A lo largo de la jurisprudencia emitida por parte de la Corte IDH, esta ha considerado en reiteradas ocasiones que los derechos tutelados por la CADH al ser violentados exigen una investigación exhaustiva:  </w:t>
      </w:r>
    </w:p>
    <w:p w14:paraId="64B7364D" w14:textId="02EB6EAA" w:rsidR="008F55C9" w:rsidRPr="00163BF5" w:rsidRDefault="008F55C9" w:rsidP="00A7013F">
      <w:pPr>
        <w:ind w:left="1440"/>
        <w:jc w:val="both"/>
        <w:rPr>
          <w:color w:val="000000" w:themeColor="text1"/>
          <w:sz w:val="22"/>
          <w:szCs w:val="22"/>
          <w:lang w:eastAsia="es-ES_tradnl"/>
        </w:rPr>
      </w:pPr>
      <w:r w:rsidRPr="00163BF5">
        <w:rPr>
          <w:color w:val="000000" w:themeColor="text1"/>
          <w:sz w:val="22"/>
          <w:szCs w:val="22"/>
          <w:lang w:eastAsia="es-ES_tradnl"/>
        </w:rPr>
        <w:t>La investigación debe ser realizada por todos los medios legales disponibles y orientada a la determinación de la verdad y a la persecución, captura, enjuiciamiento y eventual castigo de todos los responsables intelectuales y materiales de los hechos, especialmente   están o puedan estar involucrados agentes estatales. (Corte IDH, Caso Heliodoro Portugal Vs. Panamá, 2008, párr. 144)</w:t>
      </w:r>
    </w:p>
    <w:p w14:paraId="1D011154" w14:textId="77777777" w:rsidR="001E72E1" w:rsidRPr="00163BF5" w:rsidRDefault="001E72E1" w:rsidP="00A7013F">
      <w:pPr>
        <w:ind w:left="1440"/>
        <w:jc w:val="both"/>
        <w:rPr>
          <w:color w:val="000000" w:themeColor="text1"/>
          <w:sz w:val="22"/>
          <w:szCs w:val="22"/>
          <w:lang w:eastAsia="es-ES_tradnl"/>
        </w:rPr>
      </w:pPr>
    </w:p>
    <w:p w14:paraId="63AB18E3" w14:textId="768862E4" w:rsidR="008F55C9" w:rsidRPr="00163BF5" w:rsidRDefault="00A078BE" w:rsidP="008F55C9">
      <w:pPr>
        <w:spacing w:line="480" w:lineRule="auto"/>
        <w:ind w:firstLine="708"/>
        <w:jc w:val="both"/>
        <w:rPr>
          <w:color w:val="000000" w:themeColor="text1"/>
          <w:lang w:eastAsia="es-ES_tradnl"/>
        </w:rPr>
      </w:pPr>
      <w:r w:rsidRPr="00163BF5">
        <w:rPr>
          <w:color w:val="000000" w:themeColor="text1"/>
          <w:lang w:eastAsia="es-ES_tradnl"/>
        </w:rPr>
        <w:t>El</w:t>
      </w:r>
      <w:r w:rsidR="008F55C9" w:rsidRPr="00163BF5">
        <w:rPr>
          <w:color w:val="000000" w:themeColor="text1"/>
          <w:lang w:eastAsia="es-ES_tradnl"/>
        </w:rPr>
        <w:t xml:space="preserve"> estándar de exhaustividad se basa en que la investigación debe </w:t>
      </w:r>
      <w:r w:rsidRPr="00163BF5">
        <w:rPr>
          <w:color w:val="000000" w:themeColor="text1"/>
          <w:lang w:eastAsia="es-ES_tradnl"/>
        </w:rPr>
        <w:t>realizarse</w:t>
      </w:r>
      <w:r w:rsidR="008F55C9" w:rsidRPr="00163BF5">
        <w:rPr>
          <w:color w:val="000000" w:themeColor="text1"/>
          <w:lang w:eastAsia="es-ES_tradnl"/>
        </w:rPr>
        <w:t xml:space="preserve"> por todos los medios posibles y que la misma busca la determinación de la verdad, para posteriormente capturar y juzgar a los responsables de la violación a los derechos humanos.</w:t>
      </w:r>
    </w:p>
    <w:p w14:paraId="35E6B267" w14:textId="77777777" w:rsidR="008F55C9" w:rsidRPr="00163BF5" w:rsidRDefault="008F55C9" w:rsidP="008F55C9">
      <w:pPr>
        <w:spacing w:line="480" w:lineRule="auto"/>
        <w:jc w:val="both"/>
        <w:rPr>
          <w:color w:val="000000" w:themeColor="text1"/>
          <w:lang w:eastAsia="es-ES_tradnl"/>
        </w:rPr>
      </w:pPr>
      <w:r w:rsidRPr="00163BF5">
        <w:rPr>
          <w:color w:val="000000" w:themeColor="text1"/>
          <w:sz w:val="28"/>
          <w:szCs w:val="28"/>
          <w:lang w:eastAsia="es-ES_tradnl"/>
        </w:rPr>
        <w:tab/>
        <w:t>E</w:t>
      </w:r>
      <w:r w:rsidRPr="00163BF5">
        <w:rPr>
          <w:color w:val="000000" w:themeColor="text1"/>
          <w:lang w:eastAsia="es-ES_tradnl"/>
        </w:rPr>
        <w:t xml:space="preserve">l Protocolo de Minnesota ha establecido que la investigación en casos de muertes potencialmente ilícitas debe realizarse de la siguiente manera: </w:t>
      </w:r>
    </w:p>
    <w:p w14:paraId="6E56EF82" w14:textId="77777777" w:rsidR="008F55C9" w:rsidRPr="00163BF5" w:rsidRDefault="008F55C9" w:rsidP="008F55C9">
      <w:pPr>
        <w:ind w:left="1440"/>
        <w:jc w:val="both"/>
        <w:rPr>
          <w:color w:val="000000" w:themeColor="text1"/>
          <w:sz w:val="22"/>
          <w:szCs w:val="22"/>
          <w:lang w:eastAsia="es-ES_tradnl"/>
        </w:rPr>
      </w:pPr>
      <w:r w:rsidRPr="00163BF5">
        <w:rPr>
          <w:color w:val="000000" w:themeColor="text1"/>
          <w:sz w:val="22"/>
          <w:szCs w:val="22"/>
          <w:lang w:eastAsia="es-ES_tradnl"/>
        </w:rPr>
        <w:t>a) identificar a la víctima;</w:t>
      </w:r>
    </w:p>
    <w:p w14:paraId="182F431E" w14:textId="77777777" w:rsidR="008F55C9" w:rsidRPr="00163BF5" w:rsidRDefault="008F55C9" w:rsidP="008F55C9">
      <w:pPr>
        <w:ind w:left="1440"/>
        <w:jc w:val="both"/>
        <w:rPr>
          <w:color w:val="000000" w:themeColor="text1"/>
          <w:sz w:val="22"/>
          <w:szCs w:val="22"/>
          <w:lang w:eastAsia="es-ES_tradnl"/>
        </w:rPr>
      </w:pPr>
      <w:r w:rsidRPr="00163BF5">
        <w:rPr>
          <w:color w:val="000000" w:themeColor="text1"/>
          <w:sz w:val="22"/>
          <w:szCs w:val="22"/>
          <w:lang w:eastAsia="es-ES_tradnl"/>
        </w:rPr>
        <w:t>b)  recuperar y conservar medios probatorios relacionados con la muerte para ayudar a todo posible enjuiciamiento de los responsables;</w:t>
      </w:r>
    </w:p>
    <w:p w14:paraId="682E9729" w14:textId="77777777" w:rsidR="008F55C9" w:rsidRPr="00163BF5" w:rsidRDefault="008F55C9" w:rsidP="008F55C9">
      <w:pPr>
        <w:ind w:left="1440"/>
        <w:jc w:val="both"/>
        <w:rPr>
          <w:color w:val="000000" w:themeColor="text1"/>
          <w:sz w:val="22"/>
          <w:szCs w:val="22"/>
          <w:lang w:eastAsia="es-ES_tradnl"/>
        </w:rPr>
      </w:pPr>
      <w:r w:rsidRPr="00163BF5">
        <w:rPr>
          <w:color w:val="000000" w:themeColor="text1"/>
          <w:sz w:val="22"/>
          <w:szCs w:val="22"/>
          <w:lang w:eastAsia="es-ES_tradnl"/>
        </w:rPr>
        <w:t>c)  identificar los testigos posibles y obtener declaraciones de ellos con respecto de la muerte;</w:t>
      </w:r>
    </w:p>
    <w:p w14:paraId="5E69E1C0" w14:textId="77777777" w:rsidR="008F55C9" w:rsidRPr="00163BF5" w:rsidRDefault="008F55C9" w:rsidP="008F55C9">
      <w:pPr>
        <w:ind w:left="1440"/>
        <w:jc w:val="both"/>
        <w:rPr>
          <w:color w:val="000000" w:themeColor="text1"/>
          <w:sz w:val="22"/>
          <w:szCs w:val="22"/>
          <w:lang w:eastAsia="es-ES_tradnl"/>
        </w:rPr>
      </w:pPr>
      <w:r w:rsidRPr="00163BF5">
        <w:rPr>
          <w:color w:val="000000" w:themeColor="text1"/>
          <w:sz w:val="22"/>
          <w:szCs w:val="22"/>
          <w:lang w:eastAsia="es-ES_tradnl"/>
        </w:rPr>
        <w:t>d) determinar la causa, la forma, la ubicación y la hora de la muerte, así como toda modalidad o práctica que pueda haber provocado la muerte;</w:t>
      </w:r>
    </w:p>
    <w:p w14:paraId="1F066522" w14:textId="77777777" w:rsidR="008F55C9" w:rsidRPr="00163BF5" w:rsidRDefault="008F55C9" w:rsidP="008F55C9">
      <w:pPr>
        <w:ind w:left="1440"/>
        <w:contextualSpacing/>
        <w:jc w:val="both"/>
        <w:rPr>
          <w:color w:val="000000" w:themeColor="text1"/>
          <w:sz w:val="22"/>
          <w:szCs w:val="22"/>
          <w:lang w:eastAsia="es-ES_tradnl"/>
        </w:rPr>
      </w:pPr>
      <w:r w:rsidRPr="00163BF5">
        <w:rPr>
          <w:color w:val="000000" w:themeColor="text1"/>
          <w:sz w:val="22"/>
          <w:szCs w:val="22"/>
          <w:lang w:eastAsia="es-ES_tradnl"/>
        </w:rPr>
        <w:t>e) distinguir entre muerte natural, muerte accidental, suicidio y homicidio;</w:t>
      </w:r>
    </w:p>
    <w:p w14:paraId="0732E1F9" w14:textId="5328F22B" w:rsidR="008F55C9" w:rsidRPr="00163BF5" w:rsidRDefault="008F55C9" w:rsidP="00A7013F">
      <w:pPr>
        <w:autoSpaceDE w:val="0"/>
        <w:autoSpaceDN w:val="0"/>
        <w:adjustRightInd w:val="0"/>
        <w:ind w:left="1440"/>
        <w:jc w:val="both"/>
        <w:rPr>
          <w:color w:val="000000" w:themeColor="text1"/>
          <w:sz w:val="22"/>
          <w:szCs w:val="22"/>
        </w:rPr>
      </w:pPr>
      <w:r w:rsidRPr="00163BF5">
        <w:rPr>
          <w:color w:val="000000" w:themeColor="text1"/>
          <w:sz w:val="22"/>
          <w:szCs w:val="22"/>
        </w:rPr>
        <w:t>f) identificar y aprehender a la persona o personas que hubieran participado en la ejecución;</w:t>
      </w:r>
    </w:p>
    <w:p w14:paraId="4613B9AA" w14:textId="5105BF00" w:rsidR="008F55C9" w:rsidRPr="00163BF5" w:rsidRDefault="008F55C9" w:rsidP="008F55C9">
      <w:pPr>
        <w:autoSpaceDE w:val="0"/>
        <w:autoSpaceDN w:val="0"/>
        <w:adjustRightInd w:val="0"/>
        <w:ind w:left="1440"/>
        <w:jc w:val="both"/>
        <w:rPr>
          <w:color w:val="000000" w:themeColor="text1"/>
          <w:sz w:val="22"/>
          <w:szCs w:val="22"/>
        </w:rPr>
      </w:pPr>
      <w:r w:rsidRPr="00163BF5">
        <w:rPr>
          <w:color w:val="000000" w:themeColor="text1"/>
          <w:sz w:val="22"/>
          <w:szCs w:val="22"/>
        </w:rPr>
        <w:t xml:space="preserve">g) someter al perpetrador o perpetradores sospechosos de haber cometido delito a un tribunal competente establecido por ley. (CEJIL, 2010, p. 32-33) </w:t>
      </w:r>
    </w:p>
    <w:p w14:paraId="7DC68F0A" w14:textId="77777777" w:rsidR="008F55C9" w:rsidRPr="00163BF5" w:rsidRDefault="008F55C9" w:rsidP="008F55C9">
      <w:pPr>
        <w:autoSpaceDE w:val="0"/>
        <w:autoSpaceDN w:val="0"/>
        <w:adjustRightInd w:val="0"/>
        <w:ind w:left="1440"/>
        <w:jc w:val="both"/>
        <w:rPr>
          <w:color w:val="000000" w:themeColor="text1"/>
          <w:sz w:val="22"/>
          <w:szCs w:val="22"/>
        </w:rPr>
      </w:pPr>
    </w:p>
    <w:p w14:paraId="456A5C22" w14:textId="77777777" w:rsidR="008F55C9" w:rsidRPr="00163BF5" w:rsidRDefault="008F55C9" w:rsidP="00A7013F">
      <w:pPr>
        <w:spacing w:line="480" w:lineRule="auto"/>
        <w:ind w:firstLine="708"/>
        <w:jc w:val="both"/>
        <w:rPr>
          <w:color w:val="000000" w:themeColor="text1"/>
        </w:rPr>
      </w:pPr>
      <w:r w:rsidRPr="00163BF5">
        <w:rPr>
          <w:color w:val="000000" w:themeColor="text1"/>
        </w:rPr>
        <w:t xml:space="preserve">Lo mencionado por parte de este protocolo de Minnesota ha sido adoptado en distintas sentencias de la Corte Interamericana de Derechos Humanos como: Caso </w:t>
      </w:r>
      <w:proofErr w:type="spellStart"/>
      <w:r w:rsidRPr="00163BF5">
        <w:rPr>
          <w:color w:val="000000" w:themeColor="text1"/>
        </w:rPr>
        <w:t>Tiu</w:t>
      </w:r>
      <w:proofErr w:type="spellEnd"/>
      <w:r w:rsidRPr="00163BF5">
        <w:rPr>
          <w:color w:val="000000" w:themeColor="text1"/>
        </w:rPr>
        <w:t xml:space="preserve"> </w:t>
      </w:r>
      <w:proofErr w:type="spellStart"/>
      <w:r w:rsidRPr="00163BF5">
        <w:rPr>
          <w:color w:val="000000" w:themeColor="text1"/>
        </w:rPr>
        <w:t>Tojín</w:t>
      </w:r>
      <w:proofErr w:type="spellEnd"/>
      <w:r w:rsidRPr="00163BF5">
        <w:rPr>
          <w:color w:val="000000" w:themeColor="text1"/>
        </w:rPr>
        <w:t xml:space="preserve"> Vs. Guatemala, Caso Juan Humberto Sánchez Vs. Honduras, Caso Myrna Mack Chang Vs. Guatemala, entre otros. </w:t>
      </w:r>
    </w:p>
    <w:p w14:paraId="1C5D549A" w14:textId="77777777" w:rsidR="008F55C9" w:rsidRPr="00163BF5" w:rsidRDefault="008F55C9" w:rsidP="009F304A">
      <w:pPr>
        <w:pStyle w:val="Ttulo4"/>
        <w:numPr>
          <w:ilvl w:val="2"/>
          <w:numId w:val="32"/>
        </w:numPr>
        <w:rPr>
          <w:rFonts w:ascii="Times New Roman" w:hAnsi="Times New Roman" w:cs="Times New Roman"/>
          <w:color w:val="000000" w:themeColor="text1"/>
        </w:rPr>
      </w:pPr>
      <w:bookmarkStart w:id="61" w:name="_Toc67513410"/>
      <w:r w:rsidRPr="00163BF5">
        <w:rPr>
          <w:rFonts w:ascii="Times New Roman" w:hAnsi="Times New Roman" w:cs="Times New Roman"/>
          <w:color w:val="000000" w:themeColor="text1"/>
        </w:rPr>
        <w:t>Estándar de participación de las víctimas y sus familiares</w:t>
      </w:r>
      <w:bookmarkEnd w:id="61"/>
      <w:r w:rsidRPr="00163BF5">
        <w:rPr>
          <w:rFonts w:ascii="Times New Roman" w:hAnsi="Times New Roman" w:cs="Times New Roman"/>
          <w:color w:val="000000" w:themeColor="text1"/>
        </w:rPr>
        <w:t xml:space="preserve"> </w:t>
      </w:r>
    </w:p>
    <w:p w14:paraId="43836007"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Como se ha mencionado a lo largo del presente capítulo, se reitera la obligación del Estado a realizar investigaciones que vulneren a los derechos reconocidos por parte de la CADH, respecto a esto la Corte se ha expresado de la siguiente manera: </w:t>
      </w:r>
    </w:p>
    <w:p w14:paraId="2207BC58" w14:textId="72288964" w:rsidR="008F55C9" w:rsidRPr="00163BF5" w:rsidRDefault="008F55C9" w:rsidP="008F55C9">
      <w:pPr>
        <w:ind w:left="1440"/>
        <w:jc w:val="both"/>
        <w:rPr>
          <w:color w:val="000000" w:themeColor="text1"/>
          <w:sz w:val="22"/>
          <w:szCs w:val="22"/>
          <w:lang w:eastAsia="es-ES_tradnl"/>
        </w:rPr>
      </w:pPr>
      <w:r w:rsidRPr="00163BF5">
        <w:rPr>
          <w:color w:val="000000" w:themeColor="text1"/>
          <w:sz w:val="22"/>
          <w:szCs w:val="22"/>
          <w:lang w:eastAsia="es-ES_tradnl"/>
        </w:rPr>
        <w:t>El Estado parte de la Convención Americana tiene el deber de investigar las violaciones de los derechos humanos y sancionar a los autores y a quienes encubran dichas violaciones. Y toda persona que se considere víctima de éstas o bien sus familiares tienen derecho de acceder a la justicia para conseguir que se cumpla, en su beneficio y en el del conjunto de la sociedad, ese deber del Estado</w:t>
      </w:r>
      <w:r w:rsidR="00872F05" w:rsidRPr="00163BF5">
        <w:rPr>
          <w:color w:val="000000" w:themeColor="text1"/>
          <w:sz w:val="22"/>
          <w:szCs w:val="22"/>
          <w:lang w:eastAsia="es-ES_tradnl"/>
        </w:rPr>
        <w:t xml:space="preserve">. </w:t>
      </w:r>
      <w:r w:rsidRPr="00163BF5">
        <w:rPr>
          <w:color w:val="000000" w:themeColor="text1"/>
          <w:sz w:val="22"/>
          <w:szCs w:val="22"/>
          <w:lang w:eastAsia="es-ES_tradnl"/>
        </w:rPr>
        <w:t xml:space="preserve">(Corte IDH, Caso Juan Humberto Sánchez Vs. Honduras, 2003, párr. 184) </w:t>
      </w:r>
    </w:p>
    <w:p w14:paraId="71D1EACA" w14:textId="77777777" w:rsidR="00A7013F" w:rsidRPr="00163BF5" w:rsidRDefault="00A7013F" w:rsidP="008F55C9">
      <w:pPr>
        <w:ind w:left="1440"/>
        <w:jc w:val="both"/>
        <w:rPr>
          <w:color w:val="000000" w:themeColor="text1"/>
          <w:sz w:val="22"/>
          <w:szCs w:val="22"/>
          <w:lang w:eastAsia="es-ES_tradnl"/>
        </w:rPr>
      </w:pPr>
    </w:p>
    <w:p w14:paraId="1DD1409B" w14:textId="1D293D8C" w:rsidR="008F55C9" w:rsidRPr="00163BF5" w:rsidRDefault="008F55C9" w:rsidP="008F55C9">
      <w:pPr>
        <w:ind w:firstLine="708"/>
        <w:jc w:val="both"/>
        <w:rPr>
          <w:color w:val="000000" w:themeColor="text1"/>
          <w:lang w:eastAsia="es-ES_tradnl"/>
        </w:rPr>
      </w:pPr>
      <w:r w:rsidRPr="00163BF5">
        <w:rPr>
          <w:color w:val="000000" w:themeColor="text1"/>
          <w:lang w:eastAsia="es-ES_tradnl"/>
        </w:rPr>
        <w:t xml:space="preserve">En el mismo sentido la Corte ha mencionado que: </w:t>
      </w:r>
    </w:p>
    <w:p w14:paraId="522AE891" w14:textId="77777777" w:rsidR="00A7013F" w:rsidRPr="00163BF5" w:rsidRDefault="00A7013F" w:rsidP="008F55C9">
      <w:pPr>
        <w:ind w:firstLine="708"/>
        <w:jc w:val="both"/>
        <w:rPr>
          <w:color w:val="000000" w:themeColor="text1"/>
          <w:lang w:eastAsia="es-ES_tradnl"/>
        </w:rPr>
      </w:pPr>
    </w:p>
    <w:p w14:paraId="7424B057" w14:textId="60ADBDFE" w:rsidR="008F55C9" w:rsidRPr="00163BF5" w:rsidRDefault="008F55C9" w:rsidP="00A7013F">
      <w:pPr>
        <w:ind w:left="1440"/>
        <w:jc w:val="both"/>
        <w:rPr>
          <w:color w:val="000000" w:themeColor="text1"/>
          <w:sz w:val="22"/>
          <w:szCs w:val="22"/>
          <w:lang w:eastAsia="es-ES_tradnl"/>
        </w:rPr>
      </w:pPr>
      <w:r w:rsidRPr="00163BF5">
        <w:rPr>
          <w:color w:val="000000" w:themeColor="text1"/>
          <w:sz w:val="22"/>
          <w:szCs w:val="22"/>
          <w:lang w:eastAsia="es-ES_tradnl"/>
        </w:rPr>
        <w:t xml:space="preserve">En lo que se refiere al ejercicio del derecho a las garantías judiciales consagrado en el artículo 8 de la Convención Americana, la Corte ha establecido, </w:t>
      </w:r>
      <w:r w:rsidRPr="00163BF5">
        <w:rPr>
          <w:i/>
          <w:iCs/>
          <w:color w:val="000000" w:themeColor="text1"/>
          <w:sz w:val="22"/>
          <w:szCs w:val="22"/>
          <w:lang w:eastAsia="es-ES_tradnl"/>
        </w:rPr>
        <w:t xml:space="preserve">inter </w:t>
      </w:r>
      <w:proofErr w:type="spellStart"/>
      <w:r w:rsidRPr="00163BF5">
        <w:rPr>
          <w:i/>
          <w:iCs/>
          <w:color w:val="000000" w:themeColor="text1"/>
          <w:sz w:val="22"/>
          <w:szCs w:val="22"/>
          <w:lang w:eastAsia="es-ES_tradnl"/>
        </w:rPr>
        <w:t>alia</w:t>
      </w:r>
      <w:proofErr w:type="spellEnd"/>
      <w:r w:rsidRPr="00163BF5">
        <w:rPr>
          <w:color w:val="000000" w:themeColor="text1"/>
          <w:sz w:val="22"/>
          <w:szCs w:val="22"/>
          <w:lang w:eastAsia="es-ES_tradnl"/>
        </w:rPr>
        <w:t xml:space="preserve">, que “es preciso que se observen todos los requisitos que sirvan para proteger, asegurar o hacer valer la titularidad o el ejercicio de un derecho, es decir, las condiciones que deben cumplirse para asegurar la adecuada representación o gestión de los intereses o las pretensiones de aquellos cuyos derechos u obligaciones estén bajo consideración judicial”. Asimismo, esta disposición de la Convención consagra el derecho de acceso a la justicia. De ella se desprende que los Estados no deben interponer obstáculos a las personas que acudan a los jueces o tribunales con el fin de que sus derechos sean determinados o protegidos. Cualquier norma o práctica del orden interno que dificulte el acceso de los individuos a los tribunales, y que no esté justificada por las razonables necesidades de la propia administración de justicia, debe entenderse contraria al precitado artículo 8.1 de la Convención. (Corte IDH, Caso </w:t>
      </w:r>
      <w:proofErr w:type="spellStart"/>
      <w:r w:rsidRPr="00163BF5">
        <w:rPr>
          <w:color w:val="000000" w:themeColor="text1"/>
          <w:sz w:val="22"/>
          <w:szCs w:val="22"/>
          <w:lang w:eastAsia="es-ES_tradnl"/>
        </w:rPr>
        <w:t>Tiu</w:t>
      </w:r>
      <w:proofErr w:type="spellEnd"/>
      <w:r w:rsidRPr="00163BF5">
        <w:rPr>
          <w:color w:val="000000" w:themeColor="text1"/>
          <w:sz w:val="22"/>
          <w:szCs w:val="22"/>
          <w:lang w:eastAsia="es-ES_tradnl"/>
        </w:rPr>
        <w:t xml:space="preserve"> </w:t>
      </w:r>
      <w:proofErr w:type="spellStart"/>
      <w:r w:rsidRPr="00163BF5">
        <w:rPr>
          <w:color w:val="000000" w:themeColor="text1"/>
          <w:sz w:val="22"/>
          <w:szCs w:val="22"/>
          <w:lang w:eastAsia="es-ES_tradnl"/>
        </w:rPr>
        <w:t>Tojín</w:t>
      </w:r>
      <w:proofErr w:type="spellEnd"/>
      <w:r w:rsidRPr="00163BF5">
        <w:rPr>
          <w:color w:val="000000" w:themeColor="text1"/>
          <w:sz w:val="22"/>
          <w:szCs w:val="22"/>
          <w:lang w:eastAsia="es-ES_tradnl"/>
        </w:rPr>
        <w:t xml:space="preserve"> Vs. Guatemala, 2008, párr. 95) </w:t>
      </w:r>
    </w:p>
    <w:p w14:paraId="045EA2C7" w14:textId="77777777" w:rsidR="00A7013F" w:rsidRPr="00163BF5" w:rsidRDefault="00A7013F" w:rsidP="00A7013F">
      <w:pPr>
        <w:ind w:left="1440"/>
        <w:jc w:val="both"/>
        <w:rPr>
          <w:color w:val="000000" w:themeColor="text1"/>
          <w:sz w:val="22"/>
          <w:szCs w:val="22"/>
          <w:lang w:eastAsia="es-ES_tradnl"/>
        </w:rPr>
      </w:pPr>
    </w:p>
    <w:p w14:paraId="3E8DF769"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En base a lo citado se puede establecer que la Convención Americana sobre Derechos Humanos consagra el derecho al acceso de la justicia, y que por ello los Estados no deben poner obstáculos para que las personas acudan a los tribunales, lo mencionado está relacionado con el deber de investigar que ostenta el Estado. </w:t>
      </w:r>
    </w:p>
    <w:p w14:paraId="67595015" w14:textId="77777777"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 xml:space="preserve">En lo relativo a la participación de los familiares la Corte IDH ha establecido que: “[…] el Estado debe asegurar que los familiares […]  tengan pleno acceso y capacidad de actuar en todas las etapas e instancias de dichas investigaciones y procesos, de acuerdo con la ley interna y las normas de la Convención Americana” (Corte IDH, Caso Heliodoro Portugal Vs. Panamá, 2008, párr. 247). </w:t>
      </w:r>
    </w:p>
    <w:p w14:paraId="686226C5" w14:textId="61955130" w:rsidR="008F55C9" w:rsidRPr="00163BF5" w:rsidRDefault="008F55C9" w:rsidP="008F55C9">
      <w:pPr>
        <w:spacing w:line="480" w:lineRule="auto"/>
        <w:ind w:firstLine="708"/>
        <w:jc w:val="both"/>
        <w:rPr>
          <w:color w:val="000000" w:themeColor="text1"/>
          <w:lang w:eastAsia="es-ES_tradnl"/>
        </w:rPr>
      </w:pPr>
      <w:r w:rsidRPr="00163BF5">
        <w:rPr>
          <w:color w:val="000000" w:themeColor="text1"/>
          <w:lang w:eastAsia="es-ES_tradnl"/>
        </w:rPr>
        <w:t>Es importante destacar que la Corte IDH ha establecido que los Estados deben “regular</w:t>
      </w:r>
      <w:r w:rsidRPr="00163BF5">
        <w:rPr>
          <w:i/>
          <w:iCs/>
          <w:color w:val="000000" w:themeColor="text1"/>
          <w:lang w:eastAsia="es-ES_tradnl"/>
        </w:rPr>
        <w:t xml:space="preserve"> </w:t>
      </w:r>
      <w:r w:rsidRPr="00163BF5">
        <w:rPr>
          <w:color w:val="000000" w:themeColor="text1"/>
          <w:lang w:eastAsia="es-ES_tradnl"/>
        </w:rPr>
        <w:t>[…] las normas que permitan que los ofendidos o perjudicados denuncien o ejerzan la acción penal y, en su caso, participen en la investigación y en el proceso” (Corte IDH, Caso Ríos y otros Vs. Venezuela, 2009, párr. 284)</w:t>
      </w:r>
      <w:r w:rsidR="00872F05" w:rsidRPr="00163BF5">
        <w:rPr>
          <w:color w:val="000000" w:themeColor="text1"/>
          <w:lang w:eastAsia="es-ES_tradnl"/>
        </w:rPr>
        <w:t>.</w:t>
      </w:r>
    </w:p>
    <w:p w14:paraId="17D8E52F" w14:textId="3112E68A" w:rsidR="008F55C9" w:rsidRPr="00163BF5" w:rsidRDefault="008F55C9" w:rsidP="00992B65">
      <w:pPr>
        <w:spacing w:line="480" w:lineRule="auto"/>
        <w:ind w:firstLine="708"/>
        <w:jc w:val="both"/>
        <w:rPr>
          <w:color w:val="000000" w:themeColor="text1"/>
          <w:lang w:eastAsia="es-ES_tradnl"/>
        </w:rPr>
      </w:pPr>
      <w:r w:rsidRPr="00163BF5">
        <w:rPr>
          <w:color w:val="000000" w:themeColor="text1"/>
          <w:lang w:eastAsia="es-ES_tradnl"/>
        </w:rPr>
        <w:t>Ante todo</w:t>
      </w:r>
      <w:r w:rsidR="00A078BE" w:rsidRPr="00163BF5">
        <w:rPr>
          <w:color w:val="000000" w:themeColor="text1"/>
          <w:lang w:eastAsia="es-ES_tradnl"/>
        </w:rPr>
        <w:t xml:space="preserve"> </w:t>
      </w:r>
      <w:r w:rsidRPr="00163BF5">
        <w:rPr>
          <w:color w:val="000000" w:themeColor="text1"/>
          <w:lang w:eastAsia="es-ES_tradnl"/>
        </w:rPr>
        <w:t xml:space="preserve">lo señalado, hay que aclarar que esta participación de la víctima o de sus familiares en el caso, no exime al Estado de su obligación de iniciar de oficio una investigación en el momento en que llega a conocer de la vulneración a los derechos humanos. Además, que el Estado debe proporcionar a la víctima y sus familiares normas para que estos puedan participar en la investigación y en el proceso. </w:t>
      </w:r>
    </w:p>
    <w:p w14:paraId="7CF031D1" w14:textId="7F3B862C" w:rsidR="00AE14F4" w:rsidRPr="00163BF5" w:rsidRDefault="00AE14F4" w:rsidP="009F304A">
      <w:pPr>
        <w:pStyle w:val="Ttulo3"/>
        <w:numPr>
          <w:ilvl w:val="1"/>
          <w:numId w:val="32"/>
        </w:numPr>
        <w:rPr>
          <w:rFonts w:eastAsia="Times New Roman"/>
        </w:rPr>
      </w:pPr>
      <w:bookmarkStart w:id="62" w:name="_Toc67513411"/>
      <w:r w:rsidRPr="00163BF5">
        <w:rPr>
          <w:rFonts w:eastAsia="Times New Roman"/>
        </w:rPr>
        <w:t xml:space="preserve">La Ley Orgánica de Actuación en Casos de Personas Desaparecidas y Extraviadas y </w:t>
      </w:r>
      <w:r w:rsidR="008F55C9" w:rsidRPr="00163BF5">
        <w:rPr>
          <w:rFonts w:eastAsia="Times New Roman"/>
        </w:rPr>
        <w:t>el estándar</w:t>
      </w:r>
      <w:r w:rsidRPr="00163BF5">
        <w:rPr>
          <w:rFonts w:eastAsia="Times New Roman"/>
        </w:rPr>
        <w:t xml:space="preserve"> de Debida Diligencia</w:t>
      </w:r>
      <w:bookmarkEnd w:id="62"/>
      <w:r w:rsidRPr="00163BF5">
        <w:rPr>
          <w:rFonts w:eastAsia="Times New Roman"/>
        </w:rPr>
        <w:tab/>
      </w:r>
    </w:p>
    <w:p w14:paraId="25B421FA" w14:textId="77777777" w:rsidR="00AE14F4" w:rsidRPr="00163BF5" w:rsidRDefault="00AE14F4" w:rsidP="00AE14F4">
      <w:pPr>
        <w:spacing w:line="480" w:lineRule="auto"/>
        <w:ind w:firstLine="644"/>
        <w:jc w:val="both"/>
        <w:rPr>
          <w:color w:val="000000" w:themeColor="text1"/>
          <w:lang w:eastAsia="es-ES_tradnl"/>
        </w:rPr>
      </w:pPr>
      <w:r w:rsidRPr="00163BF5">
        <w:rPr>
          <w:color w:val="000000" w:themeColor="text1"/>
          <w:lang w:eastAsia="es-ES_tradnl"/>
        </w:rPr>
        <w:t xml:space="preserve">La parte central de la presente investigación consiste en analizar si los estándares de debida diligencia emitidos por parte de la Corte Interamericana de Derechos Humanos se encuentran correctamente plasmados en la Ley Orgánica de Actuación en Casos de Personas Desaparecidas y Extraviadas. Para ello en la presente sección se va a analizar en un primer lugar los antecedentes de dicha ley y finalmente, el análisis de cada estándar de debida diligencia en la ley. </w:t>
      </w:r>
    </w:p>
    <w:p w14:paraId="0A8841D3" w14:textId="0766834B" w:rsidR="00AE14F4" w:rsidRPr="00163BF5" w:rsidRDefault="00AE14F4" w:rsidP="009F304A">
      <w:pPr>
        <w:pStyle w:val="Ttulo4"/>
        <w:numPr>
          <w:ilvl w:val="2"/>
          <w:numId w:val="32"/>
        </w:numPr>
        <w:rPr>
          <w:rFonts w:ascii="Times New Roman" w:hAnsi="Times New Roman" w:cs="Times New Roman"/>
          <w:color w:val="000000" w:themeColor="text1"/>
        </w:rPr>
      </w:pPr>
      <w:bookmarkStart w:id="63" w:name="_Toc67513412"/>
      <w:r w:rsidRPr="00163BF5">
        <w:rPr>
          <w:rFonts w:ascii="Times New Roman" w:hAnsi="Times New Roman" w:cs="Times New Roman"/>
          <w:color w:val="000000" w:themeColor="text1"/>
        </w:rPr>
        <w:t>Antecedentes de la Ley Orgánica de Actuación en Casos de Personas Desaparecidas y Extraviadas.</w:t>
      </w:r>
      <w:bookmarkEnd w:id="63"/>
      <w:r w:rsidRPr="00163BF5">
        <w:rPr>
          <w:rFonts w:ascii="Times New Roman" w:hAnsi="Times New Roman" w:cs="Times New Roman"/>
          <w:color w:val="000000" w:themeColor="text1"/>
        </w:rPr>
        <w:t xml:space="preserve"> </w:t>
      </w:r>
    </w:p>
    <w:p w14:paraId="2851F280" w14:textId="35DCC008"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En los últimos años del siglo XX en Ecuador ocurrieron gran número de desapariciones forzadas y ejecuciones extrajudiciales por parte del Estado con el fin de contrarrestar movimientos políticos contrarios al régimen</w:t>
      </w:r>
      <w:r w:rsidR="00872F05" w:rsidRPr="00163BF5">
        <w:rPr>
          <w:color w:val="000000" w:themeColor="text1"/>
          <w:lang w:eastAsia="es-ES_tradnl"/>
        </w:rPr>
        <w:t xml:space="preserve"> </w:t>
      </w:r>
      <w:sdt>
        <w:sdtPr>
          <w:rPr>
            <w:color w:val="000000" w:themeColor="text1"/>
            <w:lang w:eastAsia="es-ES_tradnl"/>
          </w:rPr>
          <w:id w:val="-1136724107"/>
          <w:citation/>
        </w:sdtPr>
        <w:sdtEndPr/>
        <w:sdtContent>
          <w:r w:rsidRPr="00163BF5">
            <w:rPr>
              <w:color w:val="000000" w:themeColor="text1"/>
              <w:lang w:eastAsia="es-ES_tradnl"/>
            </w:rPr>
            <w:fldChar w:fldCharType="begin"/>
          </w:r>
          <w:r w:rsidRPr="00163BF5">
            <w:rPr>
              <w:color w:val="000000" w:themeColor="text1"/>
              <w:lang w:eastAsia="es-ES_tradnl"/>
            </w:rPr>
            <w:instrText xml:space="preserve"> CITATION INR18 \l 12298 </w:instrText>
          </w:r>
          <w:r w:rsidRPr="00163BF5">
            <w:rPr>
              <w:color w:val="000000" w:themeColor="text1"/>
              <w:lang w:eastAsia="es-ES_tradnl"/>
            </w:rPr>
            <w:fldChar w:fldCharType="separate"/>
          </w:r>
          <w:r w:rsidR="00282214" w:rsidRPr="00163BF5">
            <w:rPr>
              <w:noProof/>
              <w:color w:val="000000" w:themeColor="text1"/>
              <w:lang w:eastAsia="es-ES_tradnl"/>
            </w:rPr>
            <w:t>(INREDH, 2018)</w:t>
          </w:r>
          <w:r w:rsidRPr="00163BF5">
            <w:rPr>
              <w:color w:val="000000" w:themeColor="text1"/>
              <w:lang w:eastAsia="es-ES_tradnl"/>
            </w:rPr>
            <w:fldChar w:fldCharType="end"/>
          </w:r>
        </w:sdtContent>
      </w:sdt>
      <w:r w:rsidR="00872F05" w:rsidRPr="00163BF5">
        <w:rPr>
          <w:color w:val="000000" w:themeColor="text1"/>
          <w:lang w:eastAsia="es-ES_tradnl"/>
        </w:rPr>
        <w:t>.</w:t>
      </w:r>
    </w:p>
    <w:p w14:paraId="6AD0F0D7" w14:textId="04DA3E35"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Un ejemplo de ello es que, en 1984, por parte de la Fuerza Pública se crea el Servicio de Investigación Criminal-10 (SIC), una dependencia policial que actuaba de manera clandestina con el fin de disolver y aniquilar a los miembros de Alfaro Vive Carajo y otras organizaciones militares y políticas que estaban en auge en dichos años</w:t>
      </w:r>
      <w:sdt>
        <w:sdtPr>
          <w:rPr>
            <w:color w:val="000000" w:themeColor="text1"/>
            <w:lang w:eastAsia="es-ES_tradnl"/>
          </w:rPr>
          <w:id w:val="110717751"/>
          <w:citation/>
        </w:sdtPr>
        <w:sdtEndPr/>
        <w:sdtContent>
          <w:r w:rsidRPr="00163BF5">
            <w:rPr>
              <w:color w:val="000000" w:themeColor="text1"/>
              <w:lang w:eastAsia="es-ES_tradnl"/>
            </w:rPr>
            <w:fldChar w:fldCharType="begin"/>
          </w:r>
          <w:r w:rsidRPr="00163BF5">
            <w:rPr>
              <w:color w:val="000000" w:themeColor="text1"/>
              <w:lang w:eastAsia="es-ES_tradnl"/>
            </w:rPr>
            <w:instrText xml:space="preserve"> CITATION ElT11 \l 12298 </w:instrText>
          </w:r>
          <w:r w:rsidRPr="00163BF5">
            <w:rPr>
              <w:color w:val="000000" w:themeColor="text1"/>
              <w:lang w:eastAsia="es-ES_tradnl"/>
            </w:rPr>
            <w:fldChar w:fldCharType="separate"/>
          </w:r>
          <w:r w:rsidR="00282214" w:rsidRPr="00163BF5">
            <w:rPr>
              <w:noProof/>
              <w:color w:val="000000" w:themeColor="text1"/>
              <w:lang w:eastAsia="es-ES_tradnl"/>
            </w:rPr>
            <w:t xml:space="preserve"> (El Telégrafo, 2011)</w:t>
          </w:r>
          <w:r w:rsidRPr="00163BF5">
            <w:rPr>
              <w:color w:val="000000" w:themeColor="text1"/>
              <w:lang w:eastAsia="es-ES_tradnl"/>
            </w:rPr>
            <w:fldChar w:fldCharType="end"/>
          </w:r>
        </w:sdtContent>
      </w:sdt>
      <w:r w:rsidR="00872F05" w:rsidRPr="00163BF5">
        <w:rPr>
          <w:color w:val="000000" w:themeColor="text1"/>
          <w:lang w:eastAsia="es-ES_tradnl"/>
        </w:rPr>
        <w:t>.</w:t>
      </w:r>
    </w:p>
    <w:p w14:paraId="6CB447DD" w14:textId="0A27F686" w:rsidR="00AE14F4" w:rsidRPr="00163BF5" w:rsidRDefault="00A078BE" w:rsidP="00AE14F4">
      <w:pPr>
        <w:spacing w:line="480" w:lineRule="auto"/>
        <w:ind w:firstLine="708"/>
        <w:jc w:val="both"/>
        <w:rPr>
          <w:color w:val="000000" w:themeColor="text1"/>
          <w:lang w:eastAsia="es-ES_tradnl"/>
        </w:rPr>
      </w:pPr>
      <w:r w:rsidRPr="00163BF5">
        <w:rPr>
          <w:color w:val="000000" w:themeColor="text1"/>
          <w:lang w:eastAsia="es-ES_tradnl"/>
        </w:rPr>
        <w:t>Como es referenciado en prensa, en</w:t>
      </w:r>
      <w:r w:rsidR="00AE14F4" w:rsidRPr="00163BF5">
        <w:rPr>
          <w:color w:val="000000" w:themeColor="text1"/>
          <w:lang w:eastAsia="es-ES_tradnl"/>
        </w:rPr>
        <w:t xml:space="preserve"> esta época de la historia nacional ocurrieron graves violaciones a los derechos humanos y en especial se cometieron un gran número de desapariciones forzadas de personas. </w:t>
      </w:r>
    </w:p>
    <w:p w14:paraId="5B35C885" w14:textId="320D2606"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Hay que mencionar que estas graves violaciones no se restringen solamente solo a esos años, por parte de la Comisión de la Verdad del Ecuador en el año 2010 se realizó un informe que señala que desde el año 1988 hasta el 2010 se registraron 456 víctimas de graves violaciones de Derechos Humanos; además que ninguno de los responsables de estas vulneraciones a los derechos humanos ha sido condenado </w:t>
      </w:r>
      <w:sdt>
        <w:sdtPr>
          <w:rPr>
            <w:color w:val="000000" w:themeColor="text1"/>
            <w:lang w:eastAsia="es-ES_tradnl"/>
          </w:rPr>
          <w:id w:val="-733163374"/>
          <w:citation/>
        </w:sdtPr>
        <w:sdtEndPr/>
        <w:sdtContent>
          <w:r w:rsidRPr="00163BF5">
            <w:rPr>
              <w:color w:val="000000" w:themeColor="text1"/>
              <w:lang w:eastAsia="es-ES_tradnl"/>
            </w:rPr>
            <w:fldChar w:fldCharType="begin"/>
          </w:r>
          <w:r w:rsidRPr="00163BF5">
            <w:rPr>
              <w:color w:val="000000" w:themeColor="text1"/>
              <w:lang w:eastAsia="es-ES_tradnl"/>
            </w:rPr>
            <w:instrText xml:space="preserve"> CITATION Com10 \l 12298 </w:instrText>
          </w:r>
          <w:r w:rsidRPr="00163BF5">
            <w:rPr>
              <w:color w:val="000000" w:themeColor="text1"/>
              <w:lang w:eastAsia="es-ES_tradnl"/>
            </w:rPr>
            <w:fldChar w:fldCharType="separate"/>
          </w:r>
          <w:r w:rsidR="00282214" w:rsidRPr="00163BF5">
            <w:rPr>
              <w:noProof/>
              <w:color w:val="000000" w:themeColor="text1"/>
              <w:lang w:eastAsia="es-ES_tradnl"/>
            </w:rPr>
            <w:t>(Comisión de la Verdad, 2010)</w:t>
          </w:r>
          <w:r w:rsidRPr="00163BF5">
            <w:rPr>
              <w:color w:val="000000" w:themeColor="text1"/>
              <w:lang w:eastAsia="es-ES_tradnl"/>
            </w:rPr>
            <w:fldChar w:fldCharType="end"/>
          </w:r>
        </w:sdtContent>
      </w:sdt>
      <w:r w:rsidR="00872F05" w:rsidRPr="00163BF5">
        <w:rPr>
          <w:color w:val="000000" w:themeColor="text1"/>
          <w:lang w:eastAsia="es-ES_tradnl"/>
        </w:rPr>
        <w:t>.</w:t>
      </w:r>
    </w:p>
    <w:p w14:paraId="395A6B10" w14:textId="7777777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En los últimos, además de la desaparición forzada se ha ido efectuando desapariciones involuntarias; como se observó en capítulos anteriores realizadas por parte de particulares. </w:t>
      </w:r>
    </w:p>
    <w:p w14:paraId="5CCA08FF" w14:textId="3D787332"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En cuanto a los datos otorgados por parte de Fiscalía General del Estado, esta menciona que años anteriores al 2013 se registraron 451 casos de desaparición, posteriormente en  2014 se registraron 10.235 personas desaparecidas, el año siguiente se registraron 10.772 personas, en los años 2016 y 2017 se registraron 10.458 y 10.893 personas desaparecidas respectivamente, en cuanto a años precedentes al 2013, esta misma entidad estatal informa  que existieron solamente 144 casos de personas desaparecidas </w:t>
      </w:r>
      <w:sdt>
        <w:sdtPr>
          <w:rPr>
            <w:color w:val="000000" w:themeColor="text1"/>
            <w:lang w:eastAsia="es-ES_tradnl"/>
          </w:rPr>
          <w:id w:val="-1112817178"/>
          <w:citation/>
        </w:sdtPr>
        <w:sdtEndPr/>
        <w:sdtContent>
          <w:r w:rsidR="00D71391" w:rsidRPr="00163BF5">
            <w:rPr>
              <w:color w:val="000000" w:themeColor="text1"/>
              <w:lang w:eastAsia="es-ES_tradnl"/>
            </w:rPr>
            <w:fldChar w:fldCharType="begin"/>
          </w:r>
          <w:r w:rsidR="00D71391" w:rsidRPr="00163BF5">
            <w:rPr>
              <w:color w:val="000000" w:themeColor="text1"/>
              <w:lang w:val="es-ES" w:eastAsia="es-ES_tradnl"/>
            </w:rPr>
            <w:instrText xml:space="preserve"> CITATION Fis \l 3082 </w:instrText>
          </w:r>
          <w:r w:rsidR="00D71391" w:rsidRPr="00163BF5">
            <w:rPr>
              <w:color w:val="000000" w:themeColor="text1"/>
              <w:lang w:eastAsia="es-ES_tradnl"/>
            </w:rPr>
            <w:fldChar w:fldCharType="separate"/>
          </w:r>
          <w:r w:rsidR="00282214" w:rsidRPr="00163BF5">
            <w:rPr>
              <w:noProof/>
              <w:color w:val="000000" w:themeColor="text1"/>
              <w:lang w:val="es-ES" w:eastAsia="es-ES_tradnl"/>
            </w:rPr>
            <w:t>(Fiscalía General del Estado, 2018)</w:t>
          </w:r>
          <w:r w:rsidR="00D71391" w:rsidRPr="00163BF5">
            <w:rPr>
              <w:color w:val="000000" w:themeColor="text1"/>
              <w:lang w:eastAsia="es-ES_tradnl"/>
            </w:rPr>
            <w:fldChar w:fldCharType="end"/>
          </w:r>
        </w:sdtContent>
      </w:sdt>
      <w:r w:rsidR="00872F05" w:rsidRPr="00163BF5">
        <w:rPr>
          <w:color w:val="000000" w:themeColor="text1"/>
          <w:lang w:eastAsia="es-ES_tradnl"/>
        </w:rPr>
        <w:t>.</w:t>
      </w:r>
    </w:p>
    <w:p w14:paraId="4DC803B7" w14:textId="7D555A00"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En el año 2018 según estadísticas del Ministerio de Gobierno se registraron 10.162 personas como desaparecidas </w:t>
      </w:r>
      <w:sdt>
        <w:sdtPr>
          <w:rPr>
            <w:color w:val="000000" w:themeColor="text1"/>
            <w:lang w:eastAsia="es-ES_tradnl"/>
          </w:rPr>
          <w:id w:val="1952278288"/>
          <w:citation/>
        </w:sdtPr>
        <w:sdtEndPr/>
        <w:sdtContent>
          <w:r w:rsidRPr="00163BF5">
            <w:rPr>
              <w:color w:val="000000" w:themeColor="text1"/>
              <w:lang w:eastAsia="es-ES_tradnl"/>
            </w:rPr>
            <w:fldChar w:fldCharType="begin"/>
          </w:r>
          <w:r w:rsidRPr="00163BF5">
            <w:rPr>
              <w:color w:val="000000" w:themeColor="text1"/>
              <w:lang w:eastAsia="es-ES_tradnl"/>
            </w:rPr>
            <w:instrText xml:space="preserve">CITATION Ecu19 \l 12298 </w:instrText>
          </w:r>
          <w:r w:rsidRPr="00163BF5">
            <w:rPr>
              <w:color w:val="000000" w:themeColor="text1"/>
              <w:lang w:eastAsia="es-ES_tradnl"/>
            </w:rPr>
            <w:fldChar w:fldCharType="separate"/>
          </w:r>
          <w:r w:rsidR="00282214" w:rsidRPr="00163BF5">
            <w:rPr>
              <w:noProof/>
              <w:color w:val="000000" w:themeColor="text1"/>
              <w:lang w:eastAsia="es-ES_tradnl"/>
            </w:rPr>
            <w:t>(Ministerio de Gobierno del Ecuador, 2019)</w:t>
          </w:r>
          <w:r w:rsidRPr="00163BF5">
            <w:rPr>
              <w:color w:val="000000" w:themeColor="text1"/>
              <w:lang w:eastAsia="es-ES_tradnl"/>
            </w:rPr>
            <w:fldChar w:fldCharType="end"/>
          </w:r>
        </w:sdtContent>
      </w:sdt>
      <w:r w:rsidRPr="00163BF5">
        <w:rPr>
          <w:color w:val="000000" w:themeColor="text1"/>
          <w:lang w:eastAsia="es-ES_tradnl"/>
        </w:rPr>
        <w:t>.</w:t>
      </w:r>
    </w:p>
    <w:p w14:paraId="0D435E99" w14:textId="7E17D052"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En cuanto al año 2019 la información conseguida refleja que hasta el 30 de junio de 2019 se reportaron 4863 </w:t>
      </w:r>
      <w:sdt>
        <w:sdtPr>
          <w:rPr>
            <w:color w:val="000000" w:themeColor="text1"/>
            <w:lang w:eastAsia="es-ES_tradnl"/>
          </w:rPr>
          <w:id w:val="555903887"/>
          <w:citation/>
        </w:sdtPr>
        <w:sdtEndPr/>
        <w:sdtContent>
          <w:r w:rsidRPr="00163BF5">
            <w:rPr>
              <w:color w:val="000000" w:themeColor="text1"/>
              <w:lang w:eastAsia="es-ES_tradnl"/>
            </w:rPr>
            <w:fldChar w:fldCharType="begin"/>
          </w:r>
          <w:r w:rsidRPr="00163BF5">
            <w:rPr>
              <w:color w:val="000000" w:themeColor="text1"/>
              <w:lang w:eastAsia="es-ES_tradnl"/>
            </w:rPr>
            <w:instrText xml:space="preserve">CITATION Ecu19 \l 12298 </w:instrText>
          </w:r>
          <w:r w:rsidRPr="00163BF5">
            <w:rPr>
              <w:color w:val="000000" w:themeColor="text1"/>
              <w:lang w:eastAsia="es-ES_tradnl"/>
            </w:rPr>
            <w:fldChar w:fldCharType="separate"/>
          </w:r>
          <w:r w:rsidR="00282214" w:rsidRPr="00163BF5">
            <w:rPr>
              <w:noProof/>
              <w:color w:val="000000" w:themeColor="text1"/>
              <w:lang w:eastAsia="es-ES_tradnl"/>
            </w:rPr>
            <w:t>(Ministerio de Gobierno del Ecuador, 2019)</w:t>
          </w:r>
          <w:r w:rsidRPr="00163BF5">
            <w:rPr>
              <w:color w:val="000000" w:themeColor="text1"/>
              <w:lang w:eastAsia="es-ES_tradnl"/>
            </w:rPr>
            <w:fldChar w:fldCharType="end"/>
          </w:r>
        </w:sdtContent>
      </w:sdt>
      <w:r w:rsidRPr="00163BF5">
        <w:rPr>
          <w:color w:val="000000" w:themeColor="text1"/>
          <w:lang w:eastAsia="es-ES_tradnl"/>
        </w:rPr>
        <w:t xml:space="preserve">. Sin embargo, no hay datos sobre los reportes de los meses Julio-Diciembre. </w:t>
      </w:r>
    </w:p>
    <w:p w14:paraId="729FD0B3" w14:textId="65E2C11B" w:rsidR="00373CB4" w:rsidRPr="00163BF5" w:rsidRDefault="00373CB4" w:rsidP="00373CB4">
      <w:pPr>
        <w:spacing w:line="480" w:lineRule="auto"/>
        <w:ind w:firstLine="709"/>
        <w:jc w:val="both"/>
        <w:rPr>
          <w:color w:val="000000" w:themeColor="text1"/>
          <w:lang w:val="es-ES_tradnl" w:eastAsia="es-EC"/>
        </w:rPr>
      </w:pPr>
      <w:r w:rsidRPr="00163BF5">
        <w:rPr>
          <w:color w:val="000000" w:themeColor="text1"/>
          <w:lang w:val="es-ES_tradnl" w:eastAsia="es-EC"/>
        </w:rPr>
        <w:t xml:space="preserve">En 2020 la </w:t>
      </w:r>
      <w:r w:rsidR="00A14F18" w:rsidRPr="00163BF5">
        <w:rPr>
          <w:color w:val="000000" w:themeColor="text1"/>
          <w:lang w:val="es-ES_tradnl" w:eastAsia="es-EC"/>
        </w:rPr>
        <w:t>estadística</w:t>
      </w:r>
      <w:r w:rsidRPr="00163BF5">
        <w:rPr>
          <w:color w:val="000000" w:themeColor="text1"/>
          <w:lang w:val="es-ES_tradnl" w:eastAsia="es-EC"/>
        </w:rPr>
        <w:t xml:space="preserve"> anual otorgada por el Ministerio de Gobierno, estableció que en ese año se reportaron 6454 personas como desaparecidas (Ministerio de Gobierno del Ecuador, 2020)</w:t>
      </w:r>
      <w:r w:rsidR="00872F05" w:rsidRPr="00163BF5">
        <w:rPr>
          <w:color w:val="000000" w:themeColor="text1"/>
          <w:lang w:val="es-ES_tradnl" w:eastAsia="es-EC"/>
        </w:rPr>
        <w:t>.</w:t>
      </w:r>
    </w:p>
    <w:p w14:paraId="6C90C243" w14:textId="471715D4"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Es importante señalar que para la Asociación de Familiares y Amigos de Personas Desaparecidas en Ecuador (ASFADEC), los datos otorgados por parte de Fiscalía General del Estado presentan inconsistencias mencionando que existen contradicciones entre los informes de Fiscalía y la Dirección Nacional de Delitos contra la vida, muertes violentas, desapariciones, extorsión y secuestro (</w:t>
      </w:r>
      <w:proofErr w:type="spellStart"/>
      <w:r w:rsidRPr="00163BF5">
        <w:rPr>
          <w:color w:val="000000" w:themeColor="text1"/>
          <w:lang w:eastAsia="es-ES_tradnl"/>
        </w:rPr>
        <w:t>Dinased</w:t>
      </w:r>
      <w:proofErr w:type="spellEnd"/>
      <w:r w:rsidRPr="00163BF5">
        <w:rPr>
          <w:color w:val="000000" w:themeColor="text1"/>
          <w:lang w:eastAsia="es-ES_tradnl"/>
        </w:rPr>
        <w:t xml:space="preserve">) </w:t>
      </w:r>
      <w:sdt>
        <w:sdtPr>
          <w:rPr>
            <w:color w:val="000000" w:themeColor="text1"/>
            <w:lang w:eastAsia="es-ES_tradnl"/>
          </w:rPr>
          <w:id w:val="-22640982"/>
          <w:citation/>
        </w:sdtPr>
        <w:sdtEndPr/>
        <w:sdtContent>
          <w:r w:rsidRPr="00163BF5">
            <w:rPr>
              <w:color w:val="000000" w:themeColor="text1"/>
              <w:lang w:eastAsia="es-ES_tradnl"/>
            </w:rPr>
            <w:fldChar w:fldCharType="begin"/>
          </w:r>
          <w:r w:rsidRPr="00163BF5">
            <w:rPr>
              <w:color w:val="000000" w:themeColor="text1"/>
              <w:lang w:eastAsia="es-ES_tradnl"/>
            </w:rPr>
            <w:instrText xml:space="preserve"> CITATION Asf18 \l 12298 </w:instrText>
          </w:r>
          <w:r w:rsidRPr="00163BF5">
            <w:rPr>
              <w:color w:val="000000" w:themeColor="text1"/>
              <w:lang w:eastAsia="es-ES_tradnl"/>
            </w:rPr>
            <w:fldChar w:fldCharType="separate"/>
          </w:r>
          <w:r w:rsidR="00282214" w:rsidRPr="00163BF5">
            <w:rPr>
              <w:noProof/>
              <w:color w:val="000000" w:themeColor="text1"/>
              <w:lang w:eastAsia="es-ES_tradnl"/>
            </w:rPr>
            <w:t>(Asfadec, 2018)</w:t>
          </w:r>
          <w:r w:rsidRPr="00163BF5">
            <w:rPr>
              <w:color w:val="000000" w:themeColor="text1"/>
              <w:lang w:eastAsia="es-ES_tradnl"/>
            </w:rPr>
            <w:fldChar w:fldCharType="end"/>
          </w:r>
        </w:sdtContent>
      </w:sdt>
      <w:r w:rsidR="00872F05" w:rsidRPr="00163BF5">
        <w:rPr>
          <w:color w:val="000000" w:themeColor="text1"/>
          <w:lang w:eastAsia="es-ES_tradnl"/>
        </w:rPr>
        <w:t>.</w:t>
      </w:r>
    </w:p>
    <w:p w14:paraId="08796467" w14:textId="5BAD4ADE"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En cuanto a las causas principales de la desaparición involuntaria, Fiscalía General del Estado menciona que son </w:t>
      </w:r>
      <w:r w:rsidR="004C7C5B" w:rsidRPr="00163BF5">
        <w:rPr>
          <w:color w:val="000000" w:themeColor="text1"/>
          <w:lang w:eastAsia="es-ES_tradnl"/>
        </w:rPr>
        <w:t>l</w:t>
      </w:r>
      <w:r w:rsidRPr="00163BF5">
        <w:rPr>
          <w:color w:val="000000" w:themeColor="text1"/>
          <w:lang w:eastAsia="es-ES_tradnl"/>
        </w:rPr>
        <w:t xml:space="preserve">os problemas familiares, problemas sociales y otros Sobre los principales delitos vinculados con la desaparición involuntaria se encuentran: la violación, secuestro con resultado de muerte, abuso sexual, violencia psicológica y homicidio </w:t>
      </w:r>
      <w:sdt>
        <w:sdtPr>
          <w:rPr>
            <w:color w:val="000000" w:themeColor="text1"/>
            <w:lang w:eastAsia="es-ES_tradnl"/>
          </w:rPr>
          <w:id w:val="-1614968330"/>
          <w:citation/>
        </w:sdtPr>
        <w:sdtEndPr/>
        <w:sdtContent>
          <w:r w:rsidR="00D71391" w:rsidRPr="00163BF5">
            <w:rPr>
              <w:color w:val="000000" w:themeColor="text1"/>
              <w:lang w:eastAsia="es-ES_tradnl"/>
            </w:rPr>
            <w:fldChar w:fldCharType="begin"/>
          </w:r>
          <w:r w:rsidR="00D71391" w:rsidRPr="00163BF5">
            <w:rPr>
              <w:color w:val="000000" w:themeColor="text1"/>
              <w:lang w:val="es-ES" w:eastAsia="es-ES_tradnl"/>
            </w:rPr>
            <w:instrText xml:space="preserve"> CITATION Fis \l 3082 </w:instrText>
          </w:r>
          <w:r w:rsidR="00D71391" w:rsidRPr="00163BF5">
            <w:rPr>
              <w:color w:val="000000" w:themeColor="text1"/>
              <w:lang w:eastAsia="es-ES_tradnl"/>
            </w:rPr>
            <w:fldChar w:fldCharType="separate"/>
          </w:r>
          <w:r w:rsidR="00282214" w:rsidRPr="00163BF5">
            <w:rPr>
              <w:noProof/>
              <w:color w:val="000000" w:themeColor="text1"/>
              <w:lang w:val="es-ES" w:eastAsia="es-ES_tradnl"/>
            </w:rPr>
            <w:t>(Fiscalía General del Estado, 2018)</w:t>
          </w:r>
          <w:r w:rsidR="00D71391" w:rsidRPr="00163BF5">
            <w:rPr>
              <w:color w:val="000000" w:themeColor="text1"/>
              <w:lang w:eastAsia="es-ES_tradnl"/>
            </w:rPr>
            <w:fldChar w:fldCharType="end"/>
          </w:r>
        </w:sdtContent>
      </w:sdt>
      <w:r w:rsidR="00872F05" w:rsidRPr="00163BF5">
        <w:rPr>
          <w:color w:val="000000" w:themeColor="text1"/>
          <w:lang w:eastAsia="es-ES_tradnl"/>
        </w:rPr>
        <w:t>.</w:t>
      </w:r>
    </w:p>
    <w:p w14:paraId="340D71CD" w14:textId="7777777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Durante los años 2018 y 2019 gracias a casos emblemáticos sobre la situación de las personas desaparecidas involuntariamente como Caso Carolina Garzón y Caso Juliana Campoverde y organizaciones sociales como INREDH y ASFADEC impulsaron la </w:t>
      </w:r>
      <w:proofErr w:type="spellStart"/>
      <w:r w:rsidRPr="00163BF5">
        <w:rPr>
          <w:color w:val="000000" w:themeColor="text1"/>
          <w:lang w:eastAsia="es-ES_tradnl"/>
        </w:rPr>
        <w:t>visibilización</w:t>
      </w:r>
      <w:proofErr w:type="spellEnd"/>
      <w:r w:rsidRPr="00163BF5">
        <w:rPr>
          <w:color w:val="000000" w:themeColor="text1"/>
          <w:lang w:eastAsia="es-ES_tradnl"/>
        </w:rPr>
        <w:t xml:space="preserve"> de la situación de las personas desaparecidas, es así como la Asamblea Nacional del Ecuador crea la Ley de Actuación en Casos de Personas Desaparecidas y Extraviadas que fue publicada en el Registro Oficial Suplemento 130 de 28 de Enero de 2020 , que tiene por objeto: </w:t>
      </w:r>
    </w:p>
    <w:p w14:paraId="02D389A9" w14:textId="5689034C"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 xml:space="preserve">[…]  establecer la coordinación estatal para la búsqueda y localización con enfoque humanitario de personas desaparecidas o extraviadas en el territorio nacional, la determinación del contexto de la desaparición, la protección de los derechos de la persona desaparecida o extraviada hasta que se determine su paradero, la prevención de la desaparición, la atención, asistencia y protección de las víctimas indirectas durante la investigación y el desarrollo de procesos de cooperación internacional en casos de ecuatorianos desaparecidos o extraviados en el extranjero, para garantizar una adecuada atención y una respuesta efectiva. (LOACPDE, 2020, art.) </w:t>
      </w:r>
    </w:p>
    <w:p w14:paraId="61504D2E" w14:textId="77777777" w:rsidR="00A7013F" w:rsidRPr="00163BF5" w:rsidRDefault="00A7013F" w:rsidP="00AE14F4">
      <w:pPr>
        <w:ind w:left="1440"/>
        <w:jc w:val="both"/>
        <w:rPr>
          <w:color w:val="000000" w:themeColor="text1"/>
          <w:sz w:val="22"/>
          <w:szCs w:val="22"/>
          <w:lang w:eastAsia="es-ES_tradnl"/>
        </w:rPr>
      </w:pPr>
    </w:p>
    <w:p w14:paraId="0854D71D" w14:textId="3A0B0EFF" w:rsidR="00AE14F4" w:rsidRPr="00163BF5" w:rsidRDefault="00AE14F4" w:rsidP="00AE14F4">
      <w:pPr>
        <w:spacing w:line="480" w:lineRule="auto"/>
        <w:jc w:val="both"/>
        <w:rPr>
          <w:color w:val="000000" w:themeColor="text1"/>
          <w:lang w:eastAsia="es-ES_tradnl"/>
        </w:rPr>
      </w:pPr>
      <w:r w:rsidRPr="00163BF5">
        <w:rPr>
          <w:color w:val="000000" w:themeColor="text1"/>
          <w:lang w:eastAsia="es-ES_tradnl"/>
        </w:rPr>
        <w:tab/>
        <w:t>Esta es la primera ley en la historia del Ecuador que abarca la situación de las personas desaparecidas y extraviadas. Antes de esta norma la situación estas personas estaba reguladas en el artículo 5.1.3.4</w:t>
      </w:r>
      <w:r w:rsidRPr="00163BF5">
        <w:rPr>
          <w:color w:val="000000" w:themeColor="text1"/>
          <w:vertAlign w:val="superscript"/>
          <w:lang w:eastAsia="es-ES_tradnl"/>
        </w:rPr>
        <w:footnoteReference w:id="2"/>
      </w:r>
      <w:r w:rsidRPr="00163BF5">
        <w:rPr>
          <w:color w:val="000000" w:themeColor="text1"/>
          <w:lang w:eastAsia="es-ES_tradnl"/>
        </w:rPr>
        <w:t xml:space="preserve"> del Estatuto Orgánico por Procesos de la Fiscalía General del Estado que hacen referencia a las Actuaciones Administrativas </w:t>
      </w:r>
      <w:r w:rsidRPr="00163BF5">
        <w:rPr>
          <w:color w:val="000000" w:themeColor="text1"/>
          <w:lang w:eastAsia="es-ES_tradnl"/>
        </w:rPr>
        <w:fldChar w:fldCharType="begin"/>
      </w:r>
      <w:r w:rsidRPr="00163BF5">
        <w:rPr>
          <w:color w:val="000000" w:themeColor="text1"/>
          <w:lang w:eastAsia="es-ES_tradnl"/>
        </w:rPr>
        <w:instrText xml:space="preserve">CITATION FGE12 \n  \l 12298 </w:instrText>
      </w:r>
      <w:r w:rsidRPr="00163BF5">
        <w:rPr>
          <w:color w:val="000000" w:themeColor="text1"/>
          <w:lang w:eastAsia="es-ES_tradnl"/>
        </w:rPr>
        <w:fldChar w:fldCharType="separate"/>
      </w:r>
      <w:r w:rsidR="00282214" w:rsidRPr="00163BF5">
        <w:rPr>
          <w:noProof/>
          <w:color w:val="000000" w:themeColor="text1"/>
          <w:lang w:eastAsia="es-ES_tradnl"/>
        </w:rPr>
        <w:t xml:space="preserve"> (Estatuto Orgánico por Procesos de la Fiscalía General del Estado, 2012)</w:t>
      </w:r>
      <w:r w:rsidRPr="00163BF5">
        <w:rPr>
          <w:color w:val="000000" w:themeColor="text1"/>
          <w:lang w:eastAsia="es-ES_tradnl"/>
        </w:rPr>
        <w:fldChar w:fldCharType="end"/>
      </w:r>
      <w:r w:rsidR="00CF4658" w:rsidRPr="00163BF5">
        <w:rPr>
          <w:color w:val="000000" w:themeColor="text1"/>
          <w:lang w:eastAsia="es-ES_tradnl"/>
        </w:rPr>
        <w:t>.</w:t>
      </w:r>
    </w:p>
    <w:p w14:paraId="39CD284A" w14:textId="743E29C3" w:rsidR="00AE14F4" w:rsidRPr="00163BF5" w:rsidRDefault="00AE14F4" w:rsidP="009F304A">
      <w:pPr>
        <w:pStyle w:val="Ttulo4"/>
        <w:numPr>
          <w:ilvl w:val="2"/>
          <w:numId w:val="32"/>
        </w:numPr>
        <w:rPr>
          <w:rFonts w:ascii="Times New Roman" w:hAnsi="Times New Roman" w:cs="Times New Roman"/>
          <w:color w:val="000000" w:themeColor="text1"/>
        </w:rPr>
      </w:pPr>
      <w:r w:rsidRPr="00163BF5">
        <w:rPr>
          <w:rFonts w:ascii="Times New Roman" w:hAnsi="Times New Roman" w:cs="Times New Roman"/>
          <w:color w:val="000000" w:themeColor="text1"/>
        </w:rPr>
        <w:t xml:space="preserve"> </w:t>
      </w:r>
      <w:bookmarkStart w:id="64" w:name="_Toc67513413"/>
      <w:r w:rsidRPr="00163BF5">
        <w:rPr>
          <w:rFonts w:ascii="Times New Roman" w:hAnsi="Times New Roman" w:cs="Times New Roman"/>
          <w:color w:val="000000" w:themeColor="text1"/>
        </w:rPr>
        <w:t xml:space="preserve">El Estándar de debida diligencia en la Ley Orgánica de Actuación en Casos de Personas Desaparecidas y Extraviadas </w:t>
      </w:r>
      <w:r w:rsidR="00AE1455" w:rsidRPr="00163BF5">
        <w:rPr>
          <w:rFonts w:ascii="Times New Roman" w:hAnsi="Times New Roman" w:cs="Times New Roman"/>
          <w:color w:val="000000" w:themeColor="text1"/>
        </w:rPr>
        <w:t>en casos de desaparición involuntaria.</w:t>
      </w:r>
      <w:bookmarkEnd w:id="64"/>
    </w:p>
    <w:p w14:paraId="64D73508" w14:textId="32311442" w:rsidR="00066AEC" w:rsidRPr="00163BF5" w:rsidRDefault="00AE14F4" w:rsidP="009A27C4">
      <w:pPr>
        <w:spacing w:line="480" w:lineRule="auto"/>
        <w:ind w:left="360" w:firstLine="348"/>
        <w:jc w:val="both"/>
        <w:rPr>
          <w:color w:val="000000" w:themeColor="text1"/>
          <w:lang w:eastAsia="es-ES_tradnl"/>
        </w:rPr>
      </w:pPr>
      <w:r w:rsidRPr="00163BF5">
        <w:rPr>
          <w:color w:val="000000" w:themeColor="text1"/>
          <w:lang w:eastAsia="es-ES_tradnl"/>
        </w:rPr>
        <w:t>En la presente sección se va a realizar el estudio de la aplicación de los estándares de debida diligencia en la Ley Orgánica de Actuación de Personas Desaparecidas y Extraviadas</w:t>
      </w:r>
      <w:r w:rsidR="00817390" w:rsidRPr="00163BF5">
        <w:rPr>
          <w:color w:val="000000" w:themeColor="text1"/>
          <w:lang w:eastAsia="es-ES_tradnl"/>
        </w:rPr>
        <w:t xml:space="preserve"> en la investigación en casos de personas desaparecidas involuntariamente</w:t>
      </w:r>
      <w:r w:rsidRPr="00163BF5">
        <w:rPr>
          <w:color w:val="000000" w:themeColor="text1"/>
          <w:lang w:eastAsia="es-ES_tradnl"/>
        </w:rPr>
        <w:t xml:space="preserve">, para ello se va a enlistar cada uno de los estándares con su debido análisis. </w:t>
      </w:r>
    </w:p>
    <w:p w14:paraId="2E1189A8" w14:textId="27EDBFB4" w:rsidR="00AE14F4" w:rsidRPr="00163BF5" w:rsidRDefault="00AE14F4" w:rsidP="009F304A">
      <w:pPr>
        <w:pStyle w:val="Ttulo4"/>
        <w:numPr>
          <w:ilvl w:val="3"/>
          <w:numId w:val="32"/>
        </w:numPr>
        <w:rPr>
          <w:rFonts w:ascii="Times New Roman" w:hAnsi="Times New Roman" w:cs="Times New Roman"/>
          <w:color w:val="000000" w:themeColor="text1"/>
        </w:rPr>
      </w:pPr>
      <w:bookmarkStart w:id="65" w:name="_Toc67513414"/>
      <w:r w:rsidRPr="00163BF5">
        <w:rPr>
          <w:rFonts w:ascii="Times New Roman" w:hAnsi="Times New Roman" w:cs="Times New Roman"/>
          <w:color w:val="000000" w:themeColor="text1"/>
        </w:rPr>
        <w:t>Estándar de oficiosidad de la Corte Interamericana de Derechos Humanos en la Ley Orgánica de Actuación en casos de Personas Desaparecidas y Extraviadas.</w:t>
      </w:r>
      <w:bookmarkEnd w:id="65"/>
      <w:r w:rsidRPr="00163BF5">
        <w:rPr>
          <w:rFonts w:ascii="Times New Roman" w:hAnsi="Times New Roman" w:cs="Times New Roman"/>
          <w:color w:val="000000" w:themeColor="text1"/>
        </w:rPr>
        <w:t xml:space="preserve"> </w:t>
      </w:r>
    </w:p>
    <w:p w14:paraId="71DAC559" w14:textId="7777777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Como se estudió al inicio de presente capítulo, el estándar de oficiosidad de la Corte IDH establece la investigación de una grave vulneración de un derecho humano debe desarrollarse de oficio por parte de la autoridad estatal, además que si bien es necesaria la denuncia del acto, no es un requisito indispensable, dado que la existencia de una razón fundada de posible vulneración es motivo suficiente para que el Estado inicie la investigación sin necesidad de actividad por parte de la persona interesada. </w:t>
      </w:r>
    </w:p>
    <w:p w14:paraId="70D1E6EF" w14:textId="44C5A0AF"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En la ley este estándar se encuentra plasmado en el artículo 8 numeral 1 de la LOACPDE, que establece: “Realizar una búsqueda especializada, inmediata, diligente, oportuna y permanente desde que se recibe el reporte, noticia o denuncia de la desaparición o extravío de una persona hasta su localización” (LOACPDE, 2020, art. 1)</w:t>
      </w:r>
      <w:r w:rsidR="00872F05" w:rsidRPr="00163BF5">
        <w:rPr>
          <w:color w:val="000000" w:themeColor="text1"/>
          <w:lang w:eastAsia="es-ES_tradnl"/>
        </w:rPr>
        <w:t>.</w:t>
      </w:r>
    </w:p>
    <w:p w14:paraId="5B6991AF" w14:textId="584514AC" w:rsidR="00066AEC" w:rsidRPr="00163BF5" w:rsidRDefault="00AE14F4" w:rsidP="009F112D">
      <w:pPr>
        <w:spacing w:line="480" w:lineRule="auto"/>
        <w:ind w:firstLine="708"/>
        <w:jc w:val="both"/>
        <w:rPr>
          <w:color w:val="000000" w:themeColor="text1"/>
          <w:lang w:eastAsia="es-ES_tradnl"/>
        </w:rPr>
      </w:pPr>
      <w:r w:rsidRPr="00163BF5">
        <w:rPr>
          <w:color w:val="000000" w:themeColor="text1"/>
          <w:lang w:eastAsia="es-ES_tradnl"/>
        </w:rPr>
        <w:t>Sin embargo, a pesar que el estándar de oficiosidad de la Corte IDH se encuentra correctamente plasmado en la</w:t>
      </w:r>
      <w:r w:rsidRPr="00163BF5">
        <w:rPr>
          <w:color w:val="000000" w:themeColor="text1"/>
        </w:rPr>
        <w:t xml:space="preserve"> Ley Orgánica de Actuación en Casos de Personas Desaparecidas y Extraviadas</w:t>
      </w:r>
      <w:r w:rsidR="00A521AA" w:rsidRPr="00163BF5">
        <w:rPr>
          <w:color w:val="000000" w:themeColor="text1"/>
        </w:rPr>
        <w:t xml:space="preserve"> y que tutela los derechos de las personas desaparecidas involuntariamente, haciendo que el Estado de oficio deba actuar frente a estas violaciones a los derechos humanos</w:t>
      </w:r>
      <w:r w:rsidRPr="00163BF5">
        <w:rPr>
          <w:color w:val="000000" w:themeColor="text1"/>
        </w:rPr>
        <w:t>, a criterio del autor de la presente investigación, este principio debería encontrarse plasmado en el artículo 3, referente a los  principios rectores que van a regir en la Ley Orgánica de Actuación en Casos de Personas Desaparecidas y Extraviadas</w:t>
      </w:r>
      <w:r w:rsidRPr="00163BF5">
        <w:rPr>
          <w:color w:val="000000" w:themeColor="text1"/>
          <w:lang w:eastAsia="es-ES_tradnl"/>
        </w:rPr>
        <w:t xml:space="preserve">, dado que el estándar de oficiosidad es vital para la justicia de las víctimas. </w:t>
      </w:r>
    </w:p>
    <w:p w14:paraId="5C9A0D42" w14:textId="7EE6C537" w:rsidR="00AE14F4" w:rsidRPr="00163BF5" w:rsidRDefault="00AE14F4" w:rsidP="009F304A">
      <w:pPr>
        <w:pStyle w:val="Ttulo4"/>
        <w:numPr>
          <w:ilvl w:val="3"/>
          <w:numId w:val="32"/>
        </w:numPr>
        <w:rPr>
          <w:rFonts w:ascii="Times New Roman" w:hAnsi="Times New Roman" w:cs="Times New Roman"/>
          <w:color w:val="000000" w:themeColor="text1"/>
        </w:rPr>
      </w:pPr>
      <w:bookmarkStart w:id="66" w:name="_Toc67513415"/>
      <w:r w:rsidRPr="00163BF5">
        <w:rPr>
          <w:rFonts w:ascii="Times New Roman" w:hAnsi="Times New Roman" w:cs="Times New Roman"/>
          <w:color w:val="000000" w:themeColor="text1"/>
        </w:rPr>
        <w:t>Estándar de oportunidad de la Corte Interamericana de Derechos Humanos en la Ley Orgánica de Personas Desaparecidas y Extraviadas</w:t>
      </w:r>
      <w:bookmarkEnd w:id="66"/>
    </w:p>
    <w:p w14:paraId="1CFB916B" w14:textId="4FC0FCAF"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Como se </w:t>
      </w:r>
      <w:r w:rsidR="004C7C5B" w:rsidRPr="00163BF5">
        <w:rPr>
          <w:color w:val="000000" w:themeColor="text1"/>
          <w:lang w:eastAsia="es-ES_tradnl"/>
        </w:rPr>
        <w:t>dijo</w:t>
      </w:r>
      <w:r w:rsidRPr="00163BF5">
        <w:rPr>
          <w:color w:val="000000" w:themeColor="text1"/>
          <w:lang w:eastAsia="es-ES_tradnl"/>
        </w:rPr>
        <w:t xml:space="preserve"> anteriormente, para que una investigación sea considerada oportuna, la Corte Interamericana de Derechos Humanos ha establecido que debe cumplir con las siguientes características: a) debe iniciarse la investigación de manera inmediata b) debe llevarse a cabo la investigación en un plazo razonable c) la investigación debe ser propositiva.</w:t>
      </w:r>
    </w:p>
    <w:p w14:paraId="7A0673AF" w14:textId="2C15B51B"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Es por ello que la presente sección se va a dividir en tres, representando cada división a una característica; todo esto con la finalidad de establecer si se encuentran debidamente establecidas estas características en Ley Orgánica de Personas Desaparecidas y Extraviadas. </w:t>
      </w:r>
    </w:p>
    <w:p w14:paraId="57D19A95" w14:textId="1F2434CD" w:rsidR="0002203C" w:rsidRPr="00163BF5" w:rsidRDefault="0002203C" w:rsidP="00AE14F4">
      <w:pPr>
        <w:spacing w:line="480" w:lineRule="auto"/>
        <w:ind w:firstLine="708"/>
        <w:jc w:val="both"/>
        <w:rPr>
          <w:color w:val="000000" w:themeColor="text1"/>
          <w:lang w:eastAsia="es-ES_tradnl"/>
        </w:rPr>
      </w:pPr>
    </w:p>
    <w:p w14:paraId="4B0A5AD0" w14:textId="77777777" w:rsidR="0002203C" w:rsidRPr="00163BF5" w:rsidRDefault="0002203C" w:rsidP="00AE14F4">
      <w:pPr>
        <w:spacing w:line="480" w:lineRule="auto"/>
        <w:ind w:firstLine="708"/>
        <w:jc w:val="both"/>
        <w:rPr>
          <w:color w:val="000000" w:themeColor="text1"/>
          <w:lang w:eastAsia="es-ES_tradnl"/>
        </w:rPr>
      </w:pPr>
    </w:p>
    <w:p w14:paraId="6490FB28" w14:textId="299FC23F" w:rsidR="00AE14F4" w:rsidRPr="00163BF5" w:rsidRDefault="00AE14F4" w:rsidP="006B620B">
      <w:pPr>
        <w:pStyle w:val="Prrafodelista"/>
        <w:numPr>
          <w:ilvl w:val="0"/>
          <w:numId w:val="14"/>
        </w:numPr>
        <w:rPr>
          <w:rFonts w:ascii="Times New Roman" w:hAnsi="Times New Roman" w:cs="Times New Roman"/>
          <w:b/>
          <w:bCs/>
          <w:color w:val="000000" w:themeColor="text1"/>
          <w:sz w:val="24"/>
          <w:szCs w:val="24"/>
        </w:rPr>
      </w:pPr>
      <w:r w:rsidRPr="00163BF5">
        <w:rPr>
          <w:rFonts w:ascii="Times New Roman" w:hAnsi="Times New Roman" w:cs="Times New Roman"/>
          <w:b/>
          <w:bCs/>
          <w:color w:val="000000" w:themeColor="text1"/>
          <w:sz w:val="24"/>
          <w:szCs w:val="24"/>
        </w:rPr>
        <w:t>La investigación debe iniciar de manera inmediata</w:t>
      </w:r>
    </w:p>
    <w:p w14:paraId="29000DAA" w14:textId="77777777" w:rsidR="00AE14F4" w:rsidRPr="00163BF5" w:rsidRDefault="00AE14F4" w:rsidP="00CF4658">
      <w:pPr>
        <w:spacing w:line="480" w:lineRule="auto"/>
        <w:ind w:firstLine="708"/>
        <w:jc w:val="both"/>
        <w:rPr>
          <w:color w:val="000000" w:themeColor="text1"/>
        </w:rPr>
      </w:pPr>
      <w:r w:rsidRPr="00163BF5">
        <w:rPr>
          <w:color w:val="000000" w:themeColor="text1"/>
        </w:rPr>
        <w:t xml:space="preserve">La presente característica se encuentra adecuadamente plasmada en la Ley Orgánica de Personas Desaparecidas y Extraviadas. </w:t>
      </w:r>
    </w:p>
    <w:p w14:paraId="02190E53" w14:textId="77777777" w:rsidR="00AE14F4" w:rsidRPr="00163BF5" w:rsidRDefault="00AE14F4" w:rsidP="00CF4658">
      <w:pPr>
        <w:spacing w:line="480" w:lineRule="auto"/>
        <w:ind w:firstLine="708"/>
        <w:jc w:val="both"/>
        <w:rPr>
          <w:color w:val="000000" w:themeColor="text1"/>
        </w:rPr>
      </w:pPr>
      <w:r w:rsidRPr="00163BF5">
        <w:rPr>
          <w:color w:val="000000" w:themeColor="text1"/>
        </w:rPr>
        <w:t xml:space="preserve">En cuanto a la noticia de la persona desaparecida, el artículo 23 dicta que: </w:t>
      </w:r>
    </w:p>
    <w:p w14:paraId="3F29C014" w14:textId="712C5989" w:rsidR="00A7013F" w:rsidRPr="00163BF5" w:rsidRDefault="00AE14F4" w:rsidP="00CF4658">
      <w:pPr>
        <w:ind w:left="1440"/>
        <w:jc w:val="both"/>
        <w:rPr>
          <w:color w:val="000000" w:themeColor="text1"/>
          <w:sz w:val="22"/>
          <w:szCs w:val="22"/>
        </w:rPr>
      </w:pPr>
      <w:r w:rsidRPr="00163BF5">
        <w:rPr>
          <w:color w:val="000000" w:themeColor="text1"/>
          <w:sz w:val="22"/>
          <w:szCs w:val="22"/>
        </w:rPr>
        <w:t>La noticia de persona desaparecida o extraviada, reporte o denuncia se presentará de forma inmediata, durante las veinticuatro horas del día, todos los días del año, en las Unidades Especializadas de la Fiscalía General o en la Unidad Especializada de la Policía Nacional. (LOACPDE, 2020, art. 23)</w:t>
      </w:r>
    </w:p>
    <w:p w14:paraId="4D73C718" w14:textId="77777777" w:rsidR="00A7013F" w:rsidRPr="00163BF5" w:rsidRDefault="00A7013F" w:rsidP="00A7013F">
      <w:pPr>
        <w:ind w:left="1440"/>
        <w:rPr>
          <w:color w:val="000000" w:themeColor="text1"/>
          <w:sz w:val="22"/>
          <w:szCs w:val="22"/>
        </w:rPr>
      </w:pPr>
    </w:p>
    <w:p w14:paraId="4546E97E" w14:textId="7F3F6C46" w:rsidR="00AE14F4" w:rsidRPr="00163BF5" w:rsidRDefault="00AE14F4" w:rsidP="00AE14F4">
      <w:pPr>
        <w:spacing w:line="480" w:lineRule="auto"/>
        <w:ind w:firstLine="708"/>
        <w:rPr>
          <w:color w:val="000000" w:themeColor="text1"/>
        </w:rPr>
      </w:pPr>
      <w:r w:rsidRPr="00163BF5">
        <w:rPr>
          <w:color w:val="000000" w:themeColor="text1"/>
        </w:rPr>
        <w:t xml:space="preserve">En cuanto a la investigación que se debe realizar de manera inmediata, el artículo 20 inciso segundo establece que:  </w:t>
      </w:r>
    </w:p>
    <w:p w14:paraId="4C784E41" w14:textId="0C3A31DF" w:rsidR="00AE14F4" w:rsidRPr="00163BF5" w:rsidRDefault="00AE14F4" w:rsidP="00AE14F4">
      <w:pPr>
        <w:ind w:left="1440"/>
        <w:jc w:val="both"/>
        <w:rPr>
          <w:color w:val="000000" w:themeColor="text1"/>
          <w:sz w:val="22"/>
          <w:szCs w:val="22"/>
        </w:rPr>
      </w:pPr>
      <w:r w:rsidRPr="00163BF5">
        <w:rPr>
          <w:color w:val="000000" w:themeColor="text1"/>
          <w:sz w:val="22"/>
          <w:szCs w:val="22"/>
        </w:rPr>
        <w:t>La búsqueda a la que se refiere la presente Ley será efectuada por las Unidades Especializadas para la Investigación de Personas Desaparecidas y Extraviadas de la Fiscalía General y la Policía Nacional en forma inmediata, ágil, prioritaria y oportuna para lo cual coordinarán acciones con el Sistema Nacional. (LOACPDE, 2020, art. 20)</w:t>
      </w:r>
    </w:p>
    <w:p w14:paraId="2269F92D" w14:textId="77777777" w:rsidR="00A7013F" w:rsidRPr="00163BF5" w:rsidRDefault="00A7013F" w:rsidP="00AE14F4">
      <w:pPr>
        <w:ind w:left="1440"/>
        <w:jc w:val="both"/>
        <w:rPr>
          <w:color w:val="000000" w:themeColor="text1"/>
          <w:sz w:val="22"/>
          <w:szCs w:val="22"/>
        </w:rPr>
      </w:pPr>
    </w:p>
    <w:p w14:paraId="3E5EF864" w14:textId="7C43670B" w:rsidR="00AE14F4" w:rsidRPr="00163BF5" w:rsidRDefault="00AE14F4" w:rsidP="00AE14F4">
      <w:pPr>
        <w:jc w:val="both"/>
        <w:rPr>
          <w:color w:val="000000" w:themeColor="text1"/>
        </w:rPr>
      </w:pPr>
      <w:r w:rsidRPr="00163BF5">
        <w:rPr>
          <w:color w:val="000000" w:themeColor="text1"/>
        </w:rPr>
        <w:tab/>
        <w:t xml:space="preserve">En el artículo 21 inciso segundo de igual manera establece: </w:t>
      </w:r>
    </w:p>
    <w:p w14:paraId="40D50D3A" w14:textId="77777777" w:rsidR="00A7013F" w:rsidRPr="00163BF5" w:rsidRDefault="00A7013F" w:rsidP="00AE14F4">
      <w:pPr>
        <w:jc w:val="both"/>
        <w:rPr>
          <w:color w:val="000000" w:themeColor="text1"/>
        </w:rPr>
      </w:pPr>
    </w:p>
    <w:p w14:paraId="5C6BF9EE" w14:textId="50A4B7FE" w:rsidR="00AE14F4" w:rsidRPr="00163BF5" w:rsidRDefault="00AE14F4" w:rsidP="00AE14F4">
      <w:pPr>
        <w:ind w:left="1440"/>
        <w:jc w:val="both"/>
        <w:rPr>
          <w:color w:val="000000" w:themeColor="text1"/>
          <w:sz w:val="22"/>
          <w:szCs w:val="22"/>
        </w:rPr>
      </w:pPr>
      <w:r w:rsidRPr="00163BF5">
        <w:rPr>
          <w:color w:val="000000" w:themeColor="text1"/>
          <w:sz w:val="22"/>
          <w:szCs w:val="22"/>
        </w:rPr>
        <w:t>Los fiscales de las Unidades Especializadas para la Investigación de Personas Desaparecidas y Extraviadas o el servidor policial que conozca la Noticia de Persona Desaparecida o Extraviada, realizarán de forma inmediata y bajo prevenciones de ley, las acciones de búsqueda y localización de la persona desaparecida o extraviada. (LOACPDE, 2020, art. 21)</w:t>
      </w:r>
    </w:p>
    <w:p w14:paraId="5A335B38" w14:textId="77777777" w:rsidR="00A7013F" w:rsidRPr="00163BF5" w:rsidRDefault="00A7013F" w:rsidP="00AE14F4">
      <w:pPr>
        <w:ind w:left="1440"/>
        <w:jc w:val="both"/>
        <w:rPr>
          <w:color w:val="000000" w:themeColor="text1"/>
          <w:sz w:val="22"/>
          <w:szCs w:val="22"/>
        </w:rPr>
      </w:pPr>
    </w:p>
    <w:p w14:paraId="775EE82E" w14:textId="066CC481" w:rsidR="00A7013F" w:rsidRPr="00163BF5" w:rsidRDefault="00AE14F4" w:rsidP="0002203C">
      <w:pPr>
        <w:spacing w:line="480" w:lineRule="auto"/>
        <w:jc w:val="both"/>
        <w:rPr>
          <w:color w:val="000000" w:themeColor="text1"/>
        </w:rPr>
      </w:pPr>
      <w:r w:rsidRPr="00163BF5">
        <w:rPr>
          <w:color w:val="000000" w:themeColor="text1"/>
        </w:rPr>
        <w:tab/>
      </w:r>
      <w:r w:rsidR="004C7C5B" w:rsidRPr="00163BF5">
        <w:rPr>
          <w:color w:val="000000" w:themeColor="text1"/>
        </w:rPr>
        <w:t>De tal forma que</w:t>
      </w:r>
      <w:r w:rsidRPr="00163BF5">
        <w:rPr>
          <w:color w:val="000000" w:themeColor="text1"/>
        </w:rPr>
        <w:t xml:space="preserve"> en lo referente a la inmediatez en el actuar de los funcionarios y fuerza públicos en situaciones de personas desaparecidas, este es el estándar que más ha sido plasmado en la Ley Orgánica de Personas Desaparecidas y Extraviadas. </w:t>
      </w:r>
    </w:p>
    <w:p w14:paraId="3FAC3C78" w14:textId="643E8C88" w:rsidR="00AE14F4" w:rsidRPr="00163BF5" w:rsidRDefault="00AE14F4" w:rsidP="006B620B">
      <w:pPr>
        <w:pStyle w:val="Prrafodelista"/>
        <w:numPr>
          <w:ilvl w:val="0"/>
          <w:numId w:val="14"/>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b/>
          <w:bCs/>
          <w:color w:val="000000" w:themeColor="text1"/>
          <w:sz w:val="24"/>
          <w:szCs w:val="24"/>
        </w:rPr>
        <w:t>La investigación debe ser llevada a cabo en un plazo razonable</w:t>
      </w:r>
    </w:p>
    <w:p w14:paraId="4D98AA46" w14:textId="77777777" w:rsidR="00AE14F4" w:rsidRPr="00163BF5" w:rsidRDefault="00AE14F4" w:rsidP="0002203C">
      <w:pPr>
        <w:spacing w:line="480" w:lineRule="auto"/>
        <w:ind w:firstLine="708"/>
        <w:jc w:val="both"/>
        <w:rPr>
          <w:color w:val="000000" w:themeColor="text1"/>
        </w:rPr>
      </w:pPr>
      <w:r w:rsidRPr="00163BF5">
        <w:rPr>
          <w:color w:val="000000" w:themeColor="text1"/>
        </w:rPr>
        <w:t xml:space="preserve">En cuanto el plazo razonable, a Corte IDH ha establecido a lo largo de su jurisprudencia que “[…] el órgano que investiga debe llevar a cabo, dentro de un plazo razonable, todas aquellas diligencias que sean necesarias con el fin de intentar obtener un resultado […]” (Corte IDH, Caso Hermanos Serrano Cruz Vs El Salvador, 2005, párr. 65). </w:t>
      </w:r>
    </w:p>
    <w:p w14:paraId="74C921BC" w14:textId="77777777" w:rsidR="00AE14F4" w:rsidRPr="00163BF5" w:rsidRDefault="00AE14F4" w:rsidP="0002203C">
      <w:pPr>
        <w:spacing w:line="480" w:lineRule="auto"/>
        <w:ind w:firstLine="708"/>
        <w:jc w:val="both"/>
        <w:rPr>
          <w:color w:val="000000" w:themeColor="text1"/>
        </w:rPr>
      </w:pPr>
      <w:r w:rsidRPr="00163BF5">
        <w:rPr>
          <w:color w:val="000000" w:themeColor="text1"/>
        </w:rPr>
        <w:t xml:space="preserve">En lo referente a las consideraciones que se deben tener en cuenta para determinar un plazo razonable en una vulneración a los derechos humanos, la Corte IDH ha establecido que: “es preciso tomar en cuenta tres elementos para determinar la razonabilidad del plazo en el que se desarrolla un proceso: a) complejidad del asunto, b) actividad procesal del interesado y c) conducta de las autoridades judiciales” (Corte IDH, Caso Ricardo </w:t>
      </w:r>
      <w:proofErr w:type="spellStart"/>
      <w:r w:rsidRPr="00163BF5">
        <w:rPr>
          <w:color w:val="000000" w:themeColor="text1"/>
        </w:rPr>
        <w:t>Canese</w:t>
      </w:r>
      <w:proofErr w:type="spellEnd"/>
      <w:r w:rsidRPr="00163BF5">
        <w:rPr>
          <w:color w:val="000000" w:themeColor="text1"/>
        </w:rPr>
        <w:t xml:space="preserve"> Vs. Paraguay, 2004, párr. 141).</w:t>
      </w:r>
    </w:p>
    <w:p w14:paraId="63200F1F" w14:textId="15BB4602" w:rsidR="00AE14F4" w:rsidRPr="00163BF5" w:rsidRDefault="00AE14F4" w:rsidP="0002203C">
      <w:pPr>
        <w:spacing w:line="480" w:lineRule="auto"/>
        <w:ind w:firstLine="708"/>
        <w:jc w:val="both"/>
        <w:rPr>
          <w:color w:val="000000" w:themeColor="text1"/>
        </w:rPr>
      </w:pPr>
      <w:r w:rsidRPr="00163BF5">
        <w:rPr>
          <w:color w:val="000000" w:themeColor="text1"/>
        </w:rPr>
        <w:t>Es así como</w:t>
      </w:r>
      <w:r w:rsidR="004C7C5B" w:rsidRPr="00163BF5">
        <w:rPr>
          <w:color w:val="000000" w:themeColor="text1"/>
        </w:rPr>
        <w:t>,</w:t>
      </w:r>
      <w:r w:rsidRPr="00163BF5">
        <w:rPr>
          <w:color w:val="000000" w:themeColor="text1"/>
        </w:rPr>
        <w:t xml:space="preserve"> a pesar de que el plazo razonable depende mucho de la situación en la que se encuentra cada caso, a lo largo de la Ley Orgánica de Actuación en Casos de Personas Desaparecidas y Extraviadas no se establece plazos mínimos o máximos para a actuación de aquellas diligencias que lo permitieran. Esto conlleva a que a los casos que versan sobre personas desaparecidas involuntariamente al no tener plazos mínimos o máximos puede hacer que la investigación sea alargada indefinidamente lo que provocaría que con el transcurso del tiempo las pruebas sean más difíciles de obtener. </w:t>
      </w:r>
    </w:p>
    <w:p w14:paraId="5FF112C5" w14:textId="2FE05B6A" w:rsidR="00AE14F4" w:rsidRPr="00163BF5" w:rsidRDefault="00AE14F4" w:rsidP="006B620B">
      <w:pPr>
        <w:pStyle w:val="Prrafodelista"/>
        <w:numPr>
          <w:ilvl w:val="0"/>
          <w:numId w:val="14"/>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b/>
          <w:bCs/>
          <w:color w:val="000000" w:themeColor="text1"/>
          <w:sz w:val="24"/>
          <w:szCs w:val="24"/>
        </w:rPr>
        <w:t>La investigación debe ser propositiva</w:t>
      </w:r>
    </w:p>
    <w:p w14:paraId="3E69E8BB" w14:textId="73AD5B02" w:rsidR="00AE14F4" w:rsidRPr="00163BF5" w:rsidRDefault="00AE14F4" w:rsidP="00AE14F4">
      <w:pPr>
        <w:spacing w:line="480" w:lineRule="auto"/>
        <w:ind w:left="360" w:firstLine="348"/>
        <w:jc w:val="both"/>
        <w:rPr>
          <w:color w:val="000000" w:themeColor="text1"/>
          <w:lang w:eastAsia="es-ES_tradnl"/>
        </w:rPr>
      </w:pPr>
      <w:r w:rsidRPr="00163BF5">
        <w:rPr>
          <w:color w:val="000000" w:themeColor="text1"/>
          <w:lang w:eastAsia="es-ES_tradnl"/>
        </w:rPr>
        <w:t xml:space="preserve">La investigación propositiva se centra en que la investigación no puede consistir en la mera expedición de informes. La violación a los derechos humanos debe exigir a que las autoridades a cargo de la investigación la realicen de manera oportuna y propositiva a fin de que los elementos probatorios no se vean mermados por el paso del tiempo y se pueda establecer la verdad </w:t>
      </w:r>
      <w:sdt>
        <w:sdtPr>
          <w:rPr>
            <w:color w:val="000000" w:themeColor="text1"/>
            <w:lang w:eastAsia="es-ES_tradnl"/>
          </w:rPr>
          <w:id w:val="1949505376"/>
          <w:citation/>
        </w:sdtPr>
        <w:sdtEndPr/>
        <w:sdtContent>
          <w:r w:rsidRPr="00163BF5">
            <w:rPr>
              <w:color w:val="000000" w:themeColor="text1"/>
              <w:lang w:eastAsia="es-ES_tradnl"/>
            </w:rPr>
            <w:fldChar w:fldCharType="begin"/>
          </w:r>
          <w:r w:rsidRPr="00163BF5">
            <w:rPr>
              <w:color w:val="000000" w:themeColor="text1"/>
              <w:lang w:eastAsia="es-ES_tradnl"/>
            </w:rPr>
            <w:instrText xml:space="preserve"> CITATION CEJ10 \l 12298 </w:instrText>
          </w:r>
          <w:r w:rsidRPr="00163BF5">
            <w:rPr>
              <w:color w:val="000000" w:themeColor="text1"/>
              <w:lang w:eastAsia="es-ES_tradnl"/>
            </w:rPr>
            <w:fldChar w:fldCharType="separate"/>
          </w:r>
          <w:r w:rsidR="00282214" w:rsidRPr="00163BF5">
            <w:rPr>
              <w:noProof/>
              <w:color w:val="000000" w:themeColor="text1"/>
              <w:lang w:eastAsia="es-ES_tradnl"/>
            </w:rPr>
            <w:t>(CEJIL, 2010)</w:t>
          </w:r>
          <w:r w:rsidRPr="00163BF5">
            <w:rPr>
              <w:color w:val="000000" w:themeColor="text1"/>
              <w:lang w:eastAsia="es-ES_tradnl"/>
            </w:rPr>
            <w:fldChar w:fldCharType="end"/>
          </w:r>
        </w:sdtContent>
      </w:sdt>
      <w:r w:rsidR="00872F05" w:rsidRPr="00163BF5">
        <w:rPr>
          <w:color w:val="000000" w:themeColor="text1"/>
          <w:lang w:eastAsia="es-ES_tradnl"/>
        </w:rPr>
        <w:t>.</w:t>
      </w:r>
    </w:p>
    <w:p w14:paraId="00122D9F" w14:textId="4C797698"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De igual manera</w:t>
      </w:r>
      <w:r w:rsidR="004C7C5B" w:rsidRPr="00163BF5">
        <w:rPr>
          <w:color w:val="000000" w:themeColor="text1"/>
          <w:lang w:eastAsia="es-ES_tradnl"/>
        </w:rPr>
        <w:t>,</w:t>
      </w:r>
      <w:r w:rsidRPr="00163BF5">
        <w:rPr>
          <w:color w:val="000000" w:themeColor="text1"/>
          <w:lang w:eastAsia="es-ES_tradnl"/>
        </w:rPr>
        <w:t xml:space="preserve"> este principio menciona que la investigación es una obligación de medio o resultado, la Corte IDH aclara que: </w:t>
      </w:r>
    </w:p>
    <w:p w14:paraId="546CDE83" w14:textId="3FBE3157"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 xml:space="preserve">[…] el deber de investigar es una obligación de medios, y no de resultados. Sin embargo, debe ser asumida por el Estado como un deber jurídico propio y no como una simple formalidad condenada de antemano a ser infructuosa. (Corte IDH, Caso Heliodoro Portugal Vs. Panamá, 2008, párr. 144) </w:t>
      </w:r>
    </w:p>
    <w:p w14:paraId="7E77AFEB" w14:textId="77777777" w:rsidR="00A7013F" w:rsidRPr="00163BF5" w:rsidRDefault="00A7013F" w:rsidP="00AE14F4">
      <w:pPr>
        <w:ind w:left="1440"/>
        <w:jc w:val="both"/>
        <w:rPr>
          <w:color w:val="000000" w:themeColor="text1"/>
          <w:sz w:val="22"/>
          <w:szCs w:val="22"/>
          <w:lang w:eastAsia="es-ES_tradnl"/>
        </w:rPr>
      </w:pPr>
    </w:p>
    <w:p w14:paraId="6FA138CE" w14:textId="4BDCF135" w:rsidR="00AE14F4" w:rsidRPr="00163BF5" w:rsidRDefault="00AE14F4" w:rsidP="00AE14F4">
      <w:pPr>
        <w:spacing w:line="480" w:lineRule="auto"/>
        <w:jc w:val="both"/>
        <w:rPr>
          <w:color w:val="000000" w:themeColor="text1"/>
          <w:lang w:eastAsia="es-ES_tradnl"/>
        </w:rPr>
      </w:pPr>
      <w:r w:rsidRPr="00163BF5">
        <w:rPr>
          <w:color w:val="000000" w:themeColor="text1"/>
          <w:lang w:eastAsia="es-ES_tradnl"/>
        </w:rPr>
        <w:tab/>
        <w:t>Este elemento del principio de oportunidad no se encuentra ni siquiera mencionado en la Ley Orgánica de Actuación en Casos de Personas Desaparecidas y Extraviada a pesar de que es un principio rector de toda investigación</w:t>
      </w:r>
      <w:r w:rsidR="00872F05" w:rsidRPr="00163BF5">
        <w:rPr>
          <w:color w:val="000000" w:themeColor="text1"/>
          <w:lang w:eastAsia="es-ES_tradnl"/>
        </w:rPr>
        <w:t>.</w:t>
      </w:r>
    </w:p>
    <w:p w14:paraId="170D2FEC" w14:textId="1D502CFE" w:rsidR="00AE14F4" w:rsidRPr="00163BF5" w:rsidRDefault="00A521AA" w:rsidP="00872F05">
      <w:pPr>
        <w:spacing w:line="480" w:lineRule="auto"/>
        <w:ind w:firstLine="708"/>
        <w:jc w:val="both"/>
        <w:rPr>
          <w:color w:val="000000" w:themeColor="text1"/>
          <w:lang w:eastAsia="es-ES_tradnl"/>
        </w:rPr>
      </w:pPr>
      <w:r w:rsidRPr="00163BF5">
        <w:rPr>
          <w:color w:val="000000" w:themeColor="text1"/>
          <w:lang w:eastAsia="es-ES_tradnl"/>
        </w:rPr>
        <w:t xml:space="preserve">Cada uno de los elementos es vital para la investigación de las personas que se encuentran desaparecidas, dado que el principio de oportunidad, a pesar de ello </w:t>
      </w:r>
      <w:r w:rsidR="00AE14F4" w:rsidRPr="00163BF5">
        <w:rPr>
          <w:color w:val="000000" w:themeColor="text1"/>
          <w:lang w:eastAsia="es-ES_tradnl"/>
        </w:rPr>
        <w:t xml:space="preserve">solo el primer elemento referente a la inmediatez en el proceso se encuentra aplicado en la ley, los otros elementos referentes al plazo razonable en la investigación y a que esta debe propositiva, no se encuentran aplicados en la norma. </w:t>
      </w:r>
    </w:p>
    <w:p w14:paraId="6FF43897" w14:textId="22792B2B" w:rsidR="00AE14F4" w:rsidRPr="00163BF5" w:rsidRDefault="00AE14F4" w:rsidP="009F304A">
      <w:pPr>
        <w:pStyle w:val="Ttulo4"/>
        <w:numPr>
          <w:ilvl w:val="3"/>
          <w:numId w:val="32"/>
        </w:numPr>
        <w:rPr>
          <w:rFonts w:ascii="Times New Roman" w:hAnsi="Times New Roman" w:cs="Times New Roman"/>
          <w:color w:val="000000" w:themeColor="text1"/>
        </w:rPr>
      </w:pPr>
      <w:bookmarkStart w:id="67" w:name="_Toc67513416"/>
      <w:r w:rsidRPr="00163BF5">
        <w:rPr>
          <w:rFonts w:ascii="Times New Roman" w:hAnsi="Times New Roman" w:cs="Times New Roman"/>
          <w:color w:val="000000" w:themeColor="text1"/>
        </w:rPr>
        <w:t>Estándar de competencia de la Corte Interamericana de Derechos Humanos en la Ley Orgánica de Actuación en casos de Personas Desaparecidas y Extraviadas</w:t>
      </w:r>
      <w:bookmarkEnd w:id="67"/>
    </w:p>
    <w:p w14:paraId="072BDA1E" w14:textId="229832FD" w:rsidR="00AE14F4" w:rsidRPr="00163BF5" w:rsidRDefault="00AE14F4" w:rsidP="00AE14F4">
      <w:pPr>
        <w:autoSpaceDE w:val="0"/>
        <w:autoSpaceDN w:val="0"/>
        <w:adjustRightInd w:val="0"/>
        <w:spacing w:line="480" w:lineRule="auto"/>
        <w:ind w:firstLine="708"/>
        <w:jc w:val="both"/>
        <w:rPr>
          <w:color w:val="000000" w:themeColor="text1"/>
          <w:lang w:eastAsia="es-ES_tradnl"/>
        </w:rPr>
      </w:pPr>
      <w:r w:rsidRPr="00163BF5">
        <w:rPr>
          <w:color w:val="000000" w:themeColor="text1"/>
          <w:lang w:eastAsia="es-ES_tradnl"/>
        </w:rPr>
        <w:t xml:space="preserve">Como se señaló en párrafos precedentes la Corte IDH establece que el estándar de competencia en la investigación, esta debe ser realizada de la manera más rigurosa posible, por medio de profesionales competentes en la materia y utilizando métodos y procedimientos apropiados. </w:t>
      </w:r>
    </w:p>
    <w:p w14:paraId="385B5BAF" w14:textId="20564BAA" w:rsidR="00AE14F4" w:rsidRPr="00163BF5" w:rsidRDefault="00AE14F4" w:rsidP="00AE14F4">
      <w:pPr>
        <w:autoSpaceDE w:val="0"/>
        <w:autoSpaceDN w:val="0"/>
        <w:adjustRightInd w:val="0"/>
        <w:spacing w:line="480" w:lineRule="auto"/>
        <w:ind w:firstLine="708"/>
        <w:jc w:val="both"/>
        <w:rPr>
          <w:color w:val="000000" w:themeColor="text1"/>
          <w:lang w:eastAsia="es-ES_tradnl"/>
        </w:rPr>
      </w:pPr>
      <w:r w:rsidRPr="00163BF5">
        <w:rPr>
          <w:color w:val="000000" w:themeColor="text1"/>
          <w:lang w:eastAsia="es-ES_tradnl"/>
        </w:rPr>
        <w:t xml:space="preserve">Este estándar se encuentra correctamente aplicado en la Ley Orgánica de Actuación en casos de Personas Desaparecidas y Extraviadas  dado que en artículo 9 establece el Sistema Nacional de Búsqueda de Personas Desaparecidas, Extraviadas y Respuesta a las Víctimas Indirectas como “un </w:t>
      </w:r>
      <w:r w:rsidRPr="00163BF5">
        <w:rPr>
          <w:color w:val="000000" w:themeColor="text1"/>
        </w:rPr>
        <w:t>conjunto articulado y coordinado de sistemas, instituciones, políticas, normas, programas y servicios con enfoque humanitario, para prevenir, investigar, buscar y localizar a personas desaparecidas o extraviadas, y garantizar sus derechos y los de las víctimas indirectas” (LOACPDE, 2020, art. 9)</w:t>
      </w:r>
      <w:r w:rsidR="00872F05" w:rsidRPr="00163BF5">
        <w:rPr>
          <w:color w:val="000000" w:themeColor="text1"/>
        </w:rPr>
        <w:t>.</w:t>
      </w:r>
    </w:p>
    <w:p w14:paraId="23D9178D" w14:textId="27A582E8" w:rsidR="00AE14F4" w:rsidRPr="00163BF5" w:rsidRDefault="00AE14F4" w:rsidP="00AE14F4">
      <w:pPr>
        <w:autoSpaceDE w:val="0"/>
        <w:autoSpaceDN w:val="0"/>
        <w:adjustRightInd w:val="0"/>
        <w:spacing w:line="480" w:lineRule="auto"/>
        <w:ind w:firstLine="708"/>
        <w:jc w:val="both"/>
        <w:rPr>
          <w:color w:val="000000" w:themeColor="text1"/>
        </w:rPr>
      </w:pPr>
      <w:r w:rsidRPr="00163BF5">
        <w:rPr>
          <w:color w:val="000000" w:themeColor="text1"/>
        </w:rPr>
        <w:t>Este Sistema Nacional de Búsqueda de Personas Desaparecidas, Extraviadas y Respuesta a las Víctimas Indirectas este compuesto por el órgano de gobierno, órgano ejecutor y entidades operativas</w:t>
      </w:r>
      <w:r w:rsidR="00872F05" w:rsidRPr="00163BF5">
        <w:rPr>
          <w:color w:val="000000" w:themeColor="text1"/>
        </w:rPr>
        <w:t xml:space="preserve"> </w:t>
      </w:r>
      <w:r w:rsidRPr="00163BF5">
        <w:rPr>
          <w:color w:val="000000" w:themeColor="text1"/>
        </w:rPr>
        <w:t>(LOACPDE, art. 10)</w:t>
      </w:r>
      <w:r w:rsidR="00872F05" w:rsidRPr="00163BF5">
        <w:rPr>
          <w:color w:val="000000" w:themeColor="text1"/>
        </w:rPr>
        <w:t>.</w:t>
      </w:r>
    </w:p>
    <w:p w14:paraId="5A6940EE" w14:textId="182CC8B1" w:rsidR="00AE14F4" w:rsidRPr="00163BF5" w:rsidRDefault="00AE14F4" w:rsidP="00AE14F4">
      <w:pPr>
        <w:autoSpaceDE w:val="0"/>
        <w:autoSpaceDN w:val="0"/>
        <w:adjustRightInd w:val="0"/>
        <w:spacing w:line="480" w:lineRule="auto"/>
        <w:ind w:firstLine="708"/>
        <w:jc w:val="both"/>
        <w:rPr>
          <w:color w:val="000000" w:themeColor="text1"/>
        </w:rPr>
      </w:pPr>
      <w:r w:rsidRPr="00163BF5">
        <w:rPr>
          <w:color w:val="000000" w:themeColor="text1"/>
        </w:rPr>
        <w:t xml:space="preserve">El órgano de gobierno el órgano de gobierno está a cargo de: </w:t>
      </w:r>
    </w:p>
    <w:p w14:paraId="23724A45" w14:textId="444132F2" w:rsidR="00AE14F4" w:rsidRPr="00163BF5" w:rsidRDefault="00AE14F4" w:rsidP="00A7013F">
      <w:pPr>
        <w:autoSpaceDE w:val="0"/>
        <w:autoSpaceDN w:val="0"/>
        <w:adjustRightInd w:val="0"/>
        <w:ind w:left="1440"/>
        <w:jc w:val="both"/>
        <w:rPr>
          <w:color w:val="000000" w:themeColor="text1"/>
          <w:sz w:val="22"/>
          <w:szCs w:val="22"/>
        </w:rPr>
      </w:pPr>
      <w:r w:rsidRPr="00163BF5">
        <w:rPr>
          <w:color w:val="000000" w:themeColor="text1"/>
          <w:sz w:val="22"/>
          <w:szCs w:val="22"/>
        </w:rPr>
        <w:t>Un Comité Directivo encargado de la articulación, planificación, coordinación, seguimiento y evaluación de políticas, estrategias y acciones para prevenir, investigar, buscar y localizar a personas desaparecidas o extraviadas, y garantizar sus derechos y los de las víctimas indirectas</w:t>
      </w:r>
      <w:r w:rsidR="00872F05" w:rsidRPr="00163BF5">
        <w:rPr>
          <w:color w:val="000000" w:themeColor="text1"/>
          <w:sz w:val="22"/>
          <w:szCs w:val="22"/>
        </w:rPr>
        <w:t>.</w:t>
      </w:r>
      <w:r w:rsidRPr="00163BF5">
        <w:rPr>
          <w:color w:val="000000" w:themeColor="text1"/>
          <w:sz w:val="22"/>
          <w:szCs w:val="22"/>
        </w:rPr>
        <w:t xml:space="preserve"> (LOACPDE, art. 10)</w:t>
      </w:r>
    </w:p>
    <w:p w14:paraId="20783CB8" w14:textId="77777777" w:rsidR="00A7013F" w:rsidRPr="00163BF5" w:rsidRDefault="00A7013F" w:rsidP="00A7013F">
      <w:pPr>
        <w:autoSpaceDE w:val="0"/>
        <w:autoSpaceDN w:val="0"/>
        <w:adjustRightInd w:val="0"/>
        <w:ind w:left="1440"/>
        <w:jc w:val="both"/>
        <w:rPr>
          <w:color w:val="000000" w:themeColor="text1"/>
          <w:sz w:val="22"/>
          <w:szCs w:val="22"/>
        </w:rPr>
      </w:pPr>
    </w:p>
    <w:p w14:paraId="729810BB" w14:textId="0212891F" w:rsidR="00AE14F4" w:rsidRPr="00163BF5" w:rsidRDefault="00AE14F4" w:rsidP="00AE14F4">
      <w:pPr>
        <w:autoSpaceDE w:val="0"/>
        <w:autoSpaceDN w:val="0"/>
        <w:adjustRightInd w:val="0"/>
        <w:spacing w:line="480" w:lineRule="auto"/>
        <w:ind w:firstLine="708"/>
        <w:jc w:val="both"/>
        <w:rPr>
          <w:color w:val="000000" w:themeColor="text1"/>
        </w:rPr>
      </w:pPr>
      <w:r w:rsidRPr="00163BF5">
        <w:rPr>
          <w:color w:val="000000" w:themeColor="text1"/>
        </w:rPr>
        <w:t>El Comité directivo este compuesto por “a) Fiscalía General del Estado, que lo presidirá, tendrá voto dirimente y coordinará el Sistema Nacional de Búsqueda de Personas Desaparecidas, Extraviadas y Respuesta a las Víctimas Indirectas; b) Ministerio de Gobierno; c) Secretaría de Derechos Humanos; y, d) Ministerio de Inclusión Económica y Social” (Reglamento LOACPDE, art. 3)</w:t>
      </w:r>
      <w:r w:rsidR="00872F05" w:rsidRPr="00163BF5">
        <w:rPr>
          <w:color w:val="000000" w:themeColor="text1"/>
        </w:rPr>
        <w:t>.</w:t>
      </w:r>
    </w:p>
    <w:p w14:paraId="4EC6C3B4" w14:textId="1C230B9B" w:rsidR="00AE14F4" w:rsidRPr="00163BF5" w:rsidRDefault="00AE14F4" w:rsidP="00AE14F4">
      <w:pPr>
        <w:autoSpaceDE w:val="0"/>
        <w:autoSpaceDN w:val="0"/>
        <w:adjustRightInd w:val="0"/>
        <w:spacing w:line="480" w:lineRule="auto"/>
        <w:ind w:firstLine="708"/>
        <w:jc w:val="both"/>
        <w:rPr>
          <w:color w:val="000000" w:themeColor="text1"/>
        </w:rPr>
      </w:pPr>
      <w:r w:rsidRPr="00163BF5">
        <w:rPr>
          <w:color w:val="000000" w:themeColor="text1"/>
        </w:rPr>
        <w:t>El órgano ejecutor este compuesto por la unidad rectora en materia de seguridad ciudadana y orden público, esta unidad es “[…]encargada de coordinar y monitorear las acciones necesarias para el cumplimiento de las políticas, directrices y lineamientos adoptados por el órgano de gobierno” (LOACPDE, art. 13)</w:t>
      </w:r>
      <w:r w:rsidR="00872F05" w:rsidRPr="00163BF5">
        <w:rPr>
          <w:color w:val="000000" w:themeColor="text1"/>
        </w:rPr>
        <w:t>.</w:t>
      </w:r>
    </w:p>
    <w:p w14:paraId="7780A41E" w14:textId="162E1F86" w:rsidR="00AE14F4" w:rsidRPr="00163BF5" w:rsidRDefault="00AE14F4" w:rsidP="00A521AA">
      <w:pPr>
        <w:autoSpaceDE w:val="0"/>
        <w:autoSpaceDN w:val="0"/>
        <w:adjustRightInd w:val="0"/>
        <w:spacing w:line="480" w:lineRule="auto"/>
        <w:ind w:firstLine="708"/>
        <w:jc w:val="both"/>
        <w:rPr>
          <w:color w:val="000000" w:themeColor="text1"/>
        </w:rPr>
      </w:pPr>
      <w:r w:rsidRPr="00163BF5">
        <w:rPr>
          <w:color w:val="000000" w:themeColor="text1"/>
        </w:rPr>
        <w:t>Por último, las entidades operativas del Sistema Nacional de Búsqueda de Personas Desaparecidas, Extraviadas y Respuesta a las Víctimas Indirecta, “[…] contarán con la participación de la unidad especializada de la Policía Nacional, unidad especializada de la Fiscalía General; y, el Servicio de Medicina Legal y Ciencias Forenses, […]” (LOACPDE, art. 13)</w:t>
      </w:r>
      <w:r w:rsidR="00872F05" w:rsidRPr="00163BF5">
        <w:rPr>
          <w:color w:val="000000" w:themeColor="text1"/>
        </w:rPr>
        <w:t>.</w:t>
      </w:r>
    </w:p>
    <w:p w14:paraId="1D251A4C" w14:textId="22D1BE7E" w:rsidR="00AE14F4" w:rsidRPr="00163BF5" w:rsidRDefault="00AE14F4" w:rsidP="009F304A">
      <w:pPr>
        <w:pStyle w:val="Ttulo4"/>
        <w:numPr>
          <w:ilvl w:val="3"/>
          <w:numId w:val="32"/>
        </w:numPr>
        <w:rPr>
          <w:rFonts w:ascii="Times New Roman" w:hAnsi="Times New Roman" w:cs="Times New Roman"/>
          <w:color w:val="000000" w:themeColor="text1"/>
        </w:rPr>
      </w:pPr>
      <w:bookmarkStart w:id="68" w:name="_Toc67513417"/>
      <w:r w:rsidRPr="00163BF5">
        <w:rPr>
          <w:rFonts w:ascii="Times New Roman" w:hAnsi="Times New Roman" w:cs="Times New Roman"/>
          <w:color w:val="000000" w:themeColor="text1"/>
        </w:rPr>
        <w:t>Estándar de independencia e imparcialidad de las autoridades a cargo de la investigación de la Corte Interamericana de Derechos Humanos en la Ley Orgánica de Actuación en casos de Personas Desaparecidas y Extraviadas</w:t>
      </w:r>
      <w:bookmarkEnd w:id="68"/>
    </w:p>
    <w:p w14:paraId="336E91C7" w14:textId="661FED0F"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La Corte IDH en su jurisprudencia si bien se refiere a este estándar mayoritariamente en la etapa de juzgamiento, refiriéndose a la independencia e imparcialidad de los jueces, en el Caso Cantoral Huamaní y García Sata Cruz Vs. Perú establece que la imparcialidad debe darse a lo largo de toda la investigación incluso en la recolección de pruebas. </w:t>
      </w:r>
    </w:p>
    <w:p w14:paraId="33DB53AA" w14:textId="039C1D01"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En la normativa ecuatoriana en lo referente a la independencia la Constitución de la República del Ecuador en el artículo 168 numeral 1 establece que: “1) Los órganos de la Función Judicial gozarán de independencia interna y externa. Toda violación a este principio conllevará responsabilidad administrativa, civil y penal de acuerdo con la ley” (CRE, 2008, art. 168)</w:t>
      </w:r>
      <w:r w:rsidR="00872F05" w:rsidRPr="00163BF5">
        <w:rPr>
          <w:color w:val="000000" w:themeColor="text1"/>
          <w:lang w:eastAsia="es-ES_tradnl"/>
        </w:rPr>
        <w:t>.</w:t>
      </w:r>
    </w:p>
    <w:p w14:paraId="00256878" w14:textId="13A765A6"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En cuanto a la imparcialidad, la Constitución de la República del Ecuador en el artículo 76 literal k establece que es un derecho “ser juzgado por una jueza o juez independiente, imparcial y competente.  […]” (CRE, 2008, art. 76)</w:t>
      </w:r>
      <w:r w:rsidR="00872F05" w:rsidRPr="00163BF5">
        <w:rPr>
          <w:color w:val="000000" w:themeColor="text1"/>
          <w:lang w:eastAsia="es-ES_tradnl"/>
        </w:rPr>
        <w:t>.</w:t>
      </w:r>
    </w:p>
    <w:p w14:paraId="3625708D" w14:textId="77777777"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El Código Orgánico de la Función Judicial, que regula las atribuciones y deberes de los órganos jurisdiccionales, auxiliares, autónomos y administrativos establece en los artículos 8 y 9 los principios de independencia e imparcialidad respectivamente. </w:t>
      </w:r>
    </w:p>
    <w:p w14:paraId="555BAA76" w14:textId="77777777"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 xml:space="preserve">Art. 8.- PRINCIPIO DE INDEPENDENCIA. - Las juezas y jueces solo están sometidos en el ejercicio de la potestad jurisdiccional a la Constitución, a los instrumentos internacionales de derechos humanos y a la ley. Al ejercerla, son independientes incluso frente a los demás órganos de la Función Judicial. </w:t>
      </w:r>
    </w:p>
    <w:p w14:paraId="38A765E8" w14:textId="77777777"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 xml:space="preserve">Ninguna Función, órgano o autoridad del Estado podrá interferir en el ejercicio de los deberes y atribuciones de la Función Judicial. </w:t>
      </w:r>
    </w:p>
    <w:p w14:paraId="08FD447C" w14:textId="77777777"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Toda violación a este principio conllevará responsabilidad administrativa, civil y/o penal, de acuerdo con la ley. (COFJ, 2009, art. 8)</w:t>
      </w:r>
    </w:p>
    <w:p w14:paraId="7738FC4B" w14:textId="77777777"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Art. 9.- PRINCIPIO DE IMPARCIALIDAD. - La actuación de las juezas y jueces de la Función Judicial será imparcial, respetando la igualdad ante la ley. En todos los procesos a su cargo, las juezas y jueces deberán resolver siempre las pretensiones y excepciones que hayan deducido los litigantes, sobre la única base de la Constitución, los instrumentos internacionales de derechos humanos, los instrumentos internacionales ratificados por el Estado, la ley y los elementos probatorios aportados por las partes.</w:t>
      </w:r>
    </w:p>
    <w:p w14:paraId="6033D2BD" w14:textId="01DDC7D4"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 xml:space="preserve"> Con la finalidad de preservar el derecho a la defensa y a la réplica, no se permitirá la realización de audiencias o reuniones privadas o fuera de las etapas procesales correspondientes, entre la jueza o el juez y las partes o sus defensores, salvo que se notifique a la otra parte de conformidad con lo dispuesto en el numeral 14 del artículo 103 de esta ley. (COFJ, 2009, art. 9)</w:t>
      </w:r>
    </w:p>
    <w:p w14:paraId="3447CDD5" w14:textId="77777777" w:rsidR="00A7013F" w:rsidRPr="00163BF5" w:rsidRDefault="00A7013F" w:rsidP="00AE14F4">
      <w:pPr>
        <w:ind w:left="1440"/>
        <w:jc w:val="both"/>
        <w:rPr>
          <w:color w:val="000000" w:themeColor="text1"/>
          <w:sz w:val="22"/>
          <w:szCs w:val="22"/>
          <w:lang w:eastAsia="es-ES_tradnl"/>
        </w:rPr>
      </w:pPr>
    </w:p>
    <w:p w14:paraId="219845E2" w14:textId="6A66210B" w:rsidR="00AE14F4" w:rsidRPr="00163BF5" w:rsidRDefault="00AE14F4" w:rsidP="00AE14F4">
      <w:pPr>
        <w:spacing w:line="480" w:lineRule="auto"/>
        <w:jc w:val="both"/>
        <w:rPr>
          <w:color w:val="000000" w:themeColor="text1"/>
          <w:lang w:eastAsia="es-ES_tradnl"/>
        </w:rPr>
      </w:pPr>
      <w:r w:rsidRPr="00163BF5">
        <w:rPr>
          <w:color w:val="000000" w:themeColor="text1"/>
          <w:lang w:eastAsia="es-ES_tradnl"/>
        </w:rPr>
        <w:tab/>
        <w:t>La Ley Orgánica de actuación en Casos de Personas Desaparecidas y Extraviadas, se refiere únicamente a la independencia judicial en el artículo 3 numeral 11 que establece: “Los órganos de la función judicial gozarán de independencia interna y externa; en consecuencia, ninguna función, órgano o autoridad del Estado podrá interferir en el ejercicio de los deberes y atribuciones de la Función Judicial” (LOACPDE, 2020, art. 3)</w:t>
      </w:r>
      <w:r w:rsidR="00872F05" w:rsidRPr="00163BF5">
        <w:rPr>
          <w:color w:val="000000" w:themeColor="text1"/>
          <w:lang w:eastAsia="es-ES_tradnl"/>
        </w:rPr>
        <w:t>.</w:t>
      </w:r>
    </w:p>
    <w:p w14:paraId="69BDAC8A" w14:textId="6AC78413"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Como se ha observado a lo largo de la presente sección</w:t>
      </w:r>
      <w:r w:rsidR="004C7C5B" w:rsidRPr="00163BF5">
        <w:rPr>
          <w:color w:val="000000" w:themeColor="text1"/>
          <w:lang w:eastAsia="es-ES_tradnl"/>
        </w:rPr>
        <w:t>,</w:t>
      </w:r>
      <w:r w:rsidRPr="00163BF5">
        <w:rPr>
          <w:color w:val="000000" w:themeColor="text1"/>
          <w:lang w:eastAsia="es-ES_tradnl"/>
        </w:rPr>
        <w:t xml:space="preserve"> la normativa ecuatoriana desarrolla de manera efectiva el estándar de independencia e imparcialidad en lo que refiere al juzgamiento. Sin embargo, en lo referente a la independencia e imparcialidad en la investigación</w:t>
      </w:r>
      <w:r w:rsidR="00A521AA" w:rsidRPr="00163BF5">
        <w:rPr>
          <w:color w:val="000000" w:themeColor="text1"/>
          <w:lang w:eastAsia="es-ES_tradnl"/>
        </w:rPr>
        <w:t>, en casos de desaparición involuntaria</w:t>
      </w:r>
      <w:r w:rsidRPr="00163BF5">
        <w:rPr>
          <w:color w:val="000000" w:themeColor="text1"/>
          <w:lang w:eastAsia="es-ES_tradnl"/>
        </w:rPr>
        <w:t xml:space="preserve"> no se menciona nada, por lo que el estándar se encontraría implementado de manera incompleta.   </w:t>
      </w:r>
    </w:p>
    <w:p w14:paraId="2C91283D" w14:textId="6377929F" w:rsidR="00AE14F4" w:rsidRPr="00163BF5" w:rsidRDefault="00AE14F4" w:rsidP="009F304A">
      <w:pPr>
        <w:pStyle w:val="Ttulo4"/>
        <w:numPr>
          <w:ilvl w:val="3"/>
          <w:numId w:val="32"/>
        </w:numPr>
        <w:rPr>
          <w:rFonts w:ascii="Times New Roman" w:hAnsi="Times New Roman" w:cs="Times New Roman"/>
          <w:color w:val="000000" w:themeColor="text1"/>
        </w:rPr>
      </w:pPr>
      <w:bookmarkStart w:id="69" w:name="_Toc67513418"/>
      <w:r w:rsidRPr="00163BF5">
        <w:rPr>
          <w:rFonts w:ascii="Times New Roman" w:hAnsi="Times New Roman" w:cs="Times New Roman"/>
          <w:color w:val="000000" w:themeColor="text1"/>
        </w:rPr>
        <w:t>Estándar de exhaustividad de la Corte Interamericana de Derechos Humanos en la Ley Orgánica de Actuación en casos de Personas Desaparecidas y Extraviadas</w:t>
      </w:r>
      <w:bookmarkEnd w:id="69"/>
      <w:r w:rsidR="00AE1455" w:rsidRPr="00163BF5">
        <w:rPr>
          <w:rFonts w:ascii="Times New Roman" w:hAnsi="Times New Roman" w:cs="Times New Roman"/>
          <w:color w:val="000000" w:themeColor="text1"/>
        </w:rPr>
        <w:t xml:space="preserve"> </w:t>
      </w:r>
    </w:p>
    <w:p w14:paraId="57C17A89" w14:textId="0F4BE29A"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La Corte IDH acerca del estándar de exhaustividad ha mencionado toda investigación de una vulneración a un derecho humano está dirigida a determinar la verdad y la posterior persecución, captura y juzgamiento de los responsables (Corte IDH, Caso Heliodoro Portugal Vs. Panamá, 2008, párr. 144). </w:t>
      </w:r>
    </w:p>
    <w:p w14:paraId="60075248" w14:textId="406A434E" w:rsidR="00E334E2" w:rsidRPr="00163BF5" w:rsidRDefault="00AE14F4" w:rsidP="00E334E2">
      <w:pPr>
        <w:spacing w:line="480" w:lineRule="auto"/>
        <w:ind w:firstLine="708"/>
        <w:jc w:val="both"/>
        <w:rPr>
          <w:color w:val="000000" w:themeColor="text1"/>
          <w:lang w:eastAsia="es-ES_tradnl"/>
        </w:rPr>
      </w:pPr>
      <w:r w:rsidRPr="00163BF5">
        <w:rPr>
          <w:color w:val="000000" w:themeColor="text1"/>
          <w:lang w:eastAsia="es-ES_tradnl"/>
        </w:rPr>
        <w:t>Si bien este estándar no es ampliamente desarrollado por la Corte IDH como otros que se han observado anteriormente, la Ley Orgánica de actuación en Casos de Personas Desaparecidas y Extraviadas lo implementa a lo largo de su redacción, en especial se puede visualizar este estándar en el artículo 3 numeral 9 que establece: “[…] todo proceso de búsqueda, investigación y localización de personas desaparecidas o extraviadas, se buscará la verdad de los hechos que motivaron la desaparición o extravío y se entregará a las víctimas indirectas la información de manera oportuna” (LOACPDE, 2020, art. 3)</w:t>
      </w:r>
      <w:r w:rsidR="00872F05" w:rsidRPr="00163BF5">
        <w:rPr>
          <w:color w:val="000000" w:themeColor="text1"/>
          <w:lang w:eastAsia="es-ES_tradnl"/>
        </w:rPr>
        <w:t>.</w:t>
      </w:r>
    </w:p>
    <w:p w14:paraId="20CA8025" w14:textId="22D5BEDD" w:rsidR="00A521AA" w:rsidRPr="00163BF5" w:rsidRDefault="00A521AA" w:rsidP="00066AEC">
      <w:pPr>
        <w:spacing w:line="480" w:lineRule="auto"/>
        <w:ind w:firstLine="708"/>
        <w:jc w:val="both"/>
        <w:rPr>
          <w:color w:val="000000" w:themeColor="text1"/>
          <w:lang w:eastAsia="es-ES_tradnl"/>
        </w:rPr>
      </w:pPr>
      <w:r w:rsidRPr="00163BF5">
        <w:rPr>
          <w:color w:val="000000" w:themeColor="text1"/>
          <w:lang w:eastAsia="es-ES_tradnl"/>
        </w:rPr>
        <w:t xml:space="preserve">En cuanto a la relación del presente </w:t>
      </w:r>
      <w:proofErr w:type="spellStart"/>
      <w:r w:rsidRPr="00163BF5">
        <w:rPr>
          <w:color w:val="000000" w:themeColor="text1"/>
          <w:lang w:eastAsia="es-ES_tradnl"/>
        </w:rPr>
        <w:t>esta</w:t>
      </w:r>
      <w:r w:rsidR="004C7C5B" w:rsidRPr="00163BF5">
        <w:rPr>
          <w:color w:val="000000" w:themeColor="text1"/>
          <w:lang w:eastAsia="es-ES_tradnl"/>
        </w:rPr>
        <w:t>ndar</w:t>
      </w:r>
      <w:proofErr w:type="spellEnd"/>
      <w:r w:rsidRPr="00163BF5">
        <w:rPr>
          <w:color w:val="000000" w:themeColor="text1"/>
          <w:lang w:eastAsia="es-ES_tradnl"/>
        </w:rPr>
        <w:t xml:space="preserve"> con la desaparición involuntaria, hay que entender que antes de la emisión de la Ley Orgánica de Actuación en casos de Personas Desaparecidas y Extraviadas este estándar no era aplicado por parte de las autoridades encargadas de la búsqueda y localización de personas desaparecidas, dado que dichas autoridades emitían cantidades exorbitantes de informes que no conducían a la verdad</w:t>
      </w:r>
    </w:p>
    <w:p w14:paraId="6C1BFD3D" w14:textId="563004C1" w:rsidR="00AE14F4" w:rsidRPr="00163BF5" w:rsidRDefault="00AE14F4" w:rsidP="009F304A">
      <w:pPr>
        <w:pStyle w:val="Ttulo4"/>
        <w:numPr>
          <w:ilvl w:val="3"/>
          <w:numId w:val="32"/>
        </w:numPr>
        <w:rPr>
          <w:rFonts w:ascii="Times New Roman" w:hAnsi="Times New Roman" w:cs="Times New Roman"/>
          <w:color w:val="000000" w:themeColor="text1"/>
        </w:rPr>
      </w:pPr>
      <w:bookmarkStart w:id="70" w:name="_Toc67513419"/>
      <w:r w:rsidRPr="00163BF5">
        <w:rPr>
          <w:rFonts w:ascii="Times New Roman" w:hAnsi="Times New Roman" w:cs="Times New Roman"/>
          <w:color w:val="000000" w:themeColor="text1"/>
        </w:rPr>
        <w:t>Estándar de participación de las víctimas y sus familiares de la Corte Interamericana de Derechos Humanos en la Ley Orgánica de Actuación en casos de Personas Desaparecidas y Extraviadas</w:t>
      </w:r>
      <w:bookmarkEnd w:id="70"/>
    </w:p>
    <w:p w14:paraId="08CF0653" w14:textId="18D807F2" w:rsidR="00AE14F4" w:rsidRPr="00163BF5" w:rsidRDefault="00AE14F4" w:rsidP="00872F05">
      <w:pPr>
        <w:spacing w:line="480" w:lineRule="auto"/>
        <w:ind w:firstLine="708"/>
        <w:jc w:val="both"/>
        <w:rPr>
          <w:color w:val="000000" w:themeColor="text1"/>
          <w:lang w:eastAsia="es-ES_tradnl"/>
        </w:rPr>
      </w:pPr>
      <w:r w:rsidRPr="00163BF5">
        <w:rPr>
          <w:color w:val="000000" w:themeColor="text1"/>
          <w:lang w:eastAsia="es-ES_tradnl"/>
        </w:rPr>
        <w:t xml:space="preserve">Como se observó cuando se realizó el análisis del estándar de participación de víctimas y sus familiares en la investigación por parte de la Corte IDH, se pudo establecer que familiares la Corte IDH ha establecido que: “[…] el Estado debe asegurar que los familiares […]  tengan pleno acceso y capacidad de actuar en todas las etapas e instancias de dichas investigaciones y procesos, de acuerdo con la ley interna y las normas de la Convención Americana” (Corte IDH, Caso Heliodoro Portugal Vs. Panamá, 2008, párr. 247). </w:t>
      </w:r>
    </w:p>
    <w:p w14:paraId="093246B1" w14:textId="77777777" w:rsidR="00AE14F4" w:rsidRPr="00163BF5" w:rsidRDefault="00AE14F4" w:rsidP="00872F05">
      <w:pPr>
        <w:spacing w:line="480" w:lineRule="auto"/>
        <w:ind w:firstLine="708"/>
        <w:jc w:val="both"/>
        <w:rPr>
          <w:color w:val="000000" w:themeColor="text1"/>
          <w:lang w:eastAsia="es-ES_tradnl"/>
        </w:rPr>
      </w:pPr>
      <w:r w:rsidRPr="00163BF5">
        <w:rPr>
          <w:color w:val="000000" w:themeColor="text1"/>
          <w:lang w:eastAsia="es-ES_tradnl"/>
        </w:rPr>
        <w:t>De igual manera la Corte IDH hace un llamado a los Estados a “regular</w:t>
      </w:r>
      <w:r w:rsidRPr="00163BF5">
        <w:rPr>
          <w:i/>
          <w:iCs/>
          <w:color w:val="000000" w:themeColor="text1"/>
          <w:lang w:eastAsia="es-ES_tradnl"/>
        </w:rPr>
        <w:t xml:space="preserve"> </w:t>
      </w:r>
      <w:r w:rsidRPr="00163BF5">
        <w:rPr>
          <w:color w:val="000000" w:themeColor="text1"/>
          <w:lang w:eastAsia="es-ES_tradnl"/>
        </w:rPr>
        <w:t xml:space="preserve">[…] las normas que permitan que los ofendidos o perjudicados denuncien o ejerzan la acción penal y, en su caso, participen en la investigación y en el proceso” (Corte IDH, Caso Ríos y otros Vs. Venezuela, 2009, párr. 284) </w:t>
      </w:r>
    </w:p>
    <w:p w14:paraId="68CEB20A" w14:textId="77777777" w:rsidR="00AE14F4" w:rsidRPr="00163BF5" w:rsidRDefault="00AE14F4" w:rsidP="00872F05">
      <w:pPr>
        <w:spacing w:line="480" w:lineRule="auto"/>
        <w:ind w:firstLine="708"/>
        <w:jc w:val="both"/>
        <w:rPr>
          <w:color w:val="000000" w:themeColor="text1"/>
          <w:lang w:eastAsia="es-ES_tradnl"/>
        </w:rPr>
      </w:pPr>
      <w:r w:rsidRPr="00163BF5">
        <w:rPr>
          <w:color w:val="000000" w:themeColor="text1"/>
          <w:lang w:eastAsia="es-ES_tradnl"/>
        </w:rPr>
        <w:t xml:space="preserve">Este estándar se encuentra debidamente implementando en la Ley Orgánica de Actuación en Casos de Personas Desaparecidas y Extraviadas, en su artículo 6 establece los derechos de las víctimas indirectas que son: </w:t>
      </w:r>
    </w:p>
    <w:p w14:paraId="5C911D3F" w14:textId="77777777" w:rsidR="00AE14F4" w:rsidRPr="00163BF5" w:rsidRDefault="00AE14F4" w:rsidP="00AE14F4">
      <w:pPr>
        <w:ind w:left="1416"/>
        <w:jc w:val="both"/>
        <w:rPr>
          <w:color w:val="000000" w:themeColor="text1"/>
          <w:sz w:val="22"/>
          <w:szCs w:val="22"/>
          <w:lang w:eastAsia="es-ES_tradnl"/>
        </w:rPr>
      </w:pPr>
      <w:r w:rsidRPr="00163BF5">
        <w:rPr>
          <w:color w:val="000000" w:themeColor="text1"/>
          <w:sz w:val="22"/>
          <w:szCs w:val="22"/>
          <w:lang w:eastAsia="es-ES_tradnl"/>
        </w:rPr>
        <w:t>Art. 6.- Derechos de las víctimas indirectas. Las víctimas indirectas tendrán derecho a:</w:t>
      </w:r>
    </w:p>
    <w:p w14:paraId="461BDE24" w14:textId="77777777"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1. La verdad, tutela judicial efectiva y derechos conexos;</w:t>
      </w:r>
    </w:p>
    <w:p w14:paraId="3625E644" w14:textId="77777777"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2. Solicitar a la autoridad competente el acompañamiento y atención necesarias en el ámbito psicológico, durante y después de la búsqueda y localización de la persona desaparecida o extraviada;</w:t>
      </w:r>
    </w:p>
    <w:p w14:paraId="66FF9AB7" w14:textId="77777777"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3. Participar y cooperar en la investigación, búsqueda y localización de la persona desaparecida o extraviada;</w:t>
      </w:r>
    </w:p>
    <w:p w14:paraId="76DF3A6A" w14:textId="77777777"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4. Ser informadas de manera oportuna y periódica acerca de las circunstancias de los hechos de la desaparición o extravío, de cualquier dato relevante y del paradero de la persona reportada como desaparecida o extraviada. Si existen elementos constitutivos de un presunto delito, a conocer a los presuntos responsables y las acciones realizadas por la autoridad competente de conformidad con lo previsto en el Código Orgánico Integral Penal;</w:t>
      </w:r>
    </w:p>
    <w:p w14:paraId="6CD0EFD6" w14:textId="77777777" w:rsidR="00AE14F4" w:rsidRPr="00163BF5" w:rsidRDefault="00AE14F4" w:rsidP="00AE14F4">
      <w:pPr>
        <w:ind w:left="1440"/>
        <w:jc w:val="both"/>
        <w:rPr>
          <w:color w:val="000000" w:themeColor="text1"/>
          <w:sz w:val="22"/>
          <w:szCs w:val="22"/>
          <w:lang w:eastAsia="es-ES_tradnl"/>
        </w:rPr>
      </w:pPr>
      <w:r w:rsidRPr="00163BF5">
        <w:rPr>
          <w:color w:val="000000" w:themeColor="text1"/>
          <w:sz w:val="22"/>
          <w:szCs w:val="22"/>
          <w:lang w:eastAsia="es-ES_tradnl"/>
        </w:rPr>
        <w:t>5. No ser discriminadas ni estigmatizadas por cualquier razón que tenga por objeto o resultado menoscabar o anular el reconocimiento, goce o ejercicio de sus derechos; y,</w:t>
      </w:r>
    </w:p>
    <w:p w14:paraId="57EC3BC5" w14:textId="1C26E6D9" w:rsidR="00A521AA" w:rsidRPr="00163BF5" w:rsidRDefault="00AE14F4" w:rsidP="00A7013F">
      <w:pPr>
        <w:ind w:left="1440"/>
        <w:jc w:val="both"/>
        <w:rPr>
          <w:color w:val="000000" w:themeColor="text1"/>
          <w:sz w:val="22"/>
          <w:szCs w:val="22"/>
          <w:lang w:eastAsia="es-ES_tradnl"/>
        </w:rPr>
      </w:pPr>
      <w:r w:rsidRPr="00163BF5">
        <w:rPr>
          <w:color w:val="000000" w:themeColor="text1"/>
          <w:sz w:val="22"/>
          <w:szCs w:val="22"/>
          <w:lang w:eastAsia="es-ES_tradnl"/>
        </w:rPr>
        <w:t>6. Identificar y reconocer a la persona desaparecida o extraviada cuando esta haya sido encontrada con o sin vida. (LOACPDE, 2020, art. 6)</w:t>
      </w:r>
    </w:p>
    <w:p w14:paraId="1B72CDF4" w14:textId="77777777" w:rsidR="00A7013F" w:rsidRPr="00163BF5" w:rsidRDefault="00A7013F" w:rsidP="00A7013F">
      <w:pPr>
        <w:ind w:left="1440"/>
        <w:jc w:val="both"/>
        <w:rPr>
          <w:color w:val="000000" w:themeColor="text1"/>
          <w:sz w:val="22"/>
          <w:szCs w:val="22"/>
          <w:lang w:eastAsia="es-ES_tradnl"/>
        </w:rPr>
      </w:pPr>
    </w:p>
    <w:p w14:paraId="75A189A0" w14:textId="24D8D99F" w:rsidR="00AE14F4" w:rsidRPr="00163BF5" w:rsidRDefault="00AE14F4" w:rsidP="00AE14F4">
      <w:pPr>
        <w:spacing w:line="480" w:lineRule="auto"/>
        <w:ind w:firstLine="708"/>
        <w:jc w:val="both"/>
        <w:rPr>
          <w:color w:val="000000" w:themeColor="text1"/>
          <w:lang w:eastAsia="es-ES_tradnl"/>
        </w:rPr>
      </w:pPr>
      <w:r w:rsidRPr="00163BF5">
        <w:rPr>
          <w:color w:val="000000" w:themeColor="text1"/>
          <w:lang w:eastAsia="es-ES_tradnl"/>
        </w:rPr>
        <w:t xml:space="preserve">En </w:t>
      </w:r>
      <w:r w:rsidR="004C7C5B" w:rsidRPr="00163BF5">
        <w:rPr>
          <w:color w:val="000000" w:themeColor="text1"/>
          <w:lang w:eastAsia="es-ES_tradnl"/>
        </w:rPr>
        <w:t>suma,</w:t>
      </w:r>
      <w:r w:rsidRPr="00163BF5">
        <w:rPr>
          <w:color w:val="000000" w:themeColor="text1"/>
          <w:lang w:eastAsia="es-ES_tradnl"/>
        </w:rPr>
        <w:t xml:space="preserve"> se puede establecer que el estándar de oportunidad, y el estándar de independencia e imparcialidad de la Corte Interamericana de Derechos Humanos se encuentran mal aplicados en la Ley Orgánica de Actuación en Casos de Personas Desaparecidas y Extraviada</w:t>
      </w:r>
      <w:r w:rsidR="003A6E3D" w:rsidRPr="00163BF5">
        <w:rPr>
          <w:color w:val="000000" w:themeColor="text1"/>
          <w:lang w:eastAsia="es-ES_tradnl"/>
        </w:rPr>
        <w:t>s en casos de personas desaparecidas involuntariamente.</w:t>
      </w:r>
      <w:r w:rsidRPr="00163BF5">
        <w:rPr>
          <w:color w:val="000000" w:themeColor="text1"/>
          <w:lang w:eastAsia="es-ES_tradnl"/>
        </w:rPr>
        <w:t xml:space="preserve"> En lo referente a los estándares de oficiosidad, competencia, exhaustividad y participación de víctimas y familiares, estos se encuentran debidamente aplicados en la norma. </w:t>
      </w:r>
    </w:p>
    <w:p w14:paraId="4671B42D" w14:textId="47A4E4FF" w:rsidR="00A521AA" w:rsidRPr="00163BF5" w:rsidRDefault="00A521AA" w:rsidP="00872F05">
      <w:pPr>
        <w:spacing w:line="480" w:lineRule="auto"/>
        <w:ind w:firstLine="708"/>
        <w:jc w:val="both"/>
        <w:rPr>
          <w:color w:val="000000" w:themeColor="text1"/>
          <w:lang w:eastAsia="es-ES_tradnl"/>
        </w:rPr>
      </w:pPr>
      <w:r w:rsidRPr="00163BF5">
        <w:rPr>
          <w:color w:val="000000" w:themeColor="text1"/>
          <w:lang w:eastAsia="es-ES_tradnl"/>
        </w:rPr>
        <w:t>De igual manera, hay que mencionar que estas fallas en la aplicación del estándar de oportunidad y el estándar de independencia e imparcialidad no se encuentran subsanados con la expedición del Reglamento a la Ley de Actuación en Casos de Personas Desaparecidas y Extraviadas, dado que este se enfoca en la determinación de los órganos de gobierno, órganos ejecutores y entidades operativas, que componen el Sistema Nacional de Búsqueda de Personas Desaparecidas, Extraviadas y Respuesta a las Víctimas Indirectas.</w:t>
      </w:r>
    </w:p>
    <w:p w14:paraId="3CDFECB3" w14:textId="4079A59F" w:rsidR="00A521AA" w:rsidRPr="00163BF5" w:rsidRDefault="00A521AA" w:rsidP="00AE14F4">
      <w:pPr>
        <w:spacing w:line="480" w:lineRule="auto"/>
        <w:ind w:firstLine="708"/>
        <w:jc w:val="both"/>
        <w:rPr>
          <w:color w:val="000000" w:themeColor="text1"/>
          <w:lang w:eastAsia="es-ES_tradnl"/>
        </w:rPr>
      </w:pPr>
      <w:r w:rsidRPr="00163BF5">
        <w:rPr>
          <w:color w:val="000000" w:themeColor="text1"/>
          <w:lang w:eastAsia="es-ES_tradnl"/>
        </w:rPr>
        <w:t xml:space="preserve">En cuanto a la relación de este estándar con la desaparición involuntaria, hay que entender que en situaciones de desaparición, la familia, es decir las victimas indirectas son las que en muchas ocasiones impulsan el proceso, siendo gracias a casos emblemáticos como </w:t>
      </w:r>
      <w:r w:rsidR="004C7C5B" w:rsidRPr="00163BF5">
        <w:rPr>
          <w:color w:val="000000" w:themeColor="text1"/>
          <w:lang w:eastAsia="es-ES_tradnl"/>
        </w:rPr>
        <w:t xml:space="preserve">los de </w:t>
      </w:r>
      <w:r w:rsidRPr="00163BF5">
        <w:rPr>
          <w:color w:val="000000" w:themeColor="text1"/>
          <w:lang w:eastAsia="es-ES_tradnl"/>
        </w:rPr>
        <w:t xml:space="preserve">Juliana Campoverde, Carolina </w:t>
      </w:r>
      <w:r w:rsidR="00521E0A" w:rsidRPr="00163BF5">
        <w:rPr>
          <w:color w:val="000000" w:themeColor="text1"/>
          <w:lang w:eastAsia="es-ES_tradnl"/>
        </w:rPr>
        <w:t>Garzón</w:t>
      </w:r>
      <w:r w:rsidRPr="00163BF5">
        <w:rPr>
          <w:color w:val="000000" w:themeColor="text1"/>
          <w:lang w:eastAsia="es-ES_tradnl"/>
        </w:rPr>
        <w:t>, entre otros</w:t>
      </w:r>
      <w:r w:rsidR="004C7C5B" w:rsidRPr="00163BF5">
        <w:rPr>
          <w:color w:val="000000" w:themeColor="text1"/>
          <w:lang w:eastAsia="es-ES_tradnl"/>
        </w:rPr>
        <w:t>,</w:t>
      </w:r>
      <w:r w:rsidRPr="00163BF5">
        <w:rPr>
          <w:color w:val="000000" w:themeColor="text1"/>
          <w:lang w:eastAsia="es-ES_tradnl"/>
        </w:rPr>
        <w:t xml:space="preserve"> que hoy en día exista una norma que tutele los derechos de las personas desaparecidas. </w:t>
      </w:r>
    </w:p>
    <w:p w14:paraId="07B5B7DC" w14:textId="615B336F" w:rsidR="00F92151" w:rsidRPr="00163BF5" w:rsidRDefault="00F92151" w:rsidP="00AE14F4">
      <w:pPr>
        <w:spacing w:line="480" w:lineRule="auto"/>
        <w:ind w:firstLine="708"/>
        <w:jc w:val="both"/>
        <w:rPr>
          <w:color w:val="000000" w:themeColor="text1"/>
          <w:lang w:eastAsia="es-ES_tradnl"/>
        </w:rPr>
      </w:pPr>
    </w:p>
    <w:p w14:paraId="02D1123A" w14:textId="29B4F9F0" w:rsidR="00F92151" w:rsidRPr="00163BF5" w:rsidRDefault="00F92151" w:rsidP="00AE14F4">
      <w:pPr>
        <w:spacing w:line="480" w:lineRule="auto"/>
        <w:ind w:firstLine="708"/>
        <w:jc w:val="both"/>
        <w:rPr>
          <w:color w:val="000000" w:themeColor="text1"/>
          <w:lang w:eastAsia="es-ES_tradnl"/>
        </w:rPr>
      </w:pPr>
    </w:p>
    <w:p w14:paraId="1EE52EE1" w14:textId="59442B2E" w:rsidR="00F92151" w:rsidRPr="00163BF5" w:rsidRDefault="00F92151" w:rsidP="00AE14F4">
      <w:pPr>
        <w:spacing w:line="480" w:lineRule="auto"/>
        <w:ind w:firstLine="708"/>
        <w:jc w:val="both"/>
        <w:rPr>
          <w:color w:val="000000" w:themeColor="text1"/>
          <w:lang w:eastAsia="es-ES_tradnl"/>
        </w:rPr>
      </w:pPr>
    </w:p>
    <w:p w14:paraId="27395B74" w14:textId="5E763F84" w:rsidR="00F92151" w:rsidRPr="00163BF5" w:rsidRDefault="00F92151" w:rsidP="00AE14F4">
      <w:pPr>
        <w:spacing w:line="480" w:lineRule="auto"/>
        <w:ind w:firstLine="708"/>
        <w:jc w:val="both"/>
        <w:rPr>
          <w:color w:val="000000" w:themeColor="text1"/>
          <w:lang w:eastAsia="es-ES_tradnl"/>
        </w:rPr>
      </w:pPr>
    </w:p>
    <w:p w14:paraId="796F84A4" w14:textId="464071AD" w:rsidR="00F92151" w:rsidRPr="00163BF5" w:rsidRDefault="00F92151" w:rsidP="00AE14F4">
      <w:pPr>
        <w:spacing w:line="480" w:lineRule="auto"/>
        <w:ind w:firstLine="708"/>
        <w:jc w:val="both"/>
        <w:rPr>
          <w:color w:val="000000" w:themeColor="text1"/>
          <w:lang w:eastAsia="es-ES_tradnl"/>
        </w:rPr>
      </w:pPr>
    </w:p>
    <w:p w14:paraId="3155DB7B" w14:textId="45D1CB29" w:rsidR="00F92151" w:rsidRPr="00163BF5" w:rsidRDefault="00F92151" w:rsidP="00AE14F4">
      <w:pPr>
        <w:spacing w:line="480" w:lineRule="auto"/>
        <w:ind w:firstLine="708"/>
        <w:jc w:val="both"/>
        <w:rPr>
          <w:color w:val="000000" w:themeColor="text1"/>
          <w:lang w:eastAsia="es-ES_tradnl"/>
        </w:rPr>
      </w:pPr>
    </w:p>
    <w:p w14:paraId="0F59C4C1" w14:textId="73CEAF36" w:rsidR="00A7013F" w:rsidRPr="00163BF5" w:rsidRDefault="00A7013F" w:rsidP="00E334E2">
      <w:pPr>
        <w:spacing w:line="480" w:lineRule="auto"/>
        <w:jc w:val="both"/>
        <w:rPr>
          <w:color w:val="000000" w:themeColor="text1"/>
          <w:lang w:eastAsia="es-ES_tradnl"/>
        </w:rPr>
      </w:pPr>
    </w:p>
    <w:p w14:paraId="5B24B0AA" w14:textId="299A41F3" w:rsidR="002959E1" w:rsidRPr="00163BF5" w:rsidRDefault="002959E1" w:rsidP="00E334E2">
      <w:pPr>
        <w:spacing w:line="480" w:lineRule="auto"/>
        <w:jc w:val="both"/>
        <w:rPr>
          <w:color w:val="000000" w:themeColor="text1"/>
          <w:lang w:eastAsia="es-ES_tradnl"/>
        </w:rPr>
      </w:pPr>
    </w:p>
    <w:p w14:paraId="1DE0D91A" w14:textId="2E458B7E" w:rsidR="002959E1" w:rsidRPr="00163BF5" w:rsidRDefault="002959E1" w:rsidP="00E334E2">
      <w:pPr>
        <w:spacing w:line="480" w:lineRule="auto"/>
        <w:jc w:val="both"/>
        <w:rPr>
          <w:color w:val="000000" w:themeColor="text1"/>
          <w:lang w:eastAsia="es-ES_tradnl"/>
        </w:rPr>
      </w:pPr>
    </w:p>
    <w:p w14:paraId="3D0525B5" w14:textId="304DA019" w:rsidR="002959E1" w:rsidRPr="00163BF5" w:rsidRDefault="002959E1" w:rsidP="00E334E2">
      <w:pPr>
        <w:spacing w:line="480" w:lineRule="auto"/>
        <w:jc w:val="both"/>
        <w:rPr>
          <w:color w:val="000000" w:themeColor="text1"/>
          <w:lang w:eastAsia="es-ES_tradnl"/>
        </w:rPr>
      </w:pPr>
    </w:p>
    <w:p w14:paraId="7C805CF9" w14:textId="1E27DC91" w:rsidR="002959E1" w:rsidRPr="00163BF5" w:rsidRDefault="002959E1" w:rsidP="00E334E2">
      <w:pPr>
        <w:spacing w:line="480" w:lineRule="auto"/>
        <w:jc w:val="both"/>
        <w:rPr>
          <w:color w:val="000000" w:themeColor="text1"/>
          <w:lang w:eastAsia="es-ES_tradnl"/>
        </w:rPr>
      </w:pPr>
    </w:p>
    <w:p w14:paraId="5A8C5589" w14:textId="0394305B" w:rsidR="004D5B6D" w:rsidRPr="00163BF5" w:rsidRDefault="004D5B6D" w:rsidP="00E334E2">
      <w:pPr>
        <w:spacing w:line="480" w:lineRule="auto"/>
        <w:jc w:val="both"/>
        <w:rPr>
          <w:color w:val="000000" w:themeColor="text1"/>
          <w:lang w:eastAsia="es-ES_tradnl"/>
        </w:rPr>
      </w:pPr>
    </w:p>
    <w:p w14:paraId="670FCABA" w14:textId="77777777" w:rsidR="004D5B6D" w:rsidRPr="00163BF5" w:rsidRDefault="004D5B6D" w:rsidP="00E334E2">
      <w:pPr>
        <w:spacing w:line="480" w:lineRule="auto"/>
        <w:jc w:val="both"/>
        <w:rPr>
          <w:color w:val="000000" w:themeColor="text1"/>
          <w:lang w:eastAsia="es-ES_tradnl"/>
        </w:rPr>
      </w:pPr>
    </w:p>
    <w:p w14:paraId="3E8925B0" w14:textId="4AD52CCE" w:rsidR="00C82E8F" w:rsidRPr="00163BF5" w:rsidRDefault="00C82E8F" w:rsidP="00066AEC">
      <w:pPr>
        <w:pStyle w:val="Ttulo1"/>
        <w:numPr>
          <w:ilvl w:val="0"/>
          <w:numId w:val="0"/>
        </w:numPr>
        <w:ind w:left="720"/>
        <w:jc w:val="center"/>
        <w:rPr>
          <w:rFonts w:eastAsia="Times New Roman"/>
          <w:lang w:eastAsia="es-ES_tradnl"/>
        </w:rPr>
      </w:pPr>
      <w:bookmarkStart w:id="71" w:name="_Toc67513420"/>
      <w:r w:rsidRPr="00163BF5">
        <w:rPr>
          <w:rFonts w:eastAsia="Times New Roman"/>
          <w:lang w:eastAsia="es-ES_tradnl"/>
        </w:rPr>
        <w:t>CONCLUSIONES Y RECOMENDACIONES</w:t>
      </w:r>
      <w:bookmarkEnd w:id="71"/>
    </w:p>
    <w:p w14:paraId="6F24BA5E" w14:textId="31BC3650" w:rsidR="00C82E8F" w:rsidRPr="00163BF5" w:rsidRDefault="00C82E8F" w:rsidP="00066AEC">
      <w:pPr>
        <w:pStyle w:val="Ttulo2"/>
        <w:jc w:val="center"/>
        <w:rPr>
          <w:rFonts w:eastAsia="Times New Roman"/>
          <w:lang w:eastAsia="es-ES_tradnl"/>
        </w:rPr>
      </w:pPr>
      <w:bookmarkStart w:id="72" w:name="_Toc67513421"/>
      <w:r w:rsidRPr="00163BF5">
        <w:rPr>
          <w:rFonts w:eastAsia="Times New Roman"/>
          <w:lang w:eastAsia="es-ES_tradnl"/>
        </w:rPr>
        <w:t>CONCLUSIONES</w:t>
      </w:r>
      <w:bookmarkEnd w:id="72"/>
    </w:p>
    <w:p w14:paraId="5ECDF99B" w14:textId="7D5D840F" w:rsidR="00B256E1" w:rsidRPr="00163BF5" w:rsidRDefault="006A76C0" w:rsidP="000A02F9">
      <w:pPr>
        <w:pStyle w:val="Prrafodelista"/>
        <w:numPr>
          <w:ilvl w:val="0"/>
          <w:numId w:val="36"/>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color w:val="000000" w:themeColor="text1"/>
          <w:sz w:val="24"/>
          <w:szCs w:val="24"/>
        </w:rPr>
        <w:t xml:space="preserve">En lo que refiere a la </w:t>
      </w:r>
      <w:r w:rsidR="00B256E1" w:rsidRPr="00163BF5">
        <w:rPr>
          <w:rFonts w:ascii="Times New Roman" w:eastAsia="Times New Roman" w:hAnsi="Times New Roman" w:cs="Times New Roman"/>
          <w:color w:val="000000" w:themeColor="text1"/>
          <w:sz w:val="24"/>
          <w:szCs w:val="24"/>
        </w:rPr>
        <w:t>importancia del control de convencionalidad para la protección de los derechos humanos</w:t>
      </w:r>
      <w:r w:rsidR="00AD462A" w:rsidRPr="00163BF5">
        <w:rPr>
          <w:rFonts w:ascii="Times New Roman" w:eastAsia="Times New Roman" w:hAnsi="Times New Roman" w:cs="Times New Roman"/>
          <w:color w:val="000000" w:themeColor="text1"/>
          <w:sz w:val="24"/>
          <w:szCs w:val="24"/>
        </w:rPr>
        <w:t xml:space="preserve">, </w:t>
      </w:r>
      <w:r w:rsidR="000A02F9" w:rsidRPr="00163BF5">
        <w:rPr>
          <w:rFonts w:ascii="Times New Roman" w:eastAsia="Times New Roman" w:hAnsi="Times New Roman" w:cs="Times New Roman"/>
          <w:color w:val="000000" w:themeColor="text1"/>
          <w:sz w:val="24"/>
          <w:szCs w:val="24"/>
        </w:rPr>
        <w:t xml:space="preserve">este control </w:t>
      </w:r>
      <w:r w:rsidR="000A02F9" w:rsidRPr="00163BF5">
        <w:rPr>
          <w:rFonts w:ascii="Times New Roman" w:hAnsi="Times New Roman" w:cs="Times New Roman"/>
          <w:color w:val="000000" w:themeColor="text1"/>
          <w:sz w:val="24"/>
          <w:szCs w:val="24"/>
        </w:rPr>
        <w:t xml:space="preserve">garantiza que la observancia y regulación sobre derechos humanos encontrados en los distintos tratados de derechos humanos de los cuales el Estado ecuatoriano sea </w:t>
      </w:r>
      <w:r w:rsidR="002959E1" w:rsidRPr="00163BF5">
        <w:rPr>
          <w:rFonts w:ascii="Times New Roman" w:hAnsi="Times New Roman" w:cs="Times New Roman"/>
          <w:color w:val="000000" w:themeColor="text1"/>
          <w:sz w:val="24"/>
          <w:szCs w:val="24"/>
        </w:rPr>
        <w:t>parte en</w:t>
      </w:r>
      <w:r w:rsidR="000A02F9" w:rsidRPr="00163BF5">
        <w:rPr>
          <w:rFonts w:ascii="Times New Roman" w:hAnsi="Times New Roman" w:cs="Times New Roman"/>
          <w:color w:val="000000" w:themeColor="text1"/>
          <w:sz w:val="24"/>
          <w:szCs w:val="24"/>
        </w:rPr>
        <w:t xml:space="preserve"> el ordenamiento jurídico del país. </w:t>
      </w:r>
    </w:p>
    <w:p w14:paraId="7BED2F65" w14:textId="351825EF" w:rsidR="004434B4" w:rsidRPr="00163BF5" w:rsidRDefault="00BB696D" w:rsidP="004434B4">
      <w:pPr>
        <w:pStyle w:val="Prrafodelista"/>
        <w:numPr>
          <w:ilvl w:val="0"/>
          <w:numId w:val="16"/>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color w:val="000000" w:themeColor="text1"/>
          <w:sz w:val="24"/>
          <w:szCs w:val="24"/>
        </w:rPr>
        <w:t xml:space="preserve">En cuanto a la obligatoriedad de observancia de la jurisprudencia de la </w:t>
      </w:r>
      <w:r w:rsidR="00B7628E" w:rsidRPr="00163BF5">
        <w:rPr>
          <w:rFonts w:ascii="Times New Roman" w:eastAsia="Times New Roman" w:hAnsi="Times New Roman" w:cs="Times New Roman"/>
          <w:color w:val="000000" w:themeColor="text1"/>
          <w:sz w:val="24"/>
          <w:szCs w:val="24"/>
        </w:rPr>
        <w:t xml:space="preserve">Corte IDH </w:t>
      </w:r>
      <w:r w:rsidRPr="00163BF5">
        <w:rPr>
          <w:rFonts w:ascii="Times New Roman" w:eastAsia="Times New Roman" w:hAnsi="Times New Roman" w:cs="Times New Roman"/>
          <w:color w:val="000000" w:themeColor="text1"/>
          <w:sz w:val="24"/>
          <w:szCs w:val="24"/>
        </w:rPr>
        <w:t xml:space="preserve">por parte de las </w:t>
      </w:r>
      <w:r w:rsidR="001A5988" w:rsidRPr="00163BF5">
        <w:rPr>
          <w:rFonts w:ascii="Times New Roman" w:eastAsia="Times New Roman" w:hAnsi="Times New Roman" w:cs="Times New Roman"/>
          <w:color w:val="000000" w:themeColor="text1"/>
          <w:sz w:val="24"/>
          <w:szCs w:val="24"/>
        </w:rPr>
        <w:t>autoridades públicas</w:t>
      </w:r>
      <w:r w:rsidRPr="00163BF5">
        <w:rPr>
          <w:rFonts w:ascii="Times New Roman" w:eastAsia="Times New Roman" w:hAnsi="Times New Roman" w:cs="Times New Roman"/>
          <w:color w:val="000000" w:themeColor="text1"/>
          <w:sz w:val="24"/>
          <w:szCs w:val="24"/>
        </w:rPr>
        <w:t xml:space="preserve"> del Ecuador, </w:t>
      </w:r>
      <w:r w:rsidR="00B7628E" w:rsidRPr="00163BF5">
        <w:rPr>
          <w:rFonts w:ascii="Times New Roman" w:eastAsia="Times New Roman" w:hAnsi="Times New Roman" w:cs="Times New Roman"/>
          <w:color w:val="000000" w:themeColor="text1"/>
          <w:sz w:val="24"/>
          <w:szCs w:val="24"/>
        </w:rPr>
        <w:t xml:space="preserve">en primer </w:t>
      </w:r>
      <w:r w:rsidR="002959E1" w:rsidRPr="00163BF5">
        <w:rPr>
          <w:rFonts w:ascii="Times New Roman" w:eastAsia="Times New Roman" w:hAnsi="Times New Roman" w:cs="Times New Roman"/>
          <w:color w:val="000000" w:themeColor="text1"/>
          <w:sz w:val="24"/>
          <w:szCs w:val="24"/>
        </w:rPr>
        <w:t>lugar,</w:t>
      </w:r>
      <w:r w:rsidR="00B7628E" w:rsidRPr="00163BF5">
        <w:rPr>
          <w:rFonts w:ascii="Times New Roman" w:eastAsia="Times New Roman" w:hAnsi="Times New Roman" w:cs="Times New Roman"/>
          <w:color w:val="000000" w:themeColor="text1"/>
          <w:sz w:val="24"/>
          <w:szCs w:val="24"/>
        </w:rPr>
        <w:t xml:space="preserve"> </w:t>
      </w:r>
      <w:r w:rsidR="00381E14" w:rsidRPr="00163BF5">
        <w:rPr>
          <w:rFonts w:ascii="Times New Roman" w:eastAsia="Times New Roman" w:hAnsi="Times New Roman" w:cs="Times New Roman"/>
          <w:color w:val="000000" w:themeColor="text1"/>
          <w:sz w:val="24"/>
          <w:szCs w:val="24"/>
        </w:rPr>
        <w:t xml:space="preserve">hay que establecer que el Derecho Internacional de Derechos Humanos </w:t>
      </w:r>
      <w:r w:rsidR="003669CE" w:rsidRPr="00163BF5">
        <w:rPr>
          <w:rFonts w:ascii="Times New Roman" w:eastAsia="Times New Roman" w:hAnsi="Times New Roman" w:cs="Times New Roman"/>
          <w:color w:val="000000" w:themeColor="text1"/>
          <w:sz w:val="24"/>
          <w:szCs w:val="24"/>
        </w:rPr>
        <w:t>está</w:t>
      </w:r>
      <w:r w:rsidR="00381E14" w:rsidRPr="00163BF5">
        <w:rPr>
          <w:rFonts w:ascii="Times New Roman" w:eastAsia="Times New Roman" w:hAnsi="Times New Roman" w:cs="Times New Roman"/>
          <w:color w:val="000000" w:themeColor="text1"/>
          <w:sz w:val="24"/>
          <w:szCs w:val="24"/>
        </w:rPr>
        <w:t xml:space="preserve"> compuesto por principios universalmente aceptados</w:t>
      </w:r>
      <w:r w:rsidR="00B7628E" w:rsidRPr="00163BF5">
        <w:rPr>
          <w:rFonts w:ascii="Times New Roman" w:eastAsia="Times New Roman" w:hAnsi="Times New Roman" w:cs="Times New Roman"/>
          <w:color w:val="000000" w:themeColor="text1"/>
          <w:sz w:val="24"/>
          <w:szCs w:val="24"/>
        </w:rPr>
        <w:t>. E</w:t>
      </w:r>
      <w:r w:rsidR="00381E14" w:rsidRPr="00163BF5">
        <w:rPr>
          <w:rFonts w:ascii="Times New Roman" w:eastAsia="Times New Roman" w:hAnsi="Times New Roman" w:cs="Times New Roman"/>
          <w:color w:val="000000" w:themeColor="text1"/>
          <w:sz w:val="24"/>
          <w:szCs w:val="24"/>
        </w:rPr>
        <w:t xml:space="preserve">ntre estos principios se encuentra el </w:t>
      </w:r>
      <w:r w:rsidR="00381E14" w:rsidRPr="00163BF5">
        <w:rPr>
          <w:rFonts w:ascii="Times New Roman" w:eastAsia="Times New Roman" w:hAnsi="Times New Roman" w:cs="Times New Roman"/>
          <w:i/>
          <w:iCs/>
          <w:color w:val="000000" w:themeColor="text1"/>
          <w:sz w:val="24"/>
          <w:szCs w:val="24"/>
        </w:rPr>
        <w:t>pro homine</w:t>
      </w:r>
      <w:r w:rsidR="00381E14" w:rsidRPr="00163BF5">
        <w:rPr>
          <w:rFonts w:ascii="Times New Roman" w:eastAsia="Times New Roman" w:hAnsi="Times New Roman" w:cs="Times New Roman"/>
          <w:color w:val="000000" w:themeColor="text1"/>
          <w:sz w:val="24"/>
          <w:szCs w:val="24"/>
        </w:rPr>
        <w:t xml:space="preserve"> que establece que en materia de derechos humanos en lo que se refiere al reconocimiento y protección, se debe acudir a la norma </w:t>
      </w:r>
      <w:r w:rsidR="003669CE" w:rsidRPr="00163BF5">
        <w:rPr>
          <w:rFonts w:ascii="Times New Roman" w:eastAsia="Times New Roman" w:hAnsi="Times New Roman" w:cs="Times New Roman"/>
          <w:color w:val="000000" w:themeColor="text1"/>
          <w:sz w:val="24"/>
          <w:szCs w:val="24"/>
        </w:rPr>
        <w:t>más</w:t>
      </w:r>
      <w:r w:rsidR="00381E14" w:rsidRPr="00163BF5">
        <w:rPr>
          <w:rFonts w:ascii="Times New Roman" w:eastAsia="Times New Roman" w:hAnsi="Times New Roman" w:cs="Times New Roman"/>
          <w:color w:val="000000" w:themeColor="text1"/>
          <w:sz w:val="24"/>
          <w:szCs w:val="24"/>
        </w:rPr>
        <w:t xml:space="preserve"> amplia e interpretación </w:t>
      </w:r>
      <w:r w:rsidR="003669CE" w:rsidRPr="00163BF5">
        <w:rPr>
          <w:rFonts w:ascii="Times New Roman" w:eastAsia="Times New Roman" w:hAnsi="Times New Roman" w:cs="Times New Roman"/>
          <w:color w:val="000000" w:themeColor="text1"/>
          <w:sz w:val="24"/>
          <w:szCs w:val="24"/>
        </w:rPr>
        <w:t>más</w:t>
      </w:r>
      <w:r w:rsidR="00381E14" w:rsidRPr="00163BF5">
        <w:rPr>
          <w:rFonts w:ascii="Times New Roman" w:eastAsia="Times New Roman" w:hAnsi="Times New Roman" w:cs="Times New Roman"/>
          <w:color w:val="000000" w:themeColor="text1"/>
          <w:sz w:val="24"/>
          <w:szCs w:val="24"/>
        </w:rPr>
        <w:t xml:space="preserve"> extensiva</w:t>
      </w:r>
      <w:r w:rsidR="00B7628E" w:rsidRPr="00163BF5">
        <w:rPr>
          <w:rFonts w:ascii="Times New Roman" w:eastAsia="Times New Roman" w:hAnsi="Times New Roman" w:cs="Times New Roman"/>
          <w:color w:val="000000" w:themeColor="text1"/>
          <w:sz w:val="24"/>
          <w:szCs w:val="24"/>
        </w:rPr>
        <w:t xml:space="preserve">. En lo que se respecta a la interpretación de los tratados internacionales existen los principios de </w:t>
      </w:r>
      <w:r w:rsidR="00B7628E" w:rsidRPr="00163BF5">
        <w:rPr>
          <w:rFonts w:ascii="Times New Roman" w:eastAsia="Times New Roman" w:hAnsi="Times New Roman" w:cs="Times New Roman"/>
          <w:i/>
          <w:iCs/>
          <w:color w:val="000000" w:themeColor="text1"/>
          <w:sz w:val="24"/>
          <w:szCs w:val="24"/>
        </w:rPr>
        <w:t xml:space="preserve">pacta sunt </w:t>
      </w:r>
      <w:proofErr w:type="spellStart"/>
      <w:r w:rsidR="00B7628E" w:rsidRPr="00163BF5">
        <w:rPr>
          <w:rFonts w:ascii="Times New Roman" w:eastAsia="Times New Roman" w:hAnsi="Times New Roman" w:cs="Times New Roman"/>
          <w:i/>
          <w:iCs/>
          <w:color w:val="000000" w:themeColor="text1"/>
          <w:sz w:val="24"/>
          <w:szCs w:val="24"/>
        </w:rPr>
        <w:t>servanda</w:t>
      </w:r>
      <w:proofErr w:type="spellEnd"/>
      <w:r w:rsidR="00B7628E" w:rsidRPr="00163BF5">
        <w:rPr>
          <w:rFonts w:ascii="Times New Roman" w:eastAsia="Times New Roman" w:hAnsi="Times New Roman" w:cs="Times New Roman"/>
          <w:i/>
          <w:iCs/>
          <w:color w:val="000000" w:themeColor="text1"/>
          <w:sz w:val="24"/>
          <w:szCs w:val="24"/>
        </w:rPr>
        <w:t xml:space="preserve"> </w:t>
      </w:r>
      <w:r w:rsidR="00B7628E" w:rsidRPr="00163BF5">
        <w:rPr>
          <w:rFonts w:ascii="Times New Roman" w:eastAsia="Times New Roman" w:hAnsi="Times New Roman" w:cs="Times New Roman"/>
          <w:color w:val="000000" w:themeColor="text1"/>
          <w:sz w:val="24"/>
          <w:szCs w:val="24"/>
        </w:rPr>
        <w:t>y buena fe</w:t>
      </w:r>
      <w:r w:rsidR="001A5988" w:rsidRPr="00163BF5">
        <w:rPr>
          <w:rFonts w:ascii="Times New Roman" w:eastAsia="Times New Roman" w:hAnsi="Times New Roman" w:cs="Times New Roman"/>
          <w:color w:val="000000" w:themeColor="text1"/>
          <w:sz w:val="24"/>
          <w:szCs w:val="24"/>
        </w:rPr>
        <w:t>.</w:t>
      </w:r>
      <w:r w:rsidR="00B7628E" w:rsidRPr="00163BF5">
        <w:rPr>
          <w:rFonts w:ascii="Times New Roman" w:eastAsia="Times New Roman" w:hAnsi="Times New Roman" w:cs="Times New Roman"/>
          <w:color w:val="000000" w:themeColor="text1"/>
          <w:sz w:val="24"/>
          <w:szCs w:val="24"/>
        </w:rPr>
        <w:t xml:space="preserve"> </w:t>
      </w:r>
      <w:r w:rsidR="001A5988" w:rsidRPr="00163BF5">
        <w:rPr>
          <w:rFonts w:ascii="Times New Roman" w:eastAsia="Times New Roman" w:hAnsi="Times New Roman" w:cs="Times New Roman"/>
          <w:color w:val="000000" w:themeColor="text1"/>
          <w:sz w:val="24"/>
          <w:szCs w:val="24"/>
        </w:rPr>
        <w:t>E</w:t>
      </w:r>
      <w:r w:rsidR="00B7628E" w:rsidRPr="00163BF5">
        <w:rPr>
          <w:rFonts w:ascii="Times New Roman" w:eastAsia="Times New Roman" w:hAnsi="Times New Roman" w:cs="Times New Roman"/>
          <w:color w:val="000000" w:themeColor="text1"/>
          <w:sz w:val="24"/>
          <w:szCs w:val="24"/>
        </w:rPr>
        <w:t>l primero de ellos establece</w:t>
      </w:r>
      <w:r w:rsidR="001A5988" w:rsidRPr="00163BF5">
        <w:rPr>
          <w:rFonts w:ascii="Times New Roman" w:eastAsia="Times New Roman" w:hAnsi="Times New Roman" w:cs="Times New Roman"/>
          <w:color w:val="000000" w:themeColor="text1"/>
          <w:sz w:val="24"/>
          <w:szCs w:val="24"/>
        </w:rPr>
        <w:t>,</w:t>
      </w:r>
      <w:r w:rsidR="00B7628E" w:rsidRPr="00163BF5">
        <w:rPr>
          <w:rFonts w:ascii="Times New Roman" w:eastAsia="Times New Roman" w:hAnsi="Times New Roman" w:cs="Times New Roman"/>
          <w:color w:val="000000" w:themeColor="text1"/>
          <w:sz w:val="24"/>
          <w:szCs w:val="24"/>
        </w:rPr>
        <w:t xml:space="preserve"> que todo tratado en vigor obliga a las partes a ser cumplido de buena fe</w:t>
      </w:r>
      <w:r w:rsidR="001A5988" w:rsidRPr="00163BF5">
        <w:rPr>
          <w:rFonts w:ascii="Times New Roman" w:eastAsia="Times New Roman" w:hAnsi="Times New Roman" w:cs="Times New Roman"/>
          <w:color w:val="000000" w:themeColor="text1"/>
          <w:sz w:val="24"/>
          <w:szCs w:val="24"/>
        </w:rPr>
        <w:t>. E</w:t>
      </w:r>
      <w:r w:rsidR="00B7628E" w:rsidRPr="00163BF5">
        <w:rPr>
          <w:rFonts w:ascii="Times New Roman" w:eastAsia="Times New Roman" w:hAnsi="Times New Roman" w:cs="Times New Roman"/>
          <w:color w:val="000000" w:themeColor="text1"/>
          <w:sz w:val="24"/>
          <w:szCs w:val="24"/>
        </w:rPr>
        <w:t xml:space="preserve">l segundo de estos principios establece que la buena fe en la interpretación de los tratados debe realizarse en el sentido corriente de estos, teniendo en cuenta su objetivo y fin. En lo que respecta ya a la obligatoriedad de observancia de la jurisprudencia de la Corte IDH, </w:t>
      </w:r>
      <w:r w:rsidR="00E51BB9" w:rsidRPr="00163BF5">
        <w:rPr>
          <w:rFonts w:ascii="Times New Roman" w:eastAsia="Times New Roman" w:hAnsi="Times New Roman" w:cs="Times New Roman"/>
          <w:color w:val="000000" w:themeColor="text1"/>
          <w:sz w:val="24"/>
          <w:szCs w:val="24"/>
        </w:rPr>
        <w:t xml:space="preserve">la Corte IDH es el organismo autorizado de realizar la interpretación del alcance y </w:t>
      </w:r>
      <w:r w:rsidR="008C7202" w:rsidRPr="00163BF5">
        <w:rPr>
          <w:rFonts w:ascii="Times New Roman" w:eastAsia="Times New Roman" w:hAnsi="Times New Roman" w:cs="Times New Roman"/>
          <w:color w:val="000000" w:themeColor="text1"/>
          <w:sz w:val="24"/>
          <w:szCs w:val="24"/>
        </w:rPr>
        <w:t xml:space="preserve">contenido de los derechos consagrados por la CADH, en base a esto y a los principios antes señalados los Estados parte de la CADH debe observar la jurisprudencia de la Corte IDH. </w:t>
      </w:r>
    </w:p>
    <w:p w14:paraId="7191DA15" w14:textId="3344BE84" w:rsidR="00C26471" w:rsidRPr="00163BF5" w:rsidRDefault="00D076A9" w:rsidP="00AA0F30">
      <w:pPr>
        <w:pStyle w:val="Prrafodelista"/>
        <w:numPr>
          <w:ilvl w:val="0"/>
          <w:numId w:val="16"/>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color w:val="000000" w:themeColor="text1"/>
          <w:sz w:val="24"/>
          <w:szCs w:val="24"/>
        </w:rPr>
        <w:t>Referente a los tipos de desaparición y su distinción, la desaparición involuntaria y desaparición forzada</w:t>
      </w:r>
      <w:r w:rsidR="001A5988" w:rsidRPr="00163BF5">
        <w:rPr>
          <w:rFonts w:ascii="Times New Roman" w:eastAsia="Times New Roman" w:hAnsi="Times New Roman" w:cs="Times New Roman"/>
          <w:color w:val="000000" w:themeColor="text1"/>
          <w:sz w:val="24"/>
          <w:szCs w:val="24"/>
        </w:rPr>
        <w:t>,</w:t>
      </w:r>
      <w:r w:rsidRPr="00163BF5">
        <w:rPr>
          <w:rFonts w:ascii="Times New Roman" w:eastAsia="Times New Roman" w:hAnsi="Times New Roman" w:cs="Times New Roman"/>
          <w:color w:val="000000" w:themeColor="text1"/>
          <w:sz w:val="24"/>
          <w:szCs w:val="24"/>
        </w:rPr>
        <w:t xml:space="preserve"> han sido confundidas por parte de doctrina, subsumiendo a los dos términos como “desaparición forzada”, sin embargo, el desarrollo normativo e importancia sobre la desaparición involuntaria en los últimos años han hecho que en Ecuador se haya incorporado el delito de desaparición involuntaria.</w:t>
      </w:r>
    </w:p>
    <w:p w14:paraId="6E85E8D7" w14:textId="35AE68BA" w:rsidR="00D076A9" w:rsidRPr="00163BF5" w:rsidRDefault="00D076A9" w:rsidP="00AA0F30">
      <w:pPr>
        <w:pStyle w:val="Prrafodelista"/>
        <w:numPr>
          <w:ilvl w:val="0"/>
          <w:numId w:val="16"/>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color w:val="000000" w:themeColor="text1"/>
          <w:sz w:val="24"/>
          <w:szCs w:val="24"/>
        </w:rPr>
        <w:t xml:space="preserve">En cuanto a las diferencias entre la desaparición forzada </w:t>
      </w:r>
      <w:r w:rsidR="00FE525E" w:rsidRPr="00163BF5">
        <w:rPr>
          <w:rFonts w:ascii="Times New Roman" w:eastAsia="Times New Roman" w:hAnsi="Times New Roman" w:cs="Times New Roman"/>
          <w:color w:val="000000" w:themeColor="text1"/>
          <w:sz w:val="24"/>
          <w:szCs w:val="24"/>
        </w:rPr>
        <w:t xml:space="preserve">y desaparición involuntaria en el marco normativo ecuatoriano, al observar la tipificación de ambos delitos en el Código Orgánico Integral Penal se </w:t>
      </w:r>
      <w:r w:rsidR="00A14F18" w:rsidRPr="00163BF5">
        <w:rPr>
          <w:rFonts w:ascii="Times New Roman" w:eastAsia="Times New Roman" w:hAnsi="Times New Roman" w:cs="Times New Roman"/>
          <w:color w:val="000000" w:themeColor="text1"/>
          <w:sz w:val="24"/>
          <w:szCs w:val="24"/>
        </w:rPr>
        <w:t>observa</w:t>
      </w:r>
      <w:r w:rsidR="00FE525E" w:rsidRPr="00163BF5">
        <w:rPr>
          <w:rFonts w:ascii="Times New Roman" w:eastAsia="Times New Roman" w:hAnsi="Times New Roman" w:cs="Times New Roman"/>
          <w:color w:val="000000" w:themeColor="text1"/>
          <w:sz w:val="24"/>
          <w:szCs w:val="24"/>
        </w:rPr>
        <w:t xml:space="preserve"> que la diferencia entre los dos tipos de desaparición radica en el sujeto activo que realiza la </w:t>
      </w:r>
      <w:r w:rsidR="00A14F18" w:rsidRPr="00163BF5">
        <w:rPr>
          <w:rFonts w:ascii="Times New Roman" w:eastAsia="Times New Roman" w:hAnsi="Times New Roman" w:cs="Times New Roman"/>
          <w:color w:val="000000" w:themeColor="text1"/>
          <w:sz w:val="24"/>
          <w:szCs w:val="24"/>
        </w:rPr>
        <w:t>infracción</w:t>
      </w:r>
      <w:r w:rsidR="008C7202" w:rsidRPr="00163BF5">
        <w:rPr>
          <w:rFonts w:ascii="Times New Roman" w:eastAsia="Times New Roman" w:hAnsi="Times New Roman" w:cs="Times New Roman"/>
          <w:color w:val="000000" w:themeColor="text1"/>
          <w:sz w:val="24"/>
          <w:szCs w:val="24"/>
        </w:rPr>
        <w:t xml:space="preserve">. </w:t>
      </w:r>
    </w:p>
    <w:p w14:paraId="5F90B697" w14:textId="74FEB1FF" w:rsidR="00FE525E" w:rsidRPr="00163BF5" w:rsidRDefault="00FE525E" w:rsidP="00FE525E">
      <w:pPr>
        <w:pStyle w:val="Prrafodelista"/>
        <w:numPr>
          <w:ilvl w:val="0"/>
          <w:numId w:val="16"/>
        </w:numPr>
        <w:rPr>
          <w:b/>
          <w:bCs/>
          <w:color w:val="000000" w:themeColor="text1"/>
        </w:rPr>
      </w:pPr>
      <w:r w:rsidRPr="00163BF5">
        <w:rPr>
          <w:rFonts w:ascii="Times New Roman" w:eastAsia="Times New Roman" w:hAnsi="Times New Roman" w:cs="Times New Roman"/>
          <w:color w:val="000000" w:themeColor="text1"/>
          <w:sz w:val="24"/>
          <w:szCs w:val="24"/>
        </w:rPr>
        <w:t xml:space="preserve">En lo que refiere a las víctimas indirectas de las desapariciones; siendo estas familiares y amigos de la persona desaparecida, la Ley Orgánica de Actuación en Casos de Personas Desaparecidas y Extraviadas conforme a los estándares de debida diligencia de la Corte Interamericana de Derechos Humanos faculta a estas víctimas indirectas el poder participar en la investigación, no limita dicha participación. </w:t>
      </w:r>
    </w:p>
    <w:p w14:paraId="656887B8" w14:textId="3C01BDD2" w:rsidR="00FE525E" w:rsidRPr="00163BF5" w:rsidRDefault="004657D4" w:rsidP="00FE525E">
      <w:pPr>
        <w:pStyle w:val="Prrafodelista"/>
        <w:numPr>
          <w:ilvl w:val="0"/>
          <w:numId w:val="16"/>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color w:val="000000" w:themeColor="text1"/>
          <w:sz w:val="24"/>
          <w:szCs w:val="24"/>
        </w:rPr>
        <w:t xml:space="preserve">En </w:t>
      </w:r>
      <w:r w:rsidR="002959E1" w:rsidRPr="00163BF5">
        <w:rPr>
          <w:rFonts w:ascii="Times New Roman" w:eastAsia="Times New Roman" w:hAnsi="Times New Roman" w:cs="Times New Roman"/>
          <w:color w:val="000000" w:themeColor="text1"/>
          <w:sz w:val="24"/>
          <w:szCs w:val="24"/>
        </w:rPr>
        <w:t xml:space="preserve">cuanto </w:t>
      </w:r>
      <w:r w:rsidRPr="00163BF5">
        <w:rPr>
          <w:rFonts w:ascii="Times New Roman" w:eastAsia="Times New Roman" w:hAnsi="Times New Roman" w:cs="Times New Roman"/>
          <w:color w:val="000000" w:themeColor="text1"/>
          <w:sz w:val="24"/>
          <w:szCs w:val="24"/>
        </w:rPr>
        <w:t>a los estándares de debida diligencia emitidos por la Corte Interamericana de Derechos Humanos, estos son seis</w:t>
      </w:r>
      <w:r w:rsidR="002959E1" w:rsidRPr="00163BF5">
        <w:rPr>
          <w:rFonts w:ascii="Times New Roman" w:eastAsia="Times New Roman" w:hAnsi="Times New Roman" w:cs="Times New Roman"/>
          <w:color w:val="000000" w:themeColor="text1"/>
          <w:sz w:val="24"/>
          <w:szCs w:val="24"/>
        </w:rPr>
        <w:t xml:space="preserve">: </w:t>
      </w:r>
      <w:r w:rsidR="002959E1" w:rsidRPr="00163BF5">
        <w:rPr>
          <w:rFonts w:ascii="Times New Roman" w:hAnsi="Times New Roman" w:cs="Times New Roman"/>
          <w:color w:val="000000" w:themeColor="text1"/>
          <w:sz w:val="24"/>
          <w:szCs w:val="24"/>
        </w:rPr>
        <w:t>Oficiosidad, Oportunidad, Competencia, Independencia e imparcialidad, Exhaustividad y Participación de las víctimas y sus familiares</w:t>
      </w:r>
      <w:r w:rsidR="002959E1" w:rsidRPr="00163BF5">
        <w:rPr>
          <w:rFonts w:ascii="Times New Roman" w:eastAsia="Times New Roman" w:hAnsi="Times New Roman" w:cs="Times New Roman"/>
          <w:color w:val="000000" w:themeColor="text1"/>
          <w:sz w:val="24"/>
          <w:szCs w:val="24"/>
        </w:rPr>
        <w:t xml:space="preserve"> </w:t>
      </w:r>
      <w:r w:rsidRPr="00163BF5">
        <w:rPr>
          <w:rFonts w:ascii="Times New Roman" w:eastAsia="Times New Roman" w:hAnsi="Times New Roman" w:cs="Times New Roman"/>
          <w:color w:val="000000" w:themeColor="text1"/>
          <w:sz w:val="24"/>
          <w:szCs w:val="24"/>
        </w:rPr>
        <w:t xml:space="preserve">y deberían estar correctamente aplicados en la Ley Orgánica de Actuación en Casos de Personas Desaparecidas y Extraviadas, sin </w:t>
      </w:r>
      <w:r w:rsidR="00A14F18" w:rsidRPr="00163BF5">
        <w:rPr>
          <w:rFonts w:ascii="Times New Roman" w:eastAsia="Times New Roman" w:hAnsi="Times New Roman" w:cs="Times New Roman"/>
          <w:color w:val="000000" w:themeColor="text1"/>
          <w:sz w:val="24"/>
          <w:szCs w:val="24"/>
        </w:rPr>
        <w:t>embargo,</w:t>
      </w:r>
      <w:r w:rsidRPr="00163BF5">
        <w:rPr>
          <w:rFonts w:ascii="Times New Roman" w:eastAsia="Times New Roman" w:hAnsi="Times New Roman" w:cs="Times New Roman"/>
          <w:color w:val="000000" w:themeColor="text1"/>
          <w:sz w:val="24"/>
          <w:szCs w:val="24"/>
        </w:rPr>
        <w:t xml:space="preserve"> dos de ellos</w:t>
      </w:r>
      <w:r w:rsidR="002959E1" w:rsidRPr="00163BF5">
        <w:rPr>
          <w:rFonts w:ascii="Times New Roman" w:eastAsia="Times New Roman" w:hAnsi="Times New Roman" w:cs="Times New Roman"/>
          <w:color w:val="000000" w:themeColor="text1"/>
          <w:sz w:val="24"/>
          <w:szCs w:val="24"/>
        </w:rPr>
        <w:t>:</w:t>
      </w:r>
      <w:r w:rsidR="002959E1" w:rsidRPr="00163BF5">
        <w:rPr>
          <w:color w:val="000000" w:themeColor="text1"/>
        </w:rPr>
        <w:t xml:space="preserve"> estándar de oportunidad, y estándar de independencia e imparcialidad </w:t>
      </w:r>
      <w:r w:rsidR="002959E1" w:rsidRPr="00163BF5">
        <w:rPr>
          <w:rFonts w:ascii="Times New Roman" w:eastAsia="Times New Roman" w:hAnsi="Times New Roman" w:cs="Times New Roman"/>
          <w:color w:val="000000" w:themeColor="text1"/>
          <w:sz w:val="24"/>
          <w:szCs w:val="24"/>
        </w:rPr>
        <w:t xml:space="preserve">se encuentran mal plasmados en la </w:t>
      </w:r>
      <w:r w:rsidRPr="00163BF5">
        <w:rPr>
          <w:rFonts w:ascii="Times New Roman" w:eastAsia="Times New Roman" w:hAnsi="Times New Roman" w:cs="Times New Roman"/>
          <w:color w:val="000000" w:themeColor="text1"/>
          <w:sz w:val="24"/>
          <w:szCs w:val="24"/>
        </w:rPr>
        <w:t xml:space="preserve"> </w:t>
      </w:r>
      <w:r w:rsidR="002959E1" w:rsidRPr="00163BF5">
        <w:rPr>
          <w:rFonts w:ascii="Times New Roman" w:eastAsia="Times New Roman" w:hAnsi="Times New Roman" w:cs="Times New Roman"/>
          <w:color w:val="000000" w:themeColor="text1"/>
          <w:sz w:val="24"/>
          <w:szCs w:val="24"/>
        </w:rPr>
        <w:t>Ley Orgánica de Actuación en Casos de Personas Desaparecidas y Extraviadas.</w:t>
      </w:r>
    </w:p>
    <w:p w14:paraId="7BD0FDC0" w14:textId="1EB1DC58" w:rsidR="00124E9D" w:rsidRPr="00163BF5" w:rsidRDefault="004657D4" w:rsidP="00AA0F30">
      <w:pPr>
        <w:pStyle w:val="Prrafodelista"/>
        <w:numPr>
          <w:ilvl w:val="0"/>
          <w:numId w:val="16"/>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color w:val="000000" w:themeColor="text1"/>
          <w:sz w:val="24"/>
          <w:szCs w:val="24"/>
        </w:rPr>
        <w:t>Respecto al e</w:t>
      </w:r>
      <w:r w:rsidR="00124E9D" w:rsidRPr="00163BF5">
        <w:rPr>
          <w:rFonts w:ascii="Times New Roman" w:eastAsia="Times New Roman" w:hAnsi="Times New Roman" w:cs="Times New Roman"/>
          <w:color w:val="000000" w:themeColor="text1"/>
          <w:sz w:val="24"/>
          <w:szCs w:val="24"/>
        </w:rPr>
        <w:t>l estándar de oficiosidad</w:t>
      </w:r>
      <w:r w:rsidRPr="00163BF5">
        <w:rPr>
          <w:rFonts w:ascii="Times New Roman" w:eastAsia="Times New Roman" w:hAnsi="Times New Roman" w:cs="Times New Roman"/>
          <w:color w:val="000000" w:themeColor="text1"/>
          <w:sz w:val="24"/>
          <w:szCs w:val="24"/>
        </w:rPr>
        <w:t xml:space="preserve"> de la Corte Interamericana de Derechos Humanos, este se </w:t>
      </w:r>
      <w:r w:rsidR="00124E9D" w:rsidRPr="00163BF5">
        <w:rPr>
          <w:rFonts w:ascii="Times New Roman" w:eastAsia="Times New Roman" w:hAnsi="Times New Roman" w:cs="Times New Roman"/>
          <w:color w:val="000000" w:themeColor="text1"/>
          <w:sz w:val="24"/>
          <w:szCs w:val="24"/>
        </w:rPr>
        <w:t xml:space="preserve">encuentra correctamente aplicado en Ley Orgánica de </w:t>
      </w:r>
      <w:r w:rsidR="00AA0F30" w:rsidRPr="00163BF5">
        <w:rPr>
          <w:rFonts w:ascii="Times New Roman" w:eastAsia="Times New Roman" w:hAnsi="Times New Roman" w:cs="Times New Roman"/>
          <w:color w:val="000000" w:themeColor="text1"/>
          <w:sz w:val="24"/>
          <w:szCs w:val="24"/>
        </w:rPr>
        <w:t>Actuación</w:t>
      </w:r>
      <w:r w:rsidR="00124E9D" w:rsidRPr="00163BF5">
        <w:rPr>
          <w:rFonts w:ascii="Times New Roman" w:eastAsia="Times New Roman" w:hAnsi="Times New Roman" w:cs="Times New Roman"/>
          <w:color w:val="000000" w:themeColor="text1"/>
          <w:sz w:val="24"/>
          <w:szCs w:val="24"/>
        </w:rPr>
        <w:t xml:space="preserve"> en Casos de Personas Desaparecidas y Extraviadas. </w:t>
      </w:r>
    </w:p>
    <w:p w14:paraId="235411FA" w14:textId="03B41610" w:rsidR="00124E9D" w:rsidRPr="00163BF5" w:rsidRDefault="004657D4" w:rsidP="004657D4">
      <w:pPr>
        <w:pStyle w:val="Prrafodelista"/>
        <w:numPr>
          <w:ilvl w:val="0"/>
          <w:numId w:val="16"/>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color w:val="000000" w:themeColor="text1"/>
          <w:sz w:val="24"/>
          <w:szCs w:val="24"/>
        </w:rPr>
        <w:t>En cuanto a</w:t>
      </w:r>
      <w:r w:rsidR="00124E9D" w:rsidRPr="00163BF5">
        <w:rPr>
          <w:rFonts w:ascii="Times New Roman" w:eastAsia="Times New Roman" w:hAnsi="Times New Roman" w:cs="Times New Roman"/>
          <w:color w:val="000000" w:themeColor="text1"/>
          <w:sz w:val="24"/>
          <w:szCs w:val="24"/>
        </w:rPr>
        <w:t xml:space="preserve">l estándar de oportunidad </w:t>
      </w:r>
      <w:r w:rsidR="00F07097" w:rsidRPr="00163BF5">
        <w:rPr>
          <w:rFonts w:ascii="Times New Roman" w:eastAsia="Times New Roman" w:hAnsi="Times New Roman" w:cs="Times New Roman"/>
          <w:color w:val="000000" w:themeColor="text1"/>
          <w:sz w:val="24"/>
          <w:szCs w:val="24"/>
        </w:rPr>
        <w:t xml:space="preserve">de la Corte Interamericana de Derechos Humanos </w:t>
      </w:r>
      <w:r w:rsidRPr="00163BF5">
        <w:rPr>
          <w:rFonts w:ascii="Times New Roman" w:eastAsia="Times New Roman" w:hAnsi="Times New Roman" w:cs="Times New Roman"/>
          <w:color w:val="000000" w:themeColor="text1"/>
          <w:sz w:val="24"/>
          <w:szCs w:val="24"/>
        </w:rPr>
        <w:t xml:space="preserve">que </w:t>
      </w:r>
      <w:r w:rsidR="00124E9D" w:rsidRPr="00163BF5">
        <w:rPr>
          <w:rFonts w:ascii="Times New Roman" w:eastAsia="Times New Roman" w:hAnsi="Times New Roman" w:cs="Times New Roman"/>
          <w:color w:val="000000" w:themeColor="text1"/>
          <w:sz w:val="24"/>
          <w:szCs w:val="24"/>
        </w:rPr>
        <w:t>contiene tres elementos que son: a) la investigación debe iniciarse de manera inmediata; b) la investigación debe tener un plazo razonable c) la investigación debe ser propositiva</w:t>
      </w:r>
      <w:r w:rsidR="00F07097" w:rsidRPr="00163BF5">
        <w:rPr>
          <w:rFonts w:ascii="Times New Roman" w:eastAsia="Times New Roman" w:hAnsi="Times New Roman" w:cs="Times New Roman"/>
          <w:color w:val="000000" w:themeColor="text1"/>
          <w:sz w:val="24"/>
          <w:szCs w:val="24"/>
        </w:rPr>
        <w:t>; s</w:t>
      </w:r>
      <w:r w:rsidRPr="00163BF5">
        <w:rPr>
          <w:rFonts w:ascii="Times New Roman" w:eastAsia="Times New Roman" w:hAnsi="Times New Roman" w:cs="Times New Roman"/>
          <w:color w:val="000000" w:themeColor="text1"/>
          <w:sz w:val="24"/>
          <w:szCs w:val="24"/>
        </w:rPr>
        <w:t xml:space="preserve">e encuentra aplicado </w:t>
      </w:r>
      <w:r w:rsidR="00F07097" w:rsidRPr="00163BF5">
        <w:rPr>
          <w:rFonts w:ascii="Times New Roman" w:hAnsi="Times New Roman" w:cs="Times New Roman"/>
          <w:color w:val="000000" w:themeColor="text1"/>
          <w:sz w:val="24"/>
          <w:szCs w:val="24"/>
        </w:rPr>
        <w:t>de manera incompleta</w:t>
      </w:r>
      <w:r w:rsidR="00F07097" w:rsidRPr="00163BF5">
        <w:rPr>
          <w:rFonts w:ascii="Times New Roman" w:eastAsia="Times New Roman" w:hAnsi="Times New Roman" w:cs="Times New Roman"/>
          <w:color w:val="000000" w:themeColor="text1"/>
          <w:sz w:val="24"/>
          <w:szCs w:val="24"/>
        </w:rPr>
        <w:t xml:space="preserve"> </w:t>
      </w:r>
      <w:r w:rsidRPr="00163BF5">
        <w:rPr>
          <w:rFonts w:ascii="Times New Roman" w:eastAsia="Times New Roman" w:hAnsi="Times New Roman" w:cs="Times New Roman"/>
          <w:color w:val="000000" w:themeColor="text1"/>
          <w:sz w:val="24"/>
          <w:szCs w:val="24"/>
        </w:rPr>
        <w:t xml:space="preserve">en la </w:t>
      </w:r>
      <w:r w:rsidRPr="00163BF5">
        <w:rPr>
          <w:rFonts w:ascii="Times New Roman" w:hAnsi="Times New Roman" w:cs="Times New Roman"/>
          <w:color w:val="000000" w:themeColor="text1"/>
          <w:sz w:val="24"/>
          <w:szCs w:val="24"/>
        </w:rPr>
        <w:t>Ley Orgánica de Actuación en Casos de Personas Desaparecidas y Extraviadas dado que solo cumple con un elemento de los tres</w:t>
      </w:r>
      <w:r w:rsidR="00F07097" w:rsidRPr="00163BF5">
        <w:rPr>
          <w:rFonts w:ascii="Times New Roman" w:hAnsi="Times New Roman" w:cs="Times New Roman"/>
          <w:color w:val="000000" w:themeColor="text1"/>
          <w:sz w:val="24"/>
          <w:szCs w:val="24"/>
        </w:rPr>
        <w:t xml:space="preserve">. </w:t>
      </w:r>
    </w:p>
    <w:p w14:paraId="096560B6" w14:textId="33ADD1AA" w:rsidR="00C712B9" w:rsidRPr="00163BF5" w:rsidRDefault="00F07097" w:rsidP="00AA0F30">
      <w:pPr>
        <w:pStyle w:val="Prrafodelista"/>
        <w:numPr>
          <w:ilvl w:val="0"/>
          <w:numId w:val="16"/>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color w:val="000000" w:themeColor="text1"/>
          <w:sz w:val="24"/>
          <w:szCs w:val="24"/>
        </w:rPr>
        <w:t xml:space="preserve">En cuanto al estándar de competencia de la Corte Interamericana de Derechos Humanos, </w:t>
      </w:r>
      <w:r w:rsidR="00C712B9" w:rsidRPr="00163BF5">
        <w:rPr>
          <w:rFonts w:ascii="Times New Roman" w:eastAsia="Times New Roman" w:hAnsi="Times New Roman" w:cs="Times New Roman"/>
          <w:color w:val="000000" w:themeColor="text1"/>
          <w:sz w:val="24"/>
          <w:szCs w:val="24"/>
        </w:rPr>
        <w:t xml:space="preserve">La Ley Orgánica de Actuación en Casos de Personas Desaparecidas y Extraviadas crea el Sistema Nacional de Búsqueda de Personas Desaparecidas, Extraviadas y Respuesta a las Víctimas Indirectas, </w:t>
      </w:r>
      <w:r w:rsidRPr="00163BF5">
        <w:rPr>
          <w:rFonts w:ascii="Times New Roman" w:eastAsia="Times New Roman" w:hAnsi="Times New Roman" w:cs="Times New Roman"/>
          <w:color w:val="000000" w:themeColor="text1"/>
          <w:sz w:val="24"/>
          <w:szCs w:val="24"/>
        </w:rPr>
        <w:t xml:space="preserve">por lo que este estándar estaría </w:t>
      </w:r>
      <w:r w:rsidR="00C712B9" w:rsidRPr="00163BF5">
        <w:rPr>
          <w:rFonts w:ascii="Times New Roman" w:eastAsia="Times New Roman" w:hAnsi="Times New Roman" w:cs="Times New Roman"/>
          <w:color w:val="000000" w:themeColor="text1"/>
          <w:sz w:val="24"/>
          <w:szCs w:val="24"/>
        </w:rPr>
        <w:t>contemplando adecuadamente</w:t>
      </w:r>
      <w:r w:rsidRPr="00163BF5">
        <w:rPr>
          <w:rFonts w:ascii="Times New Roman" w:eastAsia="Times New Roman" w:hAnsi="Times New Roman" w:cs="Times New Roman"/>
          <w:color w:val="000000" w:themeColor="text1"/>
          <w:sz w:val="24"/>
          <w:szCs w:val="24"/>
        </w:rPr>
        <w:t xml:space="preserve">. </w:t>
      </w:r>
    </w:p>
    <w:p w14:paraId="6783D7EB" w14:textId="1B2CD42E" w:rsidR="00C712B9" w:rsidRPr="00163BF5" w:rsidRDefault="00F07097" w:rsidP="00AA0F30">
      <w:pPr>
        <w:pStyle w:val="Prrafodelista"/>
        <w:numPr>
          <w:ilvl w:val="0"/>
          <w:numId w:val="16"/>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color w:val="000000" w:themeColor="text1"/>
          <w:sz w:val="24"/>
          <w:szCs w:val="24"/>
        </w:rPr>
        <w:t>En lo que refiere al</w:t>
      </w:r>
      <w:r w:rsidR="00C712B9" w:rsidRPr="00163BF5">
        <w:rPr>
          <w:rFonts w:ascii="Times New Roman" w:eastAsia="Times New Roman" w:hAnsi="Times New Roman" w:cs="Times New Roman"/>
          <w:color w:val="000000" w:themeColor="text1"/>
          <w:sz w:val="24"/>
          <w:szCs w:val="24"/>
        </w:rPr>
        <w:t xml:space="preserve"> estándar de independencia e imparcialidad de la Corte Interamericana de Derechos Humanos</w:t>
      </w:r>
      <w:r w:rsidRPr="00163BF5">
        <w:rPr>
          <w:rFonts w:ascii="Times New Roman" w:eastAsia="Times New Roman" w:hAnsi="Times New Roman" w:cs="Times New Roman"/>
          <w:color w:val="000000" w:themeColor="text1"/>
          <w:sz w:val="24"/>
          <w:szCs w:val="24"/>
        </w:rPr>
        <w:t xml:space="preserve">, este involucra tanto a las autoridades a cargo de la investigación como al juzgamiento de la vulneración de los derechos humanos, en el caso del juzgamiento </w:t>
      </w:r>
      <w:r w:rsidR="00C712B9" w:rsidRPr="00163BF5">
        <w:rPr>
          <w:rFonts w:ascii="Times New Roman" w:eastAsia="Times New Roman" w:hAnsi="Times New Roman" w:cs="Times New Roman"/>
          <w:color w:val="000000" w:themeColor="text1"/>
          <w:sz w:val="24"/>
          <w:szCs w:val="24"/>
        </w:rPr>
        <w:t>se encuentra correctamente adecuado en la Ley Orgánica de Actuación en Casos de Personas Desaparecidas y Extraviadas, sin embargo, en</w:t>
      </w:r>
      <w:r w:rsidRPr="00163BF5">
        <w:rPr>
          <w:rFonts w:ascii="Times New Roman" w:eastAsia="Times New Roman" w:hAnsi="Times New Roman" w:cs="Times New Roman"/>
          <w:color w:val="000000" w:themeColor="text1"/>
          <w:sz w:val="24"/>
          <w:szCs w:val="24"/>
        </w:rPr>
        <w:t xml:space="preserve"> cuanto a las</w:t>
      </w:r>
      <w:r w:rsidR="00C712B9" w:rsidRPr="00163BF5">
        <w:rPr>
          <w:rFonts w:ascii="Times New Roman" w:eastAsia="Times New Roman" w:hAnsi="Times New Roman" w:cs="Times New Roman"/>
          <w:color w:val="000000" w:themeColor="text1"/>
          <w:sz w:val="24"/>
          <w:szCs w:val="24"/>
        </w:rPr>
        <w:t xml:space="preserve"> autoridades que realizan la investigación no se menciona nada, por lo que se concluye estableciendo que el estándar no </w:t>
      </w:r>
      <w:proofErr w:type="spellStart"/>
      <w:r w:rsidR="00C712B9" w:rsidRPr="00163BF5">
        <w:rPr>
          <w:rFonts w:ascii="Times New Roman" w:eastAsia="Times New Roman" w:hAnsi="Times New Roman" w:cs="Times New Roman"/>
          <w:color w:val="000000" w:themeColor="text1"/>
          <w:sz w:val="24"/>
          <w:szCs w:val="24"/>
        </w:rPr>
        <w:t>esta</w:t>
      </w:r>
      <w:proofErr w:type="spellEnd"/>
      <w:r w:rsidR="00C712B9" w:rsidRPr="00163BF5">
        <w:rPr>
          <w:rFonts w:ascii="Times New Roman" w:eastAsia="Times New Roman" w:hAnsi="Times New Roman" w:cs="Times New Roman"/>
          <w:color w:val="000000" w:themeColor="text1"/>
          <w:sz w:val="24"/>
          <w:szCs w:val="24"/>
        </w:rPr>
        <w:t xml:space="preserve"> correctamente aplicado en la norma. </w:t>
      </w:r>
    </w:p>
    <w:p w14:paraId="5C664FB5" w14:textId="4BACCDC2" w:rsidR="009F112D" w:rsidRPr="00163BF5" w:rsidRDefault="00F07097" w:rsidP="00C82E8F">
      <w:pPr>
        <w:pStyle w:val="Prrafodelista"/>
        <w:numPr>
          <w:ilvl w:val="0"/>
          <w:numId w:val="16"/>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color w:val="000000" w:themeColor="text1"/>
          <w:sz w:val="24"/>
          <w:szCs w:val="24"/>
        </w:rPr>
        <w:t>En lo referente a l</w:t>
      </w:r>
      <w:r w:rsidR="00C712B9" w:rsidRPr="00163BF5">
        <w:rPr>
          <w:rFonts w:ascii="Times New Roman" w:eastAsia="Times New Roman" w:hAnsi="Times New Roman" w:cs="Times New Roman"/>
          <w:color w:val="000000" w:themeColor="text1"/>
          <w:sz w:val="24"/>
          <w:szCs w:val="24"/>
        </w:rPr>
        <w:t xml:space="preserve">os estándares de exhaustividad y participación de las víctimas y sus familiares de la Corte </w:t>
      </w:r>
      <w:r w:rsidR="00AA0F30" w:rsidRPr="00163BF5">
        <w:rPr>
          <w:rFonts w:ascii="Times New Roman" w:eastAsia="Times New Roman" w:hAnsi="Times New Roman" w:cs="Times New Roman"/>
          <w:color w:val="000000" w:themeColor="text1"/>
          <w:sz w:val="24"/>
          <w:szCs w:val="24"/>
        </w:rPr>
        <w:t>Interamericana</w:t>
      </w:r>
      <w:r w:rsidR="00C712B9" w:rsidRPr="00163BF5">
        <w:rPr>
          <w:rFonts w:ascii="Times New Roman" w:eastAsia="Times New Roman" w:hAnsi="Times New Roman" w:cs="Times New Roman"/>
          <w:color w:val="000000" w:themeColor="text1"/>
          <w:sz w:val="24"/>
          <w:szCs w:val="24"/>
        </w:rPr>
        <w:t xml:space="preserve"> de Derechos Humanos</w:t>
      </w:r>
      <w:r w:rsidRPr="00163BF5">
        <w:rPr>
          <w:rFonts w:ascii="Times New Roman" w:eastAsia="Times New Roman" w:hAnsi="Times New Roman" w:cs="Times New Roman"/>
          <w:color w:val="000000" w:themeColor="text1"/>
          <w:sz w:val="24"/>
          <w:szCs w:val="24"/>
        </w:rPr>
        <w:t xml:space="preserve">, ambos </w:t>
      </w:r>
      <w:r w:rsidR="00C712B9" w:rsidRPr="00163BF5">
        <w:rPr>
          <w:rFonts w:ascii="Times New Roman" w:eastAsia="Times New Roman" w:hAnsi="Times New Roman" w:cs="Times New Roman"/>
          <w:color w:val="000000" w:themeColor="text1"/>
          <w:sz w:val="24"/>
          <w:szCs w:val="24"/>
        </w:rPr>
        <w:t xml:space="preserve">se encuentran correctamente aplicados en la Ley Orgánica de Actuación en Casos de Personas Desaparecidas y Extraviadas. </w:t>
      </w:r>
    </w:p>
    <w:p w14:paraId="3F5E7281" w14:textId="5BB5D857" w:rsidR="00B256E1" w:rsidRPr="00163BF5" w:rsidRDefault="00B256E1" w:rsidP="00B256E1">
      <w:pPr>
        <w:rPr>
          <w:b/>
          <w:bCs/>
          <w:color w:val="000000" w:themeColor="text1"/>
        </w:rPr>
      </w:pPr>
    </w:p>
    <w:p w14:paraId="6A395E84" w14:textId="76EBED23" w:rsidR="00B256E1" w:rsidRPr="00163BF5" w:rsidRDefault="00B256E1" w:rsidP="00B256E1">
      <w:pPr>
        <w:rPr>
          <w:b/>
          <w:bCs/>
          <w:color w:val="000000" w:themeColor="text1"/>
        </w:rPr>
      </w:pPr>
    </w:p>
    <w:p w14:paraId="53F552E5" w14:textId="445F8D9B" w:rsidR="00B256E1" w:rsidRPr="00163BF5" w:rsidRDefault="00B256E1" w:rsidP="00B256E1">
      <w:pPr>
        <w:rPr>
          <w:b/>
          <w:bCs/>
          <w:color w:val="000000" w:themeColor="text1"/>
        </w:rPr>
      </w:pPr>
    </w:p>
    <w:p w14:paraId="20C844D5" w14:textId="6697A6D5" w:rsidR="00B256E1" w:rsidRPr="00163BF5" w:rsidRDefault="00B256E1" w:rsidP="00B256E1">
      <w:pPr>
        <w:rPr>
          <w:b/>
          <w:bCs/>
          <w:color w:val="000000" w:themeColor="text1"/>
        </w:rPr>
      </w:pPr>
    </w:p>
    <w:p w14:paraId="62E832D6" w14:textId="7AAD9142" w:rsidR="00B256E1" w:rsidRPr="00163BF5" w:rsidRDefault="00B256E1" w:rsidP="00B256E1">
      <w:pPr>
        <w:rPr>
          <w:b/>
          <w:bCs/>
          <w:color w:val="000000" w:themeColor="text1"/>
        </w:rPr>
      </w:pPr>
    </w:p>
    <w:p w14:paraId="6FAA98A2" w14:textId="446DAC75" w:rsidR="00B256E1" w:rsidRPr="00163BF5" w:rsidRDefault="00B256E1" w:rsidP="00B256E1">
      <w:pPr>
        <w:rPr>
          <w:b/>
          <w:bCs/>
          <w:color w:val="000000" w:themeColor="text1"/>
        </w:rPr>
      </w:pPr>
    </w:p>
    <w:p w14:paraId="3E7DCE89" w14:textId="0EF938B0" w:rsidR="00B256E1" w:rsidRPr="00163BF5" w:rsidRDefault="00B256E1" w:rsidP="00B256E1">
      <w:pPr>
        <w:rPr>
          <w:b/>
          <w:bCs/>
          <w:color w:val="000000" w:themeColor="text1"/>
        </w:rPr>
      </w:pPr>
    </w:p>
    <w:p w14:paraId="0A00796E" w14:textId="4536BA96" w:rsidR="00B256E1" w:rsidRPr="00163BF5" w:rsidRDefault="00B256E1" w:rsidP="00B256E1">
      <w:pPr>
        <w:rPr>
          <w:b/>
          <w:bCs/>
          <w:color w:val="000000" w:themeColor="text1"/>
        </w:rPr>
      </w:pPr>
    </w:p>
    <w:p w14:paraId="5FA0F83D" w14:textId="509203B9" w:rsidR="00B256E1" w:rsidRPr="00163BF5" w:rsidRDefault="00B256E1" w:rsidP="00B256E1">
      <w:pPr>
        <w:rPr>
          <w:b/>
          <w:bCs/>
          <w:color w:val="000000" w:themeColor="text1"/>
        </w:rPr>
      </w:pPr>
    </w:p>
    <w:p w14:paraId="0CA59E49" w14:textId="7EF4812E" w:rsidR="00B256E1" w:rsidRPr="00163BF5" w:rsidRDefault="00B256E1" w:rsidP="00B256E1">
      <w:pPr>
        <w:rPr>
          <w:b/>
          <w:bCs/>
          <w:color w:val="000000" w:themeColor="text1"/>
        </w:rPr>
      </w:pPr>
    </w:p>
    <w:p w14:paraId="71DAE18F" w14:textId="6C66A768" w:rsidR="00B256E1" w:rsidRPr="00163BF5" w:rsidRDefault="00B256E1" w:rsidP="00651EBA">
      <w:pPr>
        <w:rPr>
          <w:color w:val="000000" w:themeColor="text1"/>
        </w:rPr>
      </w:pPr>
    </w:p>
    <w:p w14:paraId="3931318D" w14:textId="77777777" w:rsidR="00B256E1" w:rsidRPr="00163BF5" w:rsidRDefault="00B256E1" w:rsidP="00B256E1">
      <w:pPr>
        <w:rPr>
          <w:b/>
          <w:bCs/>
          <w:color w:val="000000" w:themeColor="text1"/>
        </w:rPr>
      </w:pPr>
    </w:p>
    <w:p w14:paraId="2B98F343" w14:textId="666179E5" w:rsidR="00C82E8F" w:rsidRPr="00163BF5" w:rsidRDefault="00C82E8F" w:rsidP="00066AEC">
      <w:pPr>
        <w:pStyle w:val="Ttulo2"/>
        <w:jc w:val="center"/>
        <w:rPr>
          <w:rFonts w:eastAsia="Times New Roman"/>
          <w:lang w:eastAsia="es-ES_tradnl"/>
        </w:rPr>
      </w:pPr>
      <w:bookmarkStart w:id="73" w:name="_Toc67513422"/>
      <w:r w:rsidRPr="00163BF5">
        <w:rPr>
          <w:rFonts w:eastAsia="Times New Roman"/>
          <w:lang w:eastAsia="es-ES_tradnl"/>
        </w:rPr>
        <w:t>RECOMENDACIONES</w:t>
      </w:r>
      <w:bookmarkEnd w:id="73"/>
    </w:p>
    <w:p w14:paraId="448E292C" w14:textId="118F83E5" w:rsidR="00951A8D" w:rsidRPr="00163BF5" w:rsidRDefault="00951A8D" w:rsidP="00951A8D">
      <w:pPr>
        <w:pStyle w:val="Prrafodelista"/>
        <w:numPr>
          <w:ilvl w:val="0"/>
          <w:numId w:val="18"/>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color w:val="000000" w:themeColor="text1"/>
          <w:sz w:val="24"/>
          <w:szCs w:val="24"/>
        </w:rPr>
        <w:t>Divulga</w:t>
      </w:r>
      <w:r w:rsidR="001A5988" w:rsidRPr="00163BF5">
        <w:rPr>
          <w:rFonts w:ascii="Times New Roman" w:eastAsia="Times New Roman" w:hAnsi="Times New Roman" w:cs="Times New Roman"/>
          <w:color w:val="000000" w:themeColor="text1"/>
          <w:sz w:val="24"/>
          <w:szCs w:val="24"/>
        </w:rPr>
        <w:t>r</w:t>
      </w:r>
      <w:r w:rsidRPr="00163BF5">
        <w:rPr>
          <w:rFonts w:ascii="Times New Roman" w:eastAsia="Times New Roman" w:hAnsi="Times New Roman" w:cs="Times New Roman"/>
          <w:color w:val="000000" w:themeColor="text1"/>
          <w:sz w:val="24"/>
          <w:szCs w:val="24"/>
        </w:rPr>
        <w:t xml:space="preserve"> en los distintos espacios académicos </w:t>
      </w:r>
      <w:r w:rsidR="00AA0F30" w:rsidRPr="00163BF5">
        <w:rPr>
          <w:rFonts w:ascii="Times New Roman" w:eastAsia="Times New Roman" w:hAnsi="Times New Roman" w:cs="Times New Roman"/>
          <w:color w:val="000000" w:themeColor="text1"/>
          <w:sz w:val="24"/>
          <w:szCs w:val="24"/>
        </w:rPr>
        <w:t>que,</w:t>
      </w:r>
      <w:r w:rsidRPr="00163BF5">
        <w:rPr>
          <w:rFonts w:ascii="Times New Roman" w:eastAsia="Times New Roman" w:hAnsi="Times New Roman" w:cs="Times New Roman"/>
          <w:color w:val="000000" w:themeColor="text1"/>
          <w:sz w:val="24"/>
          <w:szCs w:val="24"/>
        </w:rPr>
        <w:t xml:space="preserve"> en base al control de convencionalidad, la Corte </w:t>
      </w:r>
      <w:r w:rsidR="00AA0F30" w:rsidRPr="00163BF5">
        <w:rPr>
          <w:rFonts w:ascii="Times New Roman" w:eastAsia="Times New Roman" w:hAnsi="Times New Roman" w:cs="Times New Roman"/>
          <w:color w:val="000000" w:themeColor="text1"/>
          <w:sz w:val="24"/>
          <w:szCs w:val="24"/>
        </w:rPr>
        <w:t>Interamericana</w:t>
      </w:r>
      <w:r w:rsidRPr="00163BF5">
        <w:rPr>
          <w:rFonts w:ascii="Times New Roman" w:eastAsia="Times New Roman" w:hAnsi="Times New Roman" w:cs="Times New Roman"/>
          <w:color w:val="000000" w:themeColor="text1"/>
          <w:sz w:val="24"/>
          <w:szCs w:val="24"/>
        </w:rPr>
        <w:t xml:space="preserve"> de Derechos Humanos y la Constitución del Ecuador, distintos estándares emitidos por parte de la Corte antes señalada deben ser aplicadas en el país y su normativa </w:t>
      </w:r>
    </w:p>
    <w:p w14:paraId="7EB4A695" w14:textId="2008D9C9" w:rsidR="00951A8D" w:rsidRPr="00163BF5" w:rsidRDefault="00951A8D" w:rsidP="00951A8D">
      <w:pPr>
        <w:pStyle w:val="Prrafodelista"/>
        <w:numPr>
          <w:ilvl w:val="0"/>
          <w:numId w:val="18"/>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color w:val="000000" w:themeColor="text1"/>
          <w:sz w:val="24"/>
          <w:szCs w:val="24"/>
        </w:rPr>
        <w:t xml:space="preserve">Visibilizar en espacios académicos la situación de las personas desaparecidas involuntariamente. </w:t>
      </w:r>
    </w:p>
    <w:p w14:paraId="0E97B177" w14:textId="6DC26D96" w:rsidR="00951A8D" w:rsidRPr="00163BF5" w:rsidRDefault="00951A8D" w:rsidP="00951A8D">
      <w:pPr>
        <w:pStyle w:val="Prrafodelista"/>
        <w:numPr>
          <w:ilvl w:val="0"/>
          <w:numId w:val="18"/>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color w:val="000000" w:themeColor="text1"/>
          <w:sz w:val="24"/>
          <w:szCs w:val="24"/>
        </w:rPr>
        <w:t xml:space="preserve">Recomendar a profesores, estudiantes, fiscales y administradores de justicia que </w:t>
      </w:r>
      <w:r w:rsidR="00AA0F30" w:rsidRPr="00163BF5">
        <w:rPr>
          <w:rFonts w:ascii="Times New Roman" w:eastAsia="Times New Roman" w:hAnsi="Times New Roman" w:cs="Times New Roman"/>
          <w:color w:val="000000" w:themeColor="text1"/>
          <w:sz w:val="24"/>
          <w:szCs w:val="24"/>
        </w:rPr>
        <w:t xml:space="preserve">estudien acerca de </w:t>
      </w:r>
      <w:r w:rsidRPr="00163BF5">
        <w:rPr>
          <w:rFonts w:ascii="Times New Roman" w:eastAsia="Times New Roman" w:hAnsi="Times New Roman" w:cs="Times New Roman"/>
          <w:color w:val="000000" w:themeColor="text1"/>
          <w:sz w:val="24"/>
          <w:szCs w:val="24"/>
        </w:rPr>
        <w:t>la internacionalización del derecho</w:t>
      </w:r>
      <w:r w:rsidR="00AA0F30" w:rsidRPr="00163BF5">
        <w:rPr>
          <w:rFonts w:ascii="Times New Roman" w:eastAsia="Times New Roman" w:hAnsi="Times New Roman" w:cs="Times New Roman"/>
          <w:color w:val="000000" w:themeColor="text1"/>
          <w:sz w:val="24"/>
          <w:szCs w:val="24"/>
        </w:rPr>
        <w:t xml:space="preserve">, dado que </w:t>
      </w:r>
      <w:r w:rsidRPr="00163BF5">
        <w:rPr>
          <w:rFonts w:ascii="Times New Roman" w:eastAsia="Times New Roman" w:hAnsi="Times New Roman" w:cs="Times New Roman"/>
          <w:color w:val="000000" w:themeColor="text1"/>
          <w:sz w:val="24"/>
          <w:szCs w:val="24"/>
        </w:rPr>
        <w:t xml:space="preserve">es un fenómeno progresivo que si se lo realiza de manera correcta va a generar una mejor tutela a los derechos humanos. </w:t>
      </w:r>
    </w:p>
    <w:p w14:paraId="6798A8A2" w14:textId="449409B9" w:rsidR="00951A8D" w:rsidRPr="00163BF5" w:rsidRDefault="00AA0F30" w:rsidP="00951A8D">
      <w:pPr>
        <w:pStyle w:val="Prrafodelista"/>
        <w:numPr>
          <w:ilvl w:val="0"/>
          <w:numId w:val="18"/>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color w:val="000000" w:themeColor="text1"/>
          <w:sz w:val="24"/>
          <w:szCs w:val="24"/>
        </w:rPr>
        <w:t xml:space="preserve">Conminar a la Asamblea Nacional que en uso de sus atribuciones realice una mejor aplicación de los distintos estándares internacionales emitidos por la Corte Interamericana de Derechos Humanos en las normas que piensan emitir. </w:t>
      </w:r>
    </w:p>
    <w:p w14:paraId="1EA1949E" w14:textId="157A40A5" w:rsidR="009F112D" w:rsidRPr="00163BF5" w:rsidRDefault="00AA0F30" w:rsidP="00C82E8F">
      <w:pPr>
        <w:pStyle w:val="Prrafodelista"/>
        <w:numPr>
          <w:ilvl w:val="0"/>
          <w:numId w:val="18"/>
        </w:numPr>
        <w:rPr>
          <w:rFonts w:ascii="Times New Roman" w:eastAsia="Times New Roman" w:hAnsi="Times New Roman" w:cs="Times New Roman"/>
          <w:b/>
          <w:bCs/>
          <w:color w:val="000000" w:themeColor="text1"/>
          <w:sz w:val="24"/>
          <w:szCs w:val="24"/>
        </w:rPr>
      </w:pPr>
      <w:r w:rsidRPr="00163BF5">
        <w:rPr>
          <w:rFonts w:ascii="Times New Roman" w:eastAsia="Times New Roman" w:hAnsi="Times New Roman" w:cs="Times New Roman"/>
          <w:color w:val="000000" w:themeColor="text1"/>
          <w:sz w:val="24"/>
          <w:szCs w:val="24"/>
        </w:rPr>
        <w:t xml:space="preserve">Comunicar a los órganos judiciales y autoridades encargadas de la investigación, que los estándares de debida diligencia deben ser aplicados en la búsqueda de personas desaparecidas involuntariamente </w:t>
      </w:r>
    </w:p>
    <w:p w14:paraId="0E0EC2A0" w14:textId="557D2580" w:rsidR="00B256E1" w:rsidRPr="00163BF5" w:rsidRDefault="00B256E1" w:rsidP="00B256E1">
      <w:pPr>
        <w:rPr>
          <w:b/>
          <w:bCs/>
          <w:color w:val="000000" w:themeColor="text1"/>
        </w:rPr>
      </w:pPr>
    </w:p>
    <w:p w14:paraId="3D149477" w14:textId="59906176" w:rsidR="00B256E1" w:rsidRPr="00163BF5" w:rsidRDefault="00B256E1" w:rsidP="00B256E1">
      <w:pPr>
        <w:rPr>
          <w:b/>
          <w:bCs/>
          <w:color w:val="000000" w:themeColor="text1"/>
        </w:rPr>
      </w:pPr>
    </w:p>
    <w:p w14:paraId="12F7C99B" w14:textId="46FDFBB3" w:rsidR="00B256E1" w:rsidRPr="00163BF5" w:rsidRDefault="00B256E1" w:rsidP="00B256E1">
      <w:pPr>
        <w:rPr>
          <w:b/>
          <w:bCs/>
          <w:color w:val="000000" w:themeColor="text1"/>
        </w:rPr>
      </w:pPr>
    </w:p>
    <w:p w14:paraId="18ADEB4E" w14:textId="6328CAAD" w:rsidR="00B256E1" w:rsidRPr="00163BF5" w:rsidRDefault="00B256E1" w:rsidP="00B256E1">
      <w:pPr>
        <w:rPr>
          <w:b/>
          <w:bCs/>
          <w:color w:val="000000" w:themeColor="text1"/>
        </w:rPr>
      </w:pPr>
    </w:p>
    <w:p w14:paraId="2EF449A8" w14:textId="6CBA80B4" w:rsidR="00B256E1" w:rsidRPr="00163BF5" w:rsidRDefault="00B256E1" w:rsidP="00B256E1">
      <w:pPr>
        <w:rPr>
          <w:b/>
          <w:bCs/>
          <w:color w:val="000000" w:themeColor="text1"/>
        </w:rPr>
      </w:pPr>
    </w:p>
    <w:p w14:paraId="49E86EF4" w14:textId="74F56054" w:rsidR="00B256E1" w:rsidRPr="00163BF5" w:rsidRDefault="00B256E1" w:rsidP="00B256E1">
      <w:pPr>
        <w:rPr>
          <w:b/>
          <w:bCs/>
          <w:color w:val="000000" w:themeColor="text1"/>
        </w:rPr>
      </w:pPr>
    </w:p>
    <w:p w14:paraId="047D609E" w14:textId="58F048AA" w:rsidR="00B256E1" w:rsidRPr="00163BF5" w:rsidRDefault="00B256E1" w:rsidP="00B256E1">
      <w:pPr>
        <w:rPr>
          <w:b/>
          <w:bCs/>
          <w:color w:val="000000" w:themeColor="text1"/>
        </w:rPr>
      </w:pPr>
    </w:p>
    <w:p w14:paraId="1520959A" w14:textId="1E17E161" w:rsidR="00B256E1" w:rsidRPr="00163BF5" w:rsidRDefault="00B256E1" w:rsidP="00B256E1">
      <w:pPr>
        <w:rPr>
          <w:b/>
          <w:bCs/>
          <w:color w:val="000000" w:themeColor="text1"/>
        </w:rPr>
      </w:pPr>
    </w:p>
    <w:p w14:paraId="152E1511" w14:textId="77777777" w:rsidR="00B256E1" w:rsidRPr="00163BF5" w:rsidRDefault="00B256E1" w:rsidP="00B256E1">
      <w:pPr>
        <w:rPr>
          <w:b/>
          <w:bCs/>
          <w:color w:val="000000" w:themeColor="text1"/>
        </w:rPr>
      </w:pPr>
    </w:p>
    <w:p w14:paraId="52C8766D" w14:textId="77777777" w:rsidR="009F112D" w:rsidRPr="00163BF5" w:rsidRDefault="009F112D" w:rsidP="00C82E8F">
      <w:pPr>
        <w:spacing w:line="480" w:lineRule="auto"/>
        <w:rPr>
          <w:b/>
          <w:bCs/>
          <w:color w:val="000000" w:themeColor="text1"/>
          <w:lang w:eastAsia="es-ES_tradnl"/>
        </w:rPr>
      </w:pPr>
    </w:p>
    <w:p w14:paraId="5DE835F6" w14:textId="14043542" w:rsidR="009F112D" w:rsidRPr="00163BF5" w:rsidRDefault="009F112D" w:rsidP="009F112D">
      <w:pPr>
        <w:pStyle w:val="Ttulo1"/>
        <w:numPr>
          <w:ilvl w:val="0"/>
          <w:numId w:val="0"/>
        </w:numPr>
        <w:ind w:left="720" w:hanging="360"/>
        <w:jc w:val="center"/>
      </w:pPr>
      <w:bookmarkStart w:id="74" w:name="_Toc67513423"/>
      <w:r w:rsidRPr="00163BF5">
        <w:t>BIBLIOGRAFÍA:</w:t>
      </w:r>
      <w:bookmarkEnd w:id="74"/>
    </w:p>
    <w:p w14:paraId="5E153E5D" w14:textId="77777777" w:rsidR="00A70A30" w:rsidRPr="00163BF5" w:rsidRDefault="00A70A30" w:rsidP="00656CF6">
      <w:pPr>
        <w:spacing w:line="360" w:lineRule="auto"/>
        <w:ind w:left="851" w:hanging="851"/>
        <w:jc w:val="both"/>
        <w:rPr>
          <w:color w:val="000000" w:themeColor="text1"/>
          <w:lang w:val="es-ES"/>
        </w:rPr>
      </w:pPr>
      <w:r w:rsidRPr="00163BF5">
        <w:rPr>
          <w:color w:val="000000" w:themeColor="text1"/>
          <w:lang w:val="es-ES"/>
        </w:rPr>
        <w:t xml:space="preserve">Aguilar, G. (2013). El control de convencionalidad. Análisis en el derecho comparado. </w:t>
      </w:r>
      <w:r w:rsidRPr="00163BF5">
        <w:rPr>
          <w:i/>
          <w:iCs/>
          <w:color w:val="000000" w:themeColor="text1"/>
          <w:lang w:val="es-ES"/>
        </w:rPr>
        <w:t xml:space="preserve">Revista </w:t>
      </w:r>
      <w:proofErr w:type="spellStart"/>
      <w:r w:rsidRPr="00163BF5">
        <w:rPr>
          <w:i/>
          <w:iCs/>
          <w:color w:val="000000" w:themeColor="text1"/>
          <w:lang w:val="es-ES"/>
        </w:rPr>
        <w:t>Dereito</w:t>
      </w:r>
      <w:proofErr w:type="spellEnd"/>
      <w:r w:rsidRPr="00163BF5">
        <w:rPr>
          <w:i/>
          <w:iCs/>
          <w:color w:val="000000" w:themeColor="text1"/>
          <w:lang w:val="es-ES"/>
        </w:rPr>
        <w:t xml:space="preserve"> GV</w:t>
      </w:r>
      <w:r w:rsidRPr="00163BF5">
        <w:rPr>
          <w:color w:val="000000" w:themeColor="text1"/>
          <w:lang w:val="es-ES"/>
        </w:rPr>
        <w:t xml:space="preserve">, 9(2), (721-754). Recuperado de </w:t>
      </w:r>
      <w:hyperlink r:id="rId15" w:history="1">
        <w:r w:rsidRPr="00163BF5">
          <w:rPr>
            <w:rStyle w:val="Hipervnculo"/>
            <w:rFonts w:eastAsia="Calibri"/>
            <w:color w:val="000000" w:themeColor="text1"/>
            <w:u w:val="none"/>
          </w:rPr>
          <w:t>https://doi.org/10.1590/S1808-24322013000200015</w:t>
        </w:r>
      </w:hyperlink>
    </w:p>
    <w:p w14:paraId="70066C8B" w14:textId="77777777" w:rsidR="00A70A30" w:rsidRPr="00163BF5" w:rsidRDefault="00A70A30" w:rsidP="00656CF6">
      <w:pPr>
        <w:spacing w:line="360" w:lineRule="auto"/>
        <w:ind w:left="851" w:hanging="851"/>
        <w:jc w:val="both"/>
        <w:rPr>
          <w:color w:val="000000" w:themeColor="text1"/>
          <w:lang w:val="es-ES"/>
        </w:rPr>
      </w:pPr>
      <w:r w:rsidRPr="00163BF5">
        <w:rPr>
          <w:color w:val="000000" w:themeColor="text1"/>
          <w:lang w:val="es-ES"/>
        </w:rPr>
        <w:t xml:space="preserve">Aguirre, P. (2016). El control de convencionalidad y sus desafíos en el Ecuador. </w:t>
      </w:r>
      <w:r w:rsidRPr="00163BF5">
        <w:rPr>
          <w:i/>
          <w:iCs/>
          <w:color w:val="000000" w:themeColor="text1"/>
          <w:lang w:val="es-ES"/>
        </w:rPr>
        <w:t>Revista IIDH</w:t>
      </w:r>
      <w:r w:rsidRPr="00163BF5">
        <w:rPr>
          <w:color w:val="000000" w:themeColor="text1"/>
          <w:lang w:val="es-ES"/>
        </w:rPr>
        <w:t xml:space="preserve">, 64 (1) (pp. 265-310). Recuperado de </w:t>
      </w:r>
      <w:hyperlink r:id="rId16" w:history="1">
        <w:r w:rsidRPr="00163BF5">
          <w:rPr>
            <w:rStyle w:val="Hipervnculo"/>
            <w:rFonts w:eastAsia="Calibri"/>
            <w:color w:val="000000" w:themeColor="text1"/>
            <w:u w:val="none"/>
            <w:lang w:val="es-ES"/>
          </w:rPr>
          <w:t>https://www.corteidh.or.cr/tablas/r36284.pdf</w:t>
        </w:r>
      </w:hyperlink>
    </w:p>
    <w:p w14:paraId="417F0CE1" w14:textId="77777777" w:rsidR="00A70A30" w:rsidRPr="00163BF5" w:rsidRDefault="00A70A30" w:rsidP="00656CF6">
      <w:pPr>
        <w:spacing w:line="360" w:lineRule="auto"/>
        <w:ind w:left="851" w:hanging="851"/>
        <w:jc w:val="both"/>
        <w:rPr>
          <w:color w:val="000000" w:themeColor="text1"/>
          <w:lang w:val="es-ES"/>
        </w:rPr>
      </w:pPr>
      <w:r w:rsidRPr="00163BF5">
        <w:rPr>
          <w:color w:val="000000" w:themeColor="text1"/>
          <w:lang w:val="es-ES"/>
        </w:rPr>
        <w:t xml:space="preserve">Alulema, C. (4 de Agosto de 2014). 91% de las personas desaparecidas se alejan voluntariamente de su entorno familiar. </w:t>
      </w:r>
      <w:r w:rsidRPr="00163BF5">
        <w:rPr>
          <w:i/>
          <w:iCs/>
          <w:color w:val="000000" w:themeColor="text1"/>
          <w:lang w:val="es-ES"/>
        </w:rPr>
        <w:t xml:space="preserve">El Telégrafo. </w:t>
      </w:r>
      <w:r w:rsidRPr="00163BF5">
        <w:rPr>
          <w:color w:val="000000" w:themeColor="text1"/>
          <w:lang w:val="es-ES"/>
        </w:rPr>
        <w:t>Recuperado de https://www.eltelegrafo.com.ec/noticias/judicial/1/el-91-de-las-desapariciones-es-voluntaria</w:t>
      </w:r>
    </w:p>
    <w:p w14:paraId="421DDB4C" w14:textId="77777777" w:rsidR="00A70A30" w:rsidRPr="00163BF5" w:rsidRDefault="00A70A30" w:rsidP="00656CF6">
      <w:pPr>
        <w:spacing w:line="360" w:lineRule="auto"/>
        <w:ind w:left="851" w:hanging="851"/>
        <w:jc w:val="both"/>
        <w:rPr>
          <w:color w:val="000000" w:themeColor="text1"/>
          <w:lang w:val="es-ES"/>
        </w:rPr>
      </w:pPr>
      <w:r w:rsidRPr="00163BF5">
        <w:rPr>
          <w:color w:val="000000" w:themeColor="text1"/>
          <w:lang w:val="es-ES"/>
        </w:rPr>
        <w:t>Ambos, K., &amp; Bohm, M. (Ed) (2009). “La desaparición forzada de personas como tipo penal autónomo. Análisis comparado internacional y propuesta legislativa. En J. Correa (ed.).</w:t>
      </w:r>
      <w:r w:rsidRPr="00163BF5">
        <w:rPr>
          <w:color w:val="000000" w:themeColor="text1"/>
        </w:rPr>
        <w:t xml:space="preserve"> </w:t>
      </w:r>
      <w:r w:rsidRPr="00163BF5">
        <w:rPr>
          <w:i/>
          <w:iCs/>
          <w:color w:val="000000" w:themeColor="text1"/>
          <w:lang w:val="es-ES"/>
        </w:rPr>
        <w:t>Desaparición Forzada de Personas. Análisis comparado e internacional</w:t>
      </w:r>
      <w:r w:rsidRPr="00163BF5">
        <w:rPr>
          <w:color w:val="000000" w:themeColor="text1"/>
          <w:lang w:val="es-ES"/>
        </w:rPr>
        <w:t xml:space="preserve"> (pp. 195-255). Bogotá: Temis</w:t>
      </w:r>
    </w:p>
    <w:p w14:paraId="0E72B7FF" w14:textId="77777777" w:rsidR="00A70A30" w:rsidRPr="00163BF5" w:rsidRDefault="00A70A30" w:rsidP="00656CF6">
      <w:pPr>
        <w:spacing w:line="360" w:lineRule="auto"/>
        <w:ind w:left="851" w:hanging="851"/>
        <w:jc w:val="both"/>
        <w:rPr>
          <w:color w:val="000000" w:themeColor="text1"/>
        </w:rPr>
      </w:pPr>
      <w:r w:rsidRPr="00163BF5">
        <w:rPr>
          <w:color w:val="000000" w:themeColor="text1"/>
          <w:lang w:val="es-ES"/>
        </w:rPr>
        <w:t xml:space="preserve">Amuchástegui, S. (2011). El delito de desaparición forzada de personas y la posible afectación del principio de legalidad: una mirada integradora. </w:t>
      </w:r>
      <w:r w:rsidRPr="00163BF5">
        <w:rPr>
          <w:i/>
          <w:iCs/>
          <w:color w:val="000000" w:themeColor="text1"/>
          <w:lang w:val="es-ES"/>
        </w:rPr>
        <w:t>Revista de la Facultad: Universidad de Córdoba</w:t>
      </w:r>
      <w:r w:rsidRPr="00163BF5">
        <w:rPr>
          <w:color w:val="000000" w:themeColor="text1"/>
          <w:lang w:val="es-ES"/>
        </w:rPr>
        <w:t xml:space="preserve">, 1(1), </w:t>
      </w:r>
      <w:r w:rsidRPr="00163BF5">
        <w:rPr>
          <w:color w:val="000000" w:themeColor="text1"/>
        </w:rPr>
        <w:t>Recuperado de https://revistas.unc.edu.ar/index.php/recordip/article/view/276</w:t>
      </w:r>
    </w:p>
    <w:p w14:paraId="62096CC1" w14:textId="77777777" w:rsidR="00A70A30" w:rsidRPr="00163BF5" w:rsidRDefault="00A70A30" w:rsidP="00656CF6">
      <w:pPr>
        <w:spacing w:line="360" w:lineRule="auto"/>
        <w:ind w:left="851" w:hanging="851"/>
        <w:jc w:val="both"/>
        <w:rPr>
          <w:color w:val="000000" w:themeColor="text1"/>
        </w:rPr>
      </w:pPr>
      <w:r w:rsidRPr="00163BF5">
        <w:rPr>
          <w:color w:val="000000" w:themeColor="text1"/>
        </w:rPr>
        <w:t>Asociación de Familiares y Amigos de Personas Desaparecidas en Ecuador. (2018). Informe sobre las inconsistencias de las cifras oficiales de las personas desaparecidas en Ecuador. Período (2013-2017). Quito. Recuperado de https://drive.google.com/file/d/1BCbWjSjsoyM9OCTSimlDlSu_GhE22K0c/view</w:t>
      </w:r>
    </w:p>
    <w:p w14:paraId="1E9E0E05" w14:textId="77777777" w:rsidR="00A70A30" w:rsidRPr="00163BF5" w:rsidRDefault="00A70A30" w:rsidP="00656CF6">
      <w:pPr>
        <w:spacing w:line="360" w:lineRule="auto"/>
        <w:ind w:left="851" w:hanging="851"/>
        <w:jc w:val="both"/>
        <w:rPr>
          <w:color w:val="000000" w:themeColor="text1"/>
          <w:lang w:val="es-ES"/>
        </w:rPr>
      </w:pPr>
      <w:r w:rsidRPr="00163BF5">
        <w:rPr>
          <w:color w:val="000000" w:themeColor="text1"/>
          <w:lang w:val="es-ES"/>
        </w:rPr>
        <w:t xml:space="preserve">Bustillo, R. (2013). </w:t>
      </w:r>
      <w:r w:rsidRPr="00163BF5">
        <w:rPr>
          <w:i/>
          <w:iCs/>
          <w:color w:val="000000" w:themeColor="text1"/>
          <w:lang w:val="es-ES"/>
        </w:rPr>
        <w:t>Líneas Jurisprudenciales, El control de convencionalidad: La idea del bloque de constitucionalidad y su relación con el control de constitucionalidad en materia electoral.</w:t>
      </w:r>
      <w:r w:rsidRPr="00163BF5">
        <w:rPr>
          <w:color w:val="000000" w:themeColor="text1"/>
          <w:lang w:val="es-ES"/>
        </w:rPr>
        <w:t xml:space="preserve"> Recuperado de </w:t>
      </w:r>
      <w:hyperlink r:id="rId17" w:history="1">
        <w:r w:rsidRPr="00163BF5">
          <w:rPr>
            <w:rStyle w:val="Hipervnculo"/>
            <w:rFonts w:eastAsia="Calibri"/>
            <w:color w:val="000000" w:themeColor="text1"/>
            <w:u w:val="none"/>
            <w:lang w:val="es-ES"/>
          </w:rPr>
          <w:t>https://www.te.gob.mx/ccje/Archivos/Control_de_Convencionalidad.pdf</w:t>
        </w:r>
      </w:hyperlink>
    </w:p>
    <w:p w14:paraId="308C8A7E" w14:textId="77777777" w:rsidR="00A70A30" w:rsidRPr="00163BF5" w:rsidRDefault="00A70A30" w:rsidP="00656CF6">
      <w:pPr>
        <w:spacing w:line="360" w:lineRule="auto"/>
        <w:ind w:left="851" w:hanging="851"/>
        <w:jc w:val="both"/>
        <w:rPr>
          <w:color w:val="000000" w:themeColor="text1"/>
        </w:rPr>
      </w:pPr>
      <w:r w:rsidRPr="00163BF5">
        <w:rPr>
          <w:color w:val="000000" w:themeColor="text1"/>
        </w:rPr>
        <w:t xml:space="preserve">Centro por la Justicia y el Derecho Internacional (CEJIL). (2010). </w:t>
      </w:r>
      <w:r w:rsidRPr="00163BF5">
        <w:rPr>
          <w:i/>
          <w:iCs/>
          <w:color w:val="000000" w:themeColor="text1"/>
        </w:rPr>
        <w:t>Debida Diligencia en la Investigación de Graves Violaciones a Derechos Humanos</w:t>
      </w:r>
      <w:r w:rsidRPr="00163BF5">
        <w:rPr>
          <w:color w:val="000000" w:themeColor="text1"/>
        </w:rPr>
        <w:t>. Recuperado de https://www.corteidh.or.cr/tablas/r25129.pdf</w:t>
      </w:r>
    </w:p>
    <w:p w14:paraId="1AA9D1DA" w14:textId="77777777" w:rsidR="00A70A30" w:rsidRPr="00163BF5" w:rsidRDefault="00A70A30" w:rsidP="00656CF6">
      <w:pPr>
        <w:spacing w:line="360" w:lineRule="auto"/>
        <w:ind w:left="851" w:hanging="851"/>
        <w:jc w:val="both"/>
        <w:rPr>
          <w:color w:val="000000" w:themeColor="text1"/>
          <w:lang w:val="es-ES"/>
        </w:rPr>
      </w:pPr>
      <w:r w:rsidRPr="00163BF5">
        <w:rPr>
          <w:color w:val="000000" w:themeColor="text1"/>
          <w:lang w:val="es-ES"/>
        </w:rPr>
        <w:t xml:space="preserve">Cervantes, M. (2015). La participación social en familias víctimas de desaparición involuntaria. </w:t>
      </w:r>
      <w:r w:rsidRPr="00163BF5">
        <w:rPr>
          <w:i/>
          <w:iCs/>
          <w:color w:val="000000" w:themeColor="text1"/>
          <w:lang w:val="es-ES"/>
        </w:rPr>
        <w:t>Revista Iberoamericana de las Ciencias Sociales y Humanísticas</w:t>
      </w:r>
      <w:r w:rsidRPr="00163BF5">
        <w:rPr>
          <w:color w:val="000000" w:themeColor="text1"/>
          <w:lang w:val="es-ES"/>
        </w:rPr>
        <w:t>. 4(8). Recuperado de http://eprints.uanl.mx/13299/1/La%20participaci%C3%B3n%20social%20en%20familias%20v%C3%ADctimas%20de%20desaparici%C3%B3n%20involuntaria.pdf</w:t>
      </w:r>
    </w:p>
    <w:p w14:paraId="7FE45602" w14:textId="77777777" w:rsidR="00A70A30" w:rsidRPr="00163BF5" w:rsidRDefault="00A70A30" w:rsidP="00656CF6">
      <w:pPr>
        <w:spacing w:line="360" w:lineRule="auto"/>
        <w:ind w:left="851" w:hanging="851"/>
        <w:jc w:val="both"/>
        <w:rPr>
          <w:color w:val="000000" w:themeColor="text1"/>
        </w:rPr>
      </w:pPr>
      <w:r w:rsidRPr="00163BF5">
        <w:rPr>
          <w:color w:val="000000" w:themeColor="text1"/>
        </w:rPr>
        <w:t xml:space="preserve">Comisión de la Verdad. (2010). Informe de la Comisión de la Verdad 2010 N.-232297. </w:t>
      </w:r>
    </w:p>
    <w:p w14:paraId="75C4854E" w14:textId="77777777" w:rsidR="00A70A30" w:rsidRPr="00163BF5" w:rsidRDefault="00A70A30" w:rsidP="00656CF6">
      <w:pPr>
        <w:spacing w:line="360" w:lineRule="auto"/>
        <w:ind w:left="851" w:hanging="851"/>
        <w:jc w:val="both"/>
        <w:rPr>
          <w:color w:val="000000" w:themeColor="text1"/>
        </w:rPr>
      </w:pPr>
      <w:r w:rsidRPr="00163BF5">
        <w:rPr>
          <w:color w:val="000000" w:themeColor="text1"/>
        </w:rPr>
        <w:t>Comité Internacional de la Cruz Roja. (2003). Informe: Las personas desaparecidas y sus familiares. Observaciones y recomendaciones. Recuperado de https://www.icrc.org/es/doc/assets/files/other/icrcreport_themissing_esp_final.pdf</w:t>
      </w:r>
    </w:p>
    <w:p w14:paraId="669DA794" w14:textId="77777777" w:rsidR="005C5F52" w:rsidRPr="00163BF5" w:rsidRDefault="005C5F52" w:rsidP="00656CF6">
      <w:pPr>
        <w:spacing w:line="360" w:lineRule="auto"/>
        <w:ind w:left="851" w:hanging="851"/>
        <w:jc w:val="both"/>
        <w:rPr>
          <w:color w:val="000000" w:themeColor="text1"/>
          <w:lang w:val="es-ES"/>
        </w:rPr>
      </w:pPr>
      <w:r w:rsidRPr="00163BF5">
        <w:rPr>
          <w:color w:val="000000" w:themeColor="text1"/>
          <w:lang w:val="es-ES"/>
        </w:rPr>
        <w:t xml:space="preserve">Comité Internacional de la Cruz Roja. (2009). </w:t>
      </w:r>
      <w:r w:rsidRPr="00163BF5">
        <w:rPr>
          <w:i/>
          <w:iCs/>
          <w:color w:val="000000" w:themeColor="text1"/>
          <w:lang w:val="es-ES"/>
        </w:rPr>
        <w:t>Guía para Parlamentarios, Las personas desaparecidas.</w:t>
      </w:r>
      <w:r w:rsidRPr="00163BF5">
        <w:rPr>
          <w:color w:val="000000" w:themeColor="text1"/>
          <w:lang w:val="es-ES"/>
        </w:rPr>
        <w:t xml:space="preserve"> Recuperado de </w:t>
      </w:r>
      <w:hyperlink r:id="rId18" w:history="1">
        <w:r w:rsidRPr="00163BF5">
          <w:rPr>
            <w:rStyle w:val="Hipervnculo"/>
            <w:color w:val="000000" w:themeColor="text1"/>
            <w:u w:val="none"/>
            <w:lang w:val="es-ES"/>
          </w:rPr>
          <w:t>https://www.acnur.org/fileadmin/Documentos/Publicaciones/2012/8441.pdf</w:t>
        </w:r>
      </w:hyperlink>
    </w:p>
    <w:p w14:paraId="4932CA6E" w14:textId="77777777" w:rsidR="005C5F52" w:rsidRPr="00163BF5" w:rsidRDefault="005C5F52" w:rsidP="00656CF6">
      <w:pPr>
        <w:spacing w:line="360" w:lineRule="auto"/>
        <w:ind w:left="851" w:hanging="851"/>
        <w:jc w:val="both"/>
        <w:rPr>
          <w:color w:val="000000" w:themeColor="text1"/>
          <w:lang w:val="es-ES"/>
        </w:rPr>
      </w:pPr>
      <w:r w:rsidRPr="00163BF5">
        <w:rPr>
          <w:color w:val="000000" w:themeColor="text1"/>
          <w:lang w:val="es-ES"/>
        </w:rPr>
        <w:t xml:space="preserve">Corte Interamericana de Derechos Humanos. (2020). </w:t>
      </w:r>
      <w:r w:rsidRPr="00163BF5">
        <w:rPr>
          <w:i/>
          <w:iCs/>
          <w:color w:val="000000" w:themeColor="text1"/>
          <w:lang w:val="es-ES"/>
        </w:rPr>
        <w:t>Corte Interamericana de Derechos Humanos. El cómo, cuándo, dónde y por qué de la Corte Interamericana de Derechos Humanos</w:t>
      </w:r>
      <w:r w:rsidRPr="00163BF5">
        <w:rPr>
          <w:color w:val="000000" w:themeColor="text1"/>
          <w:lang w:val="es-ES"/>
        </w:rPr>
        <w:t>. Recuperado de https://www.corteidh.or.cr/sitios/libros/todos/docs/ABC_CorteIDH_2020.pdf</w:t>
      </w:r>
    </w:p>
    <w:p w14:paraId="66A85204" w14:textId="77777777" w:rsidR="00A70A30" w:rsidRPr="00163BF5" w:rsidRDefault="00A70A30" w:rsidP="00656CF6">
      <w:pPr>
        <w:spacing w:line="360" w:lineRule="auto"/>
        <w:ind w:left="851" w:hanging="851"/>
        <w:jc w:val="both"/>
        <w:rPr>
          <w:color w:val="000000" w:themeColor="text1"/>
          <w:lang w:val="es-ES"/>
        </w:rPr>
      </w:pPr>
      <w:r w:rsidRPr="00163BF5">
        <w:rPr>
          <w:color w:val="000000" w:themeColor="text1"/>
          <w:lang w:val="es-ES"/>
        </w:rPr>
        <w:t xml:space="preserve">Defensoría del Pueblo del Ecuador. (2015). Informe temático sobre las personas desaparecidas en el Ecuador: Análisis de respuestas estatales, estadísticas, acceso a la justicia y contexto socio cultural de la problemática 2013-2014. Recuperado de: </w:t>
      </w:r>
      <w:r w:rsidRPr="00163BF5">
        <w:rPr>
          <w:color w:val="000000" w:themeColor="text1"/>
        </w:rPr>
        <w:t>http://repositorio.dpe.gob.ec/handle/39000/601</w:t>
      </w:r>
    </w:p>
    <w:p w14:paraId="625F42E9" w14:textId="63C23FAF" w:rsidR="00A70A30" w:rsidRPr="00163BF5" w:rsidRDefault="00A70A30" w:rsidP="00656CF6">
      <w:pPr>
        <w:spacing w:line="360" w:lineRule="auto"/>
        <w:ind w:left="851" w:hanging="851"/>
        <w:jc w:val="both"/>
        <w:rPr>
          <w:color w:val="000000" w:themeColor="text1"/>
        </w:rPr>
      </w:pPr>
      <w:r w:rsidRPr="00163BF5">
        <w:rPr>
          <w:color w:val="000000" w:themeColor="text1"/>
        </w:rPr>
        <w:t xml:space="preserve">El Telégrafo. (01 de noviembre de 2011). SIC 10 sería la unidad que desapareció a los hermanos restrepo. </w:t>
      </w:r>
      <w:r w:rsidRPr="00163BF5">
        <w:rPr>
          <w:i/>
          <w:iCs/>
          <w:color w:val="000000" w:themeColor="text1"/>
        </w:rPr>
        <w:t>El Telégrafo</w:t>
      </w:r>
      <w:r w:rsidRPr="00163BF5">
        <w:rPr>
          <w:color w:val="000000" w:themeColor="text1"/>
        </w:rPr>
        <w:t xml:space="preserve">. Recuperado de </w:t>
      </w:r>
      <w:hyperlink r:id="rId19" w:history="1">
        <w:r w:rsidR="008D4171" w:rsidRPr="00163BF5">
          <w:rPr>
            <w:rStyle w:val="Hipervnculo"/>
            <w:color w:val="000000" w:themeColor="text1"/>
            <w:u w:val="none"/>
          </w:rPr>
          <w:t>https://bit.ly/2qBeANO</w:t>
        </w:r>
      </w:hyperlink>
    </w:p>
    <w:p w14:paraId="0016650D" w14:textId="6E680B94" w:rsidR="008D4171" w:rsidRPr="00163BF5" w:rsidRDefault="008D4171" w:rsidP="00656CF6">
      <w:pPr>
        <w:spacing w:line="360" w:lineRule="auto"/>
        <w:ind w:left="709" w:hanging="709"/>
        <w:jc w:val="both"/>
        <w:rPr>
          <w:color w:val="000000" w:themeColor="text1"/>
        </w:rPr>
      </w:pPr>
      <w:r w:rsidRPr="00163BF5">
        <w:rPr>
          <w:color w:val="000000" w:themeColor="text1"/>
        </w:rPr>
        <w:t xml:space="preserve">Fiscalía General del Estado Ecuador. (2018). Solicitud de Información: Oficio No. FGE-GPC-2018-002205-0, Quito, Ecuador. </w:t>
      </w:r>
    </w:p>
    <w:p w14:paraId="7B96CE37" w14:textId="77777777" w:rsidR="00A70A30" w:rsidRPr="00163BF5" w:rsidRDefault="00A70A30" w:rsidP="00656CF6">
      <w:pPr>
        <w:spacing w:line="360" w:lineRule="auto"/>
        <w:ind w:left="851" w:hanging="851"/>
        <w:jc w:val="both"/>
        <w:rPr>
          <w:color w:val="000000" w:themeColor="text1"/>
        </w:rPr>
      </w:pPr>
      <w:r w:rsidRPr="00163BF5">
        <w:rPr>
          <w:color w:val="000000" w:themeColor="text1"/>
        </w:rPr>
        <w:t xml:space="preserve">Fundación Regional de Asesoría en Derechos Humanos (INREDH). (2018). </w:t>
      </w:r>
      <w:r w:rsidRPr="00163BF5">
        <w:rPr>
          <w:i/>
          <w:iCs/>
          <w:color w:val="000000" w:themeColor="text1"/>
        </w:rPr>
        <w:t>Una Luz en el Olvido</w:t>
      </w:r>
      <w:r w:rsidRPr="00163BF5">
        <w:rPr>
          <w:color w:val="000000" w:themeColor="text1"/>
        </w:rPr>
        <w:t xml:space="preserve">. </w:t>
      </w:r>
      <w:proofErr w:type="spellStart"/>
      <w:r w:rsidRPr="00163BF5">
        <w:rPr>
          <w:color w:val="000000" w:themeColor="text1"/>
        </w:rPr>
        <w:t>QuitO</w:t>
      </w:r>
      <w:proofErr w:type="spellEnd"/>
      <w:r w:rsidRPr="00163BF5">
        <w:rPr>
          <w:color w:val="000000" w:themeColor="text1"/>
        </w:rPr>
        <w:t>, Ecuador: INREDH</w:t>
      </w:r>
    </w:p>
    <w:p w14:paraId="6372118F" w14:textId="77777777" w:rsidR="00A70A30" w:rsidRPr="00163BF5" w:rsidRDefault="00A70A30" w:rsidP="00656CF6">
      <w:pPr>
        <w:spacing w:line="360" w:lineRule="auto"/>
        <w:ind w:left="851" w:hanging="851"/>
        <w:jc w:val="both"/>
        <w:rPr>
          <w:color w:val="000000" w:themeColor="text1"/>
          <w:lang w:val="es-ES"/>
        </w:rPr>
      </w:pPr>
      <w:r w:rsidRPr="00163BF5">
        <w:rPr>
          <w:color w:val="000000" w:themeColor="text1"/>
          <w:lang w:val="es-ES"/>
        </w:rPr>
        <w:t xml:space="preserve">Garay, A. (2009). Las enseñanzas del caso "Marbury vs. Madison". </w:t>
      </w:r>
      <w:r w:rsidRPr="00163BF5">
        <w:rPr>
          <w:i/>
          <w:iCs/>
          <w:color w:val="000000" w:themeColor="text1"/>
          <w:lang w:val="es-ES"/>
        </w:rPr>
        <w:t xml:space="preserve">Revista sobre enseñanza del Derecho, </w:t>
      </w:r>
      <w:r w:rsidRPr="00163BF5">
        <w:rPr>
          <w:color w:val="000000" w:themeColor="text1"/>
          <w:lang w:val="es-ES"/>
        </w:rPr>
        <w:t>9(7), (pp. 121-136). Recuperado de http://www.derecho.uba.ar/publicaciones/rev_academia/revistas/13/la-ensenanza-del-caso-murbury-vs-madison.pdf</w:t>
      </w:r>
    </w:p>
    <w:p w14:paraId="2A188546" w14:textId="77777777" w:rsidR="00A70A30" w:rsidRPr="00163BF5" w:rsidRDefault="00A70A30" w:rsidP="00656CF6">
      <w:pPr>
        <w:spacing w:line="360" w:lineRule="auto"/>
        <w:ind w:left="851" w:hanging="851"/>
        <w:jc w:val="both"/>
        <w:rPr>
          <w:color w:val="000000" w:themeColor="text1"/>
          <w:lang w:val="es-ES"/>
        </w:rPr>
      </w:pPr>
      <w:r w:rsidRPr="00163BF5">
        <w:rPr>
          <w:color w:val="000000" w:themeColor="text1"/>
          <w:lang w:val="es-ES"/>
        </w:rPr>
        <w:t xml:space="preserve">González, P. (2017). La doctrina del control de convencionalidad a la luz del. </w:t>
      </w:r>
      <w:r w:rsidRPr="00163BF5">
        <w:rPr>
          <w:i/>
          <w:iCs/>
          <w:color w:val="000000" w:themeColor="text1"/>
          <w:lang w:val="es-ES"/>
        </w:rPr>
        <w:t>Estudios Constitucionales</w:t>
      </w:r>
      <w:r w:rsidRPr="00163BF5">
        <w:rPr>
          <w:color w:val="000000" w:themeColor="text1"/>
          <w:lang w:val="es-ES"/>
        </w:rPr>
        <w:t>, 15(1), (pp. 55-98.). Recuperado de https://scielo.conicyt.cl/pdf/estconst/v15n1/art03.pdf</w:t>
      </w:r>
    </w:p>
    <w:p w14:paraId="09BD9E9B" w14:textId="77777777" w:rsidR="00A70A30" w:rsidRPr="00163BF5" w:rsidRDefault="00A70A30" w:rsidP="00656CF6">
      <w:pPr>
        <w:spacing w:line="360" w:lineRule="auto"/>
        <w:ind w:left="851" w:hanging="851"/>
        <w:jc w:val="both"/>
        <w:rPr>
          <w:color w:val="000000" w:themeColor="text1"/>
          <w:lang w:val="es-ES"/>
        </w:rPr>
      </w:pPr>
      <w:r w:rsidRPr="00163BF5">
        <w:rPr>
          <w:color w:val="000000" w:themeColor="text1"/>
          <w:lang w:val="es-ES"/>
        </w:rPr>
        <w:t xml:space="preserve">Gutiérrez, L. (2016). Control de constitucionalidad y control de convencionalidad: interacción, confusión y autonomía. Reflexiones desde la experiencia francesa. </w:t>
      </w:r>
      <w:r w:rsidRPr="00163BF5">
        <w:rPr>
          <w:i/>
          <w:iCs/>
          <w:color w:val="000000" w:themeColor="text1"/>
          <w:lang w:val="es-ES"/>
        </w:rPr>
        <w:t>Revista IIDH</w:t>
      </w:r>
      <w:r w:rsidRPr="00163BF5">
        <w:rPr>
          <w:color w:val="000000" w:themeColor="text1"/>
          <w:lang w:val="es-ES"/>
        </w:rPr>
        <w:t xml:space="preserve">, 64(1), (pp. 239-264). Recuperado de  </w:t>
      </w:r>
      <w:hyperlink r:id="rId20" w:history="1">
        <w:r w:rsidRPr="00163BF5">
          <w:rPr>
            <w:rStyle w:val="Hipervnculo"/>
            <w:rFonts w:eastAsia="Calibri"/>
            <w:color w:val="000000" w:themeColor="text1"/>
            <w:u w:val="none"/>
            <w:lang w:val="es-ES"/>
          </w:rPr>
          <w:t>https://www.corteidh.or.cr/tablas/r36283.pdf</w:t>
        </w:r>
      </w:hyperlink>
    </w:p>
    <w:p w14:paraId="4A7A616C" w14:textId="77777777" w:rsidR="00A70A30" w:rsidRPr="00163BF5" w:rsidRDefault="00A70A30" w:rsidP="00656CF6">
      <w:pPr>
        <w:spacing w:line="360" w:lineRule="auto"/>
        <w:ind w:left="851" w:hanging="851"/>
        <w:jc w:val="both"/>
        <w:rPr>
          <w:color w:val="000000" w:themeColor="text1"/>
          <w:lang w:val="es-ES"/>
        </w:rPr>
      </w:pPr>
      <w:r w:rsidRPr="00163BF5">
        <w:rPr>
          <w:color w:val="000000" w:themeColor="text1"/>
          <w:lang w:val="es-ES"/>
        </w:rPr>
        <w:t xml:space="preserve">Highton, E. (2010). </w:t>
      </w:r>
      <w:r w:rsidRPr="00163BF5">
        <w:rPr>
          <w:i/>
          <w:iCs/>
          <w:color w:val="000000" w:themeColor="text1"/>
          <w:lang w:val="es-ES"/>
        </w:rPr>
        <w:t>Sistemas concentrado y difuso de control de constitucionalidad. La justicia constitucional y la internalización</w:t>
      </w:r>
      <w:r w:rsidRPr="00163BF5">
        <w:rPr>
          <w:color w:val="000000" w:themeColor="text1"/>
          <w:lang w:val="es-ES"/>
        </w:rPr>
        <w:t>. México DF, México: UNAM</w:t>
      </w:r>
    </w:p>
    <w:p w14:paraId="53F84027" w14:textId="1EA8C2F4" w:rsidR="00A70A30" w:rsidRPr="00163BF5" w:rsidRDefault="00A70A30" w:rsidP="00656CF6">
      <w:pPr>
        <w:spacing w:line="360" w:lineRule="auto"/>
        <w:ind w:left="851" w:hanging="851"/>
        <w:jc w:val="both"/>
        <w:rPr>
          <w:color w:val="000000" w:themeColor="text1"/>
          <w:lang w:val="es-ES"/>
        </w:rPr>
      </w:pPr>
      <w:r w:rsidRPr="00163BF5">
        <w:rPr>
          <w:color w:val="000000" w:themeColor="text1"/>
          <w:lang w:val="es-ES"/>
        </w:rPr>
        <w:t xml:space="preserve">Kelsen, H. (1995). </w:t>
      </w:r>
      <w:r w:rsidRPr="00163BF5">
        <w:rPr>
          <w:i/>
          <w:iCs/>
          <w:color w:val="000000" w:themeColor="text1"/>
          <w:lang w:val="es-ES"/>
        </w:rPr>
        <w:t>¿Quién debe ser del defensor de la Constitución?</w:t>
      </w:r>
      <w:r w:rsidRPr="00163BF5">
        <w:rPr>
          <w:color w:val="000000" w:themeColor="text1"/>
          <w:lang w:val="es-ES"/>
        </w:rPr>
        <w:t xml:space="preserve"> Madrid, España: Tecnos.</w:t>
      </w:r>
    </w:p>
    <w:p w14:paraId="4B4BD771" w14:textId="125BE868" w:rsidR="00FE0B38" w:rsidRPr="00163BF5" w:rsidRDefault="00FE0B38" w:rsidP="00656CF6">
      <w:pPr>
        <w:spacing w:line="360" w:lineRule="auto"/>
        <w:ind w:left="851" w:hanging="851"/>
        <w:jc w:val="both"/>
        <w:rPr>
          <w:color w:val="000000" w:themeColor="text1"/>
          <w:lang w:val="es-ES"/>
        </w:rPr>
      </w:pPr>
      <w:proofErr w:type="spellStart"/>
      <w:r w:rsidRPr="00163BF5">
        <w:rPr>
          <w:color w:val="000000" w:themeColor="text1"/>
          <w:lang w:val="es-ES"/>
        </w:rPr>
        <w:t>Lludgar</w:t>
      </w:r>
      <w:proofErr w:type="spellEnd"/>
      <w:r w:rsidRPr="00163BF5">
        <w:rPr>
          <w:color w:val="000000" w:themeColor="text1"/>
          <w:lang w:val="es-ES"/>
        </w:rPr>
        <w:t xml:space="preserve">, E. (2016). </w:t>
      </w:r>
      <w:r w:rsidRPr="00163BF5">
        <w:rPr>
          <w:i/>
          <w:iCs/>
          <w:color w:val="000000" w:themeColor="text1"/>
          <w:lang w:val="es-ES"/>
        </w:rPr>
        <w:t xml:space="preserve">La Doctrina de la Corte Interamericana de DDHH, y las Resoluciones de la Comisión Interamericana de DDHH, como fuentes y formas de protección de los Derechos Fundamentales. </w:t>
      </w:r>
      <w:r w:rsidRPr="00163BF5">
        <w:rPr>
          <w:color w:val="000000" w:themeColor="text1"/>
          <w:lang w:val="es-ES"/>
        </w:rPr>
        <w:t>Recuperado de https://www.corteidh.or.cr/tablas/r35244.pdf</w:t>
      </w:r>
    </w:p>
    <w:p w14:paraId="7E0E22C9" w14:textId="683B1686" w:rsidR="008D4171" w:rsidRPr="00163BF5" w:rsidRDefault="00A70A30" w:rsidP="00656CF6">
      <w:pPr>
        <w:pStyle w:val="Bibliografa"/>
        <w:spacing w:line="360" w:lineRule="auto"/>
        <w:ind w:left="720" w:hanging="720"/>
        <w:rPr>
          <w:rFonts w:ascii="Times New Roman" w:hAnsi="Times New Roman" w:cs="Times New Roman"/>
          <w:noProof/>
          <w:color w:val="000000" w:themeColor="text1"/>
          <w:sz w:val="24"/>
          <w:szCs w:val="24"/>
          <w:lang w:val="es-ES"/>
        </w:rPr>
      </w:pPr>
      <w:r w:rsidRPr="00163BF5">
        <w:rPr>
          <w:rFonts w:ascii="Times New Roman" w:hAnsi="Times New Roman" w:cs="Times New Roman"/>
          <w:noProof/>
          <w:color w:val="000000" w:themeColor="text1"/>
          <w:sz w:val="24"/>
          <w:szCs w:val="24"/>
          <w:lang w:val="es-ES"/>
        </w:rPr>
        <w:t xml:space="preserve">Ministerio de Gobierno del Ecuador. (2019). </w:t>
      </w:r>
      <w:r w:rsidRPr="00163BF5">
        <w:rPr>
          <w:rFonts w:ascii="Times New Roman" w:hAnsi="Times New Roman" w:cs="Times New Roman"/>
          <w:i/>
          <w:iCs/>
          <w:noProof/>
          <w:color w:val="000000" w:themeColor="text1"/>
          <w:sz w:val="24"/>
          <w:szCs w:val="24"/>
          <w:lang w:val="es-ES"/>
        </w:rPr>
        <w:t>Estadísticas Históricas.</w:t>
      </w:r>
      <w:r w:rsidRPr="00163BF5">
        <w:rPr>
          <w:rFonts w:ascii="Times New Roman" w:hAnsi="Times New Roman" w:cs="Times New Roman"/>
          <w:noProof/>
          <w:color w:val="000000" w:themeColor="text1"/>
          <w:sz w:val="24"/>
          <w:szCs w:val="24"/>
          <w:lang w:val="es-ES"/>
        </w:rPr>
        <w:t xml:space="preserve"> </w:t>
      </w:r>
      <w:r w:rsidR="00FE0B38" w:rsidRPr="00163BF5">
        <w:rPr>
          <w:rFonts w:ascii="Times New Roman" w:hAnsi="Times New Roman" w:cs="Times New Roman"/>
          <w:noProof/>
          <w:color w:val="000000" w:themeColor="text1"/>
          <w:sz w:val="24"/>
          <w:szCs w:val="24"/>
          <w:lang w:val="es-ES"/>
        </w:rPr>
        <w:t xml:space="preserve">Recuperado </w:t>
      </w:r>
      <w:r w:rsidRPr="00163BF5">
        <w:rPr>
          <w:rFonts w:ascii="Times New Roman" w:hAnsi="Times New Roman" w:cs="Times New Roman"/>
          <w:noProof/>
          <w:color w:val="000000" w:themeColor="text1"/>
          <w:sz w:val="24"/>
          <w:szCs w:val="24"/>
          <w:lang w:val="es-ES"/>
        </w:rPr>
        <w:t>de https://asfadec.org/wp-content/uploads/2020/07/estadisticas_junio_2019.pdf</w:t>
      </w:r>
    </w:p>
    <w:p w14:paraId="53BB31EC" w14:textId="3F5E9F37" w:rsidR="008D4171" w:rsidRPr="00163BF5" w:rsidRDefault="008D4171" w:rsidP="00656CF6">
      <w:pPr>
        <w:spacing w:line="360" w:lineRule="auto"/>
        <w:ind w:left="709" w:hanging="709"/>
        <w:jc w:val="both"/>
        <w:rPr>
          <w:color w:val="000000" w:themeColor="text1"/>
          <w:lang w:val="es-ES" w:eastAsia="es-ES_tradnl"/>
        </w:rPr>
      </w:pPr>
      <w:r w:rsidRPr="00163BF5">
        <w:rPr>
          <w:color w:val="000000" w:themeColor="text1"/>
          <w:lang w:val="es-ES" w:eastAsia="es-ES_tradnl"/>
        </w:rPr>
        <w:t xml:space="preserve">Ministerio de Gobierno del Ecuador. (2020). </w:t>
      </w:r>
      <w:r w:rsidRPr="00163BF5">
        <w:rPr>
          <w:i/>
          <w:iCs/>
          <w:color w:val="000000" w:themeColor="text1"/>
          <w:lang w:val="es-ES" w:eastAsia="es-ES_tradnl"/>
        </w:rPr>
        <w:t xml:space="preserve">Estadísticas Generales. </w:t>
      </w:r>
      <w:r w:rsidR="00FE0B38" w:rsidRPr="00163BF5">
        <w:rPr>
          <w:color w:val="000000" w:themeColor="text1"/>
          <w:lang w:val="es-ES" w:eastAsia="es-ES_tradnl"/>
        </w:rPr>
        <w:t xml:space="preserve">Recuperado </w:t>
      </w:r>
      <w:r w:rsidRPr="00163BF5">
        <w:rPr>
          <w:color w:val="000000" w:themeColor="text1"/>
          <w:lang w:val="es-ES" w:eastAsia="es-ES_tradnl"/>
        </w:rPr>
        <w:t xml:space="preserve">de </w:t>
      </w:r>
      <w:hyperlink r:id="rId21" w:history="1">
        <w:r w:rsidRPr="00163BF5">
          <w:rPr>
            <w:rStyle w:val="Hipervnculo"/>
            <w:color w:val="000000" w:themeColor="text1"/>
            <w:u w:val="none"/>
            <w:lang w:val="es-ES" w:eastAsia="es-ES_tradnl"/>
          </w:rPr>
          <w:t>https://asfadec.org/wp-content/uploads/2021/02/estadisticas_ene_dic_2020.pdf</w:t>
        </w:r>
      </w:hyperlink>
    </w:p>
    <w:p w14:paraId="3A325773" w14:textId="77777777" w:rsidR="008D4171" w:rsidRPr="00163BF5" w:rsidRDefault="008D4171" w:rsidP="00656CF6">
      <w:pPr>
        <w:spacing w:line="360" w:lineRule="auto"/>
        <w:jc w:val="both"/>
        <w:rPr>
          <w:color w:val="000000" w:themeColor="text1"/>
          <w:lang w:val="es-ES" w:eastAsia="es-ES_tradnl"/>
        </w:rPr>
      </w:pPr>
    </w:p>
    <w:p w14:paraId="2EF1EB6E" w14:textId="77777777" w:rsidR="00A70A30" w:rsidRPr="00163BF5" w:rsidRDefault="00A70A30" w:rsidP="00656CF6">
      <w:pPr>
        <w:pStyle w:val="Bibliografa"/>
        <w:spacing w:line="360" w:lineRule="auto"/>
        <w:ind w:left="720" w:hanging="720"/>
        <w:rPr>
          <w:rFonts w:ascii="Times New Roman" w:hAnsi="Times New Roman" w:cs="Times New Roman"/>
          <w:noProof/>
          <w:color w:val="000000" w:themeColor="text1"/>
          <w:sz w:val="24"/>
          <w:szCs w:val="24"/>
          <w:lang w:val="es-ES"/>
        </w:rPr>
      </w:pPr>
      <w:r w:rsidRPr="00163BF5">
        <w:rPr>
          <w:rFonts w:ascii="Times New Roman" w:hAnsi="Times New Roman" w:cs="Times New Roman"/>
          <w:noProof/>
          <w:color w:val="000000" w:themeColor="text1"/>
          <w:sz w:val="24"/>
          <w:szCs w:val="24"/>
          <w:lang w:val="es-ES"/>
        </w:rPr>
        <w:t xml:space="preserve">Ossorio, M. (2004). </w:t>
      </w:r>
      <w:r w:rsidRPr="00163BF5">
        <w:rPr>
          <w:rFonts w:ascii="Times New Roman" w:hAnsi="Times New Roman" w:cs="Times New Roman"/>
          <w:i/>
          <w:iCs/>
          <w:noProof/>
          <w:color w:val="000000" w:themeColor="text1"/>
          <w:sz w:val="24"/>
          <w:szCs w:val="24"/>
          <w:lang w:val="es-ES"/>
        </w:rPr>
        <w:t>Diccionario de ciencias jurídicas, políticas y sociales.</w:t>
      </w:r>
      <w:r w:rsidRPr="00163BF5">
        <w:rPr>
          <w:rFonts w:ascii="Times New Roman" w:hAnsi="Times New Roman" w:cs="Times New Roman"/>
          <w:noProof/>
          <w:color w:val="000000" w:themeColor="text1"/>
          <w:sz w:val="24"/>
          <w:szCs w:val="24"/>
          <w:lang w:val="es-ES"/>
        </w:rPr>
        <w:t xml:space="preserve"> Argentina: Heliasta.</w:t>
      </w:r>
    </w:p>
    <w:p w14:paraId="11E1B21B" w14:textId="77777777" w:rsidR="00A70A30" w:rsidRPr="00163BF5" w:rsidRDefault="00A70A30" w:rsidP="00656CF6">
      <w:pPr>
        <w:spacing w:line="360" w:lineRule="auto"/>
        <w:ind w:left="851" w:hanging="851"/>
        <w:jc w:val="both"/>
        <w:rPr>
          <w:color w:val="000000" w:themeColor="text1"/>
          <w:lang w:val="es-ES"/>
        </w:rPr>
      </w:pPr>
      <w:proofErr w:type="spellStart"/>
      <w:r w:rsidRPr="00163BF5">
        <w:rPr>
          <w:color w:val="000000" w:themeColor="text1"/>
          <w:lang w:val="es-ES"/>
        </w:rPr>
        <w:t>Oyarte</w:t>
      </w:r>
      <w:proofErr w:type="spellEnd"/>
      <w:r w:rsidRPr="00163BF5">
        <w:rPr>
          <w:color w:val="000000" w:themeColor="text1"/>
          <w:lang w:val="es-ES"/>
        </w:rPr>
        <w:t xml:space="preserve">, R. (2016). </w:t>
      </w:r>
      <w:r w:rsidRPr="00163BF5">
        <w:rPr>
          <w:i/>
          <w:iCs/>
          <w:color w:val="000000" w:themeColor="text1"/>
          <w:lang w:val="es-ES"/>
        </w:rPr>
        <w:t>Derecho Constitucional.</w:t>
      </w:r>
      <w:r w:rsidRPr="00163BF5">
        <w:rPr>
          <w:color w:val="000000" w:themeColor="text1"/>
          <w:lang w:val="es-ES"/>
        </w:rPr>
        <w:t xml:space="preserve"> Quito, Ecuador: Corporación de Estudios y Publicaciones.</w:t>
      </w:r>
    </w:p>
    <w:p w14:paraId="1A7A72CE" w14:textId="54F9BF15" w:rsidR="00A70A30" w:rsidRPr="00163BF5" w:rsidRDefault="00A70A30" w:rsidP="00656CF6">
      <w:pPr>
        <w:spacing w:line="360" w:lineRule="auto"/>
        <w:ind w:left="851" w:hanging="851"/>
        <w:jc w:val="both"/>
        <w:rPr>
          <w:color w:val="000000" w:themeColor="text1"/>
          <w:lang w:val="es-ES"/>
        </w:rPr>
      </w:pPr>
      <w:r w:rsidRPr="00163BF5">
        <w:rPr>
          <w:color w:val="000000" w:themeColor="text1"/>
          <w:lang w:val="es-ES"/>
        </w:rPr>
        <w:t xml:space="preserve">Peñafiel, P. (2018). Apuntes sobre el control de constitucionalidad en Ecuador: referencia a su regulación actual. </w:t>
      </w:r>
      <w:r w:rsidRPr="00163BF5">
        <w:rPr>
          <w:i/>
          <w:iCs/>
          <w:color w:val="000000" w:themeColor="text1"/>
          <w:lang w:val="es-ES"/>
        </w:rPr>
        <w:t xml:space="preserve">Revista de la Facultad de Cultura Física de la Universidad de Granma. </w:t>
      </w:r>
      <w:r w:rsidRPr="00163BF5">
        <w:rPr>
          <w:color w:val="000000" w:themeColor="text1"/>
          <w:lang w:val="es-ES"/>
        </w:rPr>
        <w:t xml:space="preserve">15(49), (pp. 192-200). Recuperado de </w:t>
      </w:r>
      <w:hyperlink r:id="rId22" w:history="1">
        <w:r w:rsidR="007D7402" w:rsidRPr="00163BF5">
          <w:rPr>
            <w:rStyle w:val="Hipervnculo"/>
            <w:color w:val="000000" w:themeColor="text1"/>
            <w:u w:val="none"/>
            <w:lang w:val="es-ES"/>
          </w:rPr>
          <w:t>https://dialnet.unirioja.es/servlet/articulo?codigo=6480429</w:t>
        </w:r>
      </w:hyperlink>
    </w:p>
    <w:p w14:paraId="3E97DC40" w14:textId="46958646" w:rsidR="007D7402" w:rsidRPr="00163BF5" w:rsidRDefault="007D7402" w:rsidP="007D7402">
      <w:pPr>
        <w:ind w:left="709" w:hanging="709"/>
        <w:jc w:val="both"/>
        <w:rPr>
          <w:color w:val="000000" w:themeColor="text1"/>
        </w:rPr>
      </w:pPr>
      <w:r w:rsidRPr="00163BF5">
        <w:rPr>
          <w:color w:val="000000" w:themeColor="text1"/>
          <w:lang w:val="es-ES"/>
        </w:rPr>
        <w:t xml:space="preserve">Pinto, M. (1997).  </w:t>
      </w:r>
      <w:r w:rsidRPr="00163BF5">
        <w:rPr>
          <w:i/>
          <w:iCs/>
          <w:color w:val="000000" w:themeColor="text1"/>
          <w:shd w:val="clear" w:color="auto" w:fill="FFFFFF"/>
        </w:rPr>
        <w:t>El principio pro homine. Criterios de hermenéutica y pautas para la regulación de los derechos humanos</w:t>
      </w:r>
      <w:r w:rsidRPr="00163BF5">
        <w:rPr>
          <w:i/>
          <w:iCs/>
          <w:color w:val="000000" w:themeColor="text1"/>
        </w:rPr>
        <w:t>.</w:t>
      </w:r>
      <w:r w:rsidRPr="00163BF5">
        <w:rPr>
          <w:color w:val="000000" w:themeColor="text1"/>
        </w:rPr>
        <w:t xml:space="preserve"> Argentina: C</w:t>
      </w:r>
      <w:r w:rsidRPr="00163BF5">
        <w:rPr>
          <w:color w:val="000000" w:themeColor="text1"/>
          <w:shd w:val="clear" w:color="auto" w:fill="FFFFFF"/>
        </w:rPr>
        <w:t>entro de Estudios Legales y Sociales-Editorial del Puerto</w:t>
      </w:r>
    </w:p>
    <w:p w14:paraId="2A012685" w14:textId="77777777" w:rsidR="007D7402" w:rsidRPr="00163BF5" w:rsidRDefault="007D7402" w:rsidP="007D7402">
      <w:pPr>
        <w:rPr>
          <w:color w:val="000000" w:themeColor="text1"/>
        </w:rPr>
      </w:pPr>
    </w:p>
    <w:p w14:paraId="6692F6C4" w14:textId="030E68A6" w:rsidR="00A70A30" w:rsidRPr="00163BF5" w:rsidRDefault="00A70A30" w:rsidP="00656CF6">
      <w:pPr>
        <w:spacing w:line="360" w:lineRule="auto"/>
        <w:ind w:left="851" w:hanging="709"/>
        <w:jc w:val="both"/>
        <w:rPr>
          <w:color w:val="000000" w:themeColor="text1"/>
          <w:lang w:val="es-ES"/>
        </w:rPr>
      </w:pPr>
      <w:r w:rsidRPr="00163BF5">
        <w:rPr>
          <w:color w:val="000000" w:themeColor="text1"/>
          <w:lang w:val="es-ES"/>
        </w:rPr>
        <w:t xml:space="preserve">Ponce, A. (1988). </w:t>
      </w:r>
      <w:r w:rsidRPr="00163BF5">
        <w:rPr>
          <w:i/>
          <w:iCs/>
          <w:color w:val="000000" w:themeColor="text1"/>
          <w:lang w:val="es-ES"/>
        </w:rPr>
        <w:t>Derecho Procesal: materiales para la cátedra.</w:t>
      </w:r>
      <w:r w:rsidRPr="00163BF5">
        <w:rPr>
          <w:color w:val="000000" w:themeColor="text1"/>
          <w:lang w:val="es-ES"/>
        </w:rPr>
        <w:t xml:space="preserve"> Quito, Ecuador: Ediciones de la P.U. Católica del Ecuador.</w:t>
      </w:r>
    </w:p>
    <w:p w14:paraId="5AD15662" w14:textId="22A2698E" w:rsidR="00BB3FD1" w:rsidRPr="00163BF5" w:rsidRDefault="00BB3FD1" w:rsidP="00656CF6">
      <w:pPr>
        <w:spacing w:line="360" w:lineRule="auto"/>
        <w:ind w:left="851" w:hanging="709"/>
        <w:jc w:val="both"/>
        <w:rPr>
          <w:color w:val="000000" w:themeColor="text1"/>
          <w:lang w:val="es-ES"/>
        </w:rPr>
      </w:pPr>
      <w:r w:rsidRPr="00163BF5">
        <w:rPr>
          <w:color w:val="000000" w:themeColor="text1"/>
          <w:lang w:val="es-ES"/>
        </w:rPr>
        <w:t>Real Academia de la Lengua Española (2020). Diccionario panhispánico de español jurídico.</w:t>
      </w:r>
    </w:p>
    <w:p w14:paraId="70C1284D" w14:textId="13BA71AD" w:rsidR="009A3AAE" w:rsidRPr="00163BF5" w:rsidRDefault="009A3AAE" w:rsidP="00656CF6">
      <w:pPr>
        <w:shd w:val="clear" w:color="auto" w:fill="FFFFFF"/>
        <w:spacing w:line="360" w:lineRule="auto"/>
        <w:ind w:left="709" w:hanging="709"/>
        <w:jc w:val="both"/>
        <w:rPr>
          <w:i/>
          <w:iCs/>
          <w:color w:val="000000" w:themeColor="text1"/>
        </w:rPr>
      </w:pPr>
      <w:r w:rsidRPr="00163BF5">
        <w:rPr>
          <w:color w:val="000000" w:themeColor="text1"/>
        </w:rPr>
        <w:t>Salazar, D., Cobo, A., Cruz, C., Guevara., Mesías, M. (2019). La fuerza vinculante de las Opiniones Consultivas de la Corte Interamericana de Derechos Humanos a la luz del derecho y la justicia constitucional en Ecuador.</w:t>
      </w:r>
      <w:r w:rsidRPr="00163BF5">
        <w:rPr>
          <w:i/>
          <w:iCs/>
          <w:color w:val="000000" w:themeColor="text1"/>
        </w:rPr>
        <w:t xml:space="preserve"> FORO: Revista de Derecho, </w:t>
      </w:r>
      <w:r w:rsidRPr="00163BF5">
        <w:rPr>
          <w:color w:val="000000" w:themeColor="text1"/>
        </w:rPr>
        <w:t>32(1), (pp. 123-143). Recuperado de https://revistas.uasb.edu.ec/index.php/foro/article/view/1264/1163</w:t>
      </w:r>
    </w:p>
    <w:p w14:paraId="2F11A44E" w14:textId="77777777" w:rsidR="00A70A30" w:rsidRPr="00163BF5" w:rsidRDefault="00A70A30" w:rsidP="00656CF6">
      <w:pPr>
        <w:spacing w:line="360" w:lineRule="auto"/>
        <w:ind w:left="851" w:hanging="851"/>
        <w:jc w:val="both"/>
        <w:rPr>
          <w:color w:val="000000" w:themeColor="text1"/>
          <w:lang w:val="es-ES"/>
        </w:rPr>
      </w:pPr>
      <w:proofErr w:type="spellStart"/>
      <w:r w:rsidRPr="00163BF5">
        <w:rPr>
          <w:color w:val="000000" w:themeColor="text1"/>
        </w:rPr>
        <w:t>Schindel</w:t>
      </w:r>
      <w:proofErr w:type="spellEnd"/>
      <w:r w:rsidRPr="00163BF5">
        <w:rPr>
          <w:color w:val="000000" w:themeColor="text1"/>
        </w:rPr>
        <w:t xml:space="preserve">, E. (2012). </w:t>
      </w:r>
      <w:r w:rsidRPr="00163BF5">
        <w:rPr>
          <w:i/>
          <w:iCs/>
          <w:color w:val="000000" w:themeColor="text1"/>
          <w:lang w:val="es-ES"/>
        </w:rPr>
        <w:t>La desaparición a diario, sociedad, prensa y dictadura (1975-1978).</w:t>
      </w:r>
      <w:r w:rsidRPr="00163BF5">
        <w:rPr>
          <w:color w:val="000000" w:themeColor="text1"/>
          <w:lang w:val="es-ES"/>
        </w:rPr>
        <w:t xml:space="preserve"> Córdoba, Argentina: </w:t>
      </w:r>
      <w:proofErr w:type="spellStart"/>
      <w:r w:rsidRPr="00163BF5">
        <w:rPr>
          <w:color w:val="000000" w:themeColor="text1"/>
          <w:lang w:val="es-ES"/>
        </w:rPr>
        <w:t>Eduvim</w:t>
      </w:r>
      <w:proofErr w:type="spellEnd"/>
    </w:p>
    <w:p w14:paraId="52D91BC7" w14:textId="77777777" w:rsidR="00A70A30" w:rsidRPr="00163BF5" w:rsidRDefault="00A70A30" w:rsidP="00656CF6">
      <w:pPr>
        <w:spacing w:line="360" w:lineRule="auto"/>
        <w:ind w:left="851" w:hanging="851"/>
        <w:jc w:val="both"/>
        <w:rPr>
          <w:color w:val="000000" w:themeColor="text1"/>
          <w:lang w:val="es-ES"/>
        </w:rPr>
      </w:pPr>
      <w:r w:rsidRPr="00163BF5">
        <w:rPr>
          <w:color w:val="000000" w:themeColor="text1"/>
          <w:lang w:val="es-ES"/>
        </w:rPr>
        <w:t xml:space="preserve">Schmitt, C. (1988). </w:t>
      </w:r>
      <w:r w:rsidRPr="00163BF5">
        <w:rPr>
          <w:i/>
          <w:iCs/>
          <w:color w:val="000000" w:themeColor="text1"/>
          <w:lang w:val="es-ES"/>
        </w:rPr>
        <w:t>La defensa de la Constitución.</w:t>
      </w:r>
      <w:r w:rsidRPr="00163BF5">
        <w:rPr>
          <w:color w:val="000000" w:themeColor="text1"/>
          <w:lang w:val="es-ES"/>
        </w:rPr>
        <w:t xml:space="preserve"> Madrid, España: Tecnos.</w:t>
      </w:r>
    </w:p>
    <w:p w14:paraId="6E0B7A28" w14:textId="77777777" w:rsidR="00A70A30" w:rsidRPr="00163BF5" w:rsidRDefault="00A70A30" w:rsidP="00656CF6">
      <w:pPr>
        <w:spacing w:line="360" w:lineRule="auto"/>
        <w:ind w:left="851" w:hanging="851"/>
        <w:jc w:val="both"/>
        <w:rPr>
          <w:color w:val="000000" w:themeColor="text1"/>
          <w:lang w:val="es-ES"/>
        </w:rPr>
      </w:pPr>
      <w:proofErr w:type="spellStart"/>
      <w:r w:rsidRPr="00163BF5">
        <w:rPr>
          <w:color w:val="000000" w:themeColor="text1"/>
          <w:lang w:val="es-ES"/>
        </w:rPr>
        <w:t>Sferrazza</w:t>
      </w:r>
      <w:proofErr w:type="spellEnd"/>
      <w:r w:rsidRPr="00163BF5">
        <w:rPr>
          <w:color w:val="000000" w:themeColor="text1"/>
          <w:lang w:val="es-ES"/>
        </w:rPr>
        <w:t xml:space="preserve">, P. (2019). La definición de la desaparición forzada en el derecho internacional. </w:t>
      </w:r>
      <w:r w:rsidRPr="00163BF5">
        <w:rPr>
          <w:i/>
          <w:iCs/>
          <w:color w:val="000000" w:themeColor="text1"/>
          <w:lang w:val="es-ES"/>
        </w:rPr>
        <w:t>Revista Ius et Praxis</w:t>
      </w:r>
      <w:r w:rsidRPr="00163BF5">
        <w:rPr>
          <w:color w:val="000000" w:themeColor="text1"/>
          <w:lang w:val="es-ES"/>
        </w:rPr>
        <w:t>, 25(1), (pp. 131-194). Recuperado de https://scielo.conicyt.cl/pdf/iusetp/v25n1/0718-0012-iusetp-25-01-131.pdf</w:t>
      </w:r>
    </w:p>
    <w:p w14:paraId="495A3AB4" w14:textId="77777777" w:rsidR="00A70A30" w:rsidRPr="00163BF5" w:rsidRDefault="00A70A30" w:rsidP="00656CF6">
      <w:pPr>
        <w:spacing w:line="360" w:lineRule="auto"/>
        <w:ind w:left="851" w:hanging="851"/>
        <w:jc w:val="both"/>
        <w:rPr>
          <w:rStyle w:val="Hipervnculo"/>
          <w:color w:val="000000" w:themeColor="text1"/>
          <w:lang w:val="es-ES"/>
        </w:rPr>
      </w:pPr>
      <w:r w:rsidRPr="00163BF5">
        <w:rPr>
          <w:color w:val="000000" w:themeColor="text1"/>
          <w:lang w:val="es-ES"/>
        </w:rPr>
        <w:t xml:space="preserve">Villacís, H. (2018). El control de convencionalidad y su aplicación en Ecuador. </w:t>
      </w:r>
      <w:r w:rsidRPr="00163BF5">
        <w:rPr>
          <w:i/>
          <w:iCs/>
          <w:color w:val="000000" w:themeColor="text1"/>
          <w:lang w:val="es-ES"/>
        </w:rPr>
        <w:t>Revista San Gregorio</w:t>
      </w:r>
      <w:r w:rsidRPr="00163BF5">
        <w:rPr>
          <w:color w:val="000000" w:themeColor="text1"/>
          <w:lang w:val="es-ES"/>
        </w:rPr>
        <w:t xml:space="preserve">, 85-91. 1(26), (pp. 84-91). Recuperado de: </w:t>
      </w:r>
      <w:hyperlink r:id="rId23" w:history="1">
        <w:r w:rsidRPr="00163BF5">
          <w:rPr>
            <w:rStyle w:val="Hipervnculo"/>
            <w:color w:val="000000" w:themeColor="text1"/>
            <w:u w:val="none"/>
            <w:lang w:val="es-ES"/>
          </w:rPr>
          <w:t>https://www.corteidh.or.cr/tablas/r36284.pdf</w:t>
        </w:r>
      </w:hyperlink>
    </w:p>
    <w:p w14:paraId="508F1285" w14:textId="242AA49C" w:rsidR="00664439" w:rsidRPr="00163BF5" w:rsidRDefault="00664439" w:rsidP="00656CF6">
      <w:pPr>
        <w:spacing w:line="360" w:lineRule="auto"/>
        <w:ind w:left="851" w:hanging="851"/>
        <w:jc w:val="both"/>
        <w:rPr>
          <w:rStyle w:val="Hipervnculo"/>
          <w:color w:val="000000" w:themeColor="text1"/>
          <w:lang w:val="es-ES"/>
        </w:rPr>
      </w:pPr>
    </w:p>
    <w:p w14:paraId="0EFC683F" w14:textId="035989B3" w:rsidR="00664439" w:rsidRPr="00163BF5" w:rsidRDefault="00664439" w:rsidP="00656CF6">
      <w:pPr>
        <w:spacing w:line="360" w:lineRule="auto"/>
        <w:ind w:left="851" w:hanging="851"/>
        <w:jc w:val="both"/>
        <w:rPr>
          <w:b/>
          <w:bCs/>
          <w:color w:val="000000" w:themeColor="text1"/>
          <w:u w:val="single"/>
          <w:lang w:val="es-ES"/>
        </w:rPr>
      </w:pPr>
      <w:r w:rsidRPr="00163BF5">
        <w:rPr>
          <w:b/>
          <w:bCs/>
          <w:color w:val="000000" w:themeColor="text1"/>
          <w:u w:val="single"/>
          <w:lang w:val="es-ES"/>
        </w:rPr>
        <w:t xml:space="preserve">Normativa nacional: </w:t>
      </w:r>
    </w:p>
    <w:p w14:paraId="6DBC082E" w14:textId="77777777" w:rsidR="00A60F5C" w:rsidRPr="00163BF5" w:rsidRDefault="00A60F5C" w:rsidP="00656CF6">
      <w:pPr>
        <w:pStyle w:val="NormalWeb"/>
        <w:spacing w:line="360" w:lineRule="auto"/>
        <w:ind w:left="709" w:hanging="709"/>
        <w:jc w:val="both"/>
        <w:rPr>
          <w:color w:val="000000" w:themeColor="text1"/>
          <w:lang w:val="es-ES_tradnl" w:eastAsia="es-ES_tradnl"/>
        </w:rPr>
      </w:pPr>
      <w:r w:rsidRPr="00163BF5">
        <w:rPr>
          <w:color w:val="000000" w:themeColor="text1"/>
          <w:lang w:val="es-ES_tradnl" w:eastAsia="es-ES_tradnl"/>
        </w:rPr>
        <w:t xml:space="preserve">Asamblea Nacional del Ecuador. Código Orgánico Integral Penal. Registro Oficial Suplemento 180 de 10 de febrero de 2014. </w:t>
      </w:r>
    </w:p>
    <w:p w14:paraId="6192B1A3" w14:textId="6DBD7301" w:rsidR="00A60F5C" w:rsidRPr="00163BF5" w:rsidRDefault="00A60F5C" w:rsidP="00656CF6">
      <w:pPr>
        <w:pStyle w:val="NormalWeb"/>
        <w:spacing w:line="360" w:lineRule="auto"/>
        <w:ind w:left="709" w:hanging="709"/>
        <w:jc w:val="both"/>
        <w:rPr>
          <w:color w:val="000000" w:themeColor="text1"/>
          <w:lang w:val="es-ES_tradnl" w:eastAsia="es-ES_tradnl"/>
        </w:rPr>
      </w:pPr>
      <w:r w:rsidRPr="00163BF5">
        <w:rPr>
          <w:color w:val="000000" w:themeColor="text1"/>
        </w:rPr>
        <w:t xml:space="preserve">Asamblea Nacional del Ecuador. Ley Orgánica de Actuación en Casos de Personas Desaparecidas y Extraviadas. Registro Oficial Suplemento </w:t>
      </w:r>
      <w:r w:rsidRPr="00163BF5">
        <w:rPr>
          <w:color w:val="000000" w:themeColor="text1"/>
          <w:lang w:val="es-ES_tradnl" w:eastAsia="es-ES_tradnl"/>
        </w:rPr>
        <w:t xml:space="preserve">130 de 28 de enero de 2020. </w:t>
      </w:r>
    </w:p>
    <w:p w14:paraId="17F1F1FD" w14:textId="398D24B5" w:rsidR="008C2CDE" w:rsidRPr="00163BF5" w:rsidRDefault="008C2CDE" w:rsidP="00656CF6">
      <w:pPr>
        <w:pStyle w:val="NormalWeb"/>
        <w:spacing w:line="360" w:lineRule="auto"/>
        <w:ind w:left="709" w:hanging="709"/>
        <w:jc w:val="both"/>
        <w:rPr>
          <w:color w:val="000000" w:themeColor="text1"/>
          <w:lang w:val="es-ES_tradnl" w:eastAsia="es-ES_tradnl"/>
        </w:rPr>
      </w:pPr>
      <w:r w:rsidRPr="00163BF5">
        <w:rPr>
          <w:color w:val="000000" w:themeColor="text1"/>
          <w:lang w:val="es-ES_tradnl" w:eastAsia="es-ES_tradnl"/>
        </w:rPr>
        <w:t xml:space="preserve">Asamblea Nacional del Ecuador. Código Orgánico de la Función Judicial. Registro Oficial Suplemento 544 de 09 de marzo de 2009. </w:t>
      </w:r>
    </w:p>
    <w:p w14:paraId="53B5ADD4" w14:textId="77777777" w:rsidR="00A60F5C" w:rsidRPr="00163BF5" w:rsidRDefault="00A60F5C" w:rsidP="00656CF6">
      <w:pPr>
        <w:pStyle w:val="NormalWeb"/>
        <w:spacing w:line="360" w:lineRule="auto"/>
        <w:ind w:left="709" w:hanging="709"/>
        <w:jc w:val="both"/>
        <w:rPr>
          <w:color w:val="000000" w:themeColor="text1"/>
        </w:rPr>
      </w:pPr>
      <w:r w:rsidRPr="00163BF5">
        <w:rPr>
          <w:color w:val="000000" w:themeColor="text1"/>
        </w:rPr>
        <w:t xml:space="preserve">Asamblea Nacional del Ecuador. Ley </w:t>
      </w:r>
      <w:proofErr w:type="spellStart"/>
      <w:r w:rsidRPr="00163BF5">
        <w:rPr>
          <w:color w:val="000000" w:themeColor="text1"/>
        </w:rPr>
        <w:t>Orgánica</w:t>
      </w:r>
      <w:proofErr w:type="spellEnd"/>
      <w:r w:rsidRPr="00163BF5">
        <w:rPr>
          <w:color w:val="000000" w:themeColor="text1"/>
        </w:rPr>
        <w:t xml:space="preserve"> de </w:t>
      </w:r>
      <w:proofErr w:type="spellStart"/>
      <w:r w:rsidRPr="00163BF5">
        <w:rPr>
          <w:color w:val="000000" w:themeColor="text1"/>
        </w:rPr>
        <w:t>Garantías</w:t>
      </w:r>
      <w:proofErr w:type="spellEnd"/>
      <w:r w:rsidRPr="00163BF5">
        <w:rPr>
          <w:color w:val="000000" w:themeColor="text1"/>
        </w:rPr>
        <w:t xml:space="preserve"> Jurisdiccionales y Control Constitucional. Registro Oficial de 22 de octubre de 2009. </w:t>
      </w:r>
    </w:p>
    <w:p w14:paraId="7BDA8244" w14:textId="77777777" w:rsidR="00A60F5C" w:rsidRPr="00163BF5" w:rsidRDefault="00A60F5C" w:rsidP="00656CF6">
      <w:pPr>
        <w:pStyle w:val="NormalWeb"/>
        <w:spacing w:line="360" w:lineRule="auto"/>
        <w:ind w:left="709" w:hanging="709"/>
        <w:jc w:val="both"/>
        <w:rPr>
          <w:color w:val="000000" w:themeColor="text1"/>
        </w:rPr>
      </w:pPr>
      <w:r w:rsidRPr="00163BF5">
        <w:rPr>
          <w:color w:val="000000" w:themeColor="text1"/>
        </w:rPr>
        <w:t>Congreso Nacional del Ecuador. Código de la Niñez y Adolescencia. Registro Oficial 737 de 3 de enero de 2003</w:t>
      </w:r>
    </w:p>
    <w:p w14:paraId="08C46C42" w14:textId="77777777" w:rsidR="00A60F5C" w:rsidRPr="00163BF5" w:rsidRDefault="00A60F5C" w:rsidP="00656CF6">
      <w:pPr>
        <w:pStyle w:val="NormalWeb"/>
        <w:spacing w:line="360" w:lineRule="auto"/>
        <w:ind w:left="709" w:hanging="709"/>
        <w:jc w:val="both"/>
        <w:rPr>
          <w:color w:val="000000" w:themeColor="text1"/>
        </w:rPr>
      </w:pPr>
      <w:proofErr w:type="spellStart"/>
      <w:r w:rsidRPr="00163BF5">
        <w:rPr>
          <w:color w:val="000000" w:themeColor="text1"/>
        </w:rPr>
        <w:t>Constitución</w:t>
      </w:r>
      <w:proofErr w:type="spellEnd"/>
      <w:r w:rsidRPr="00163BF5">
        <w:rPr>
          <w:color w:val="000000" w:themeColor="text1"/>
        </w:rPr>
        <w:t xml:space="preserve"> de la </w:t>
      </w:r>
      <w:proofErr w:type="spellStart"/>
      <w:r w:rsidRPr="00163BF5">
        <w:rPr>
          <w:color w:val="000000" w:themeColor="text1"/>
        </w:rPr>
        <w:t>República</w:t>
      </w:r>
      <w:proofErr w:type="spellEnd"/>
      <w:r w:rsidRPr="00163BF5">
        <w:rPr>
          <w:color w:val="000000" w:themeColor="text1"/>
        </w:rPr>
        <w:t xml:space="preserve"> del Ecuador [Const.]. (2008). 2da Ed. CEP. </w:t>
      </w:r>
    </w:p>
    <w:p w14:paraId="7279D5B3" w14:textId="77777777" w:rsidR="00A60F5C" w:rsidRPr="00163BF5" w:rsidRDefault="00A60F5C" w:rsidP="00656CF6">
      <w:pPr>
        <w:pStyle w:val="NormalWeb"/>
        <w:spacing w:line="360" w:lineRule="auto"/>
        <w:ind w:left="709" w:hanging="709"/>
        <w:jc w:val="both"/>
        <w:rPr>
          <w:color w:val="000000" w:themeColor="text1"/>
        </w:rPr>
      </w:pPr>
      <w:r w:rsidRPr="00163BF5">
        <w:rPr>
          <w:color w:val="000000" w:themeColor="text1"/>
        </w:rPr>
        <w:t>Fiscalía General del Estado del Ecuador. Estatuto Orgánico por procesos de la Fiscalía General del Estado. Registro Oficial Suplemento 268 de 23 de marzo de 2012</w:t>
      </w:r>
    </w:p>
    <w:p w14:paraId="3E06E2B3" w14:textId="63E14032" w:rsidR="00FE0B38" w:rsidRPr="00163BF5" w:rsidRDefault="00A60F5C" w:rsidP="004D5B6D">
      <w:pPr>
        <w:pStyle w:val="NormalWeb"/>
        <w:spacing w:line="360" w:lineRule="auto"/>
        <w:ind w:left="709" w:hanging="709"/>
        <w:jc w:val="both"/>
        <w:rPr>
          <w:color w:val="000000" w:themeColor="text1"/>
        </w:rPr>
      </w:pPr>
      <w:r w:rsidRPr="00163BF5">
        <w:rPr>
          <w:color w:val="000000" w:themeColor="text1"/>
          <w:lang w:val="es-ES_tradnl" w:eastAsia="es-ES_tradnl"/>
        </w:rPr>
        <w:t xml:space="preserve">Presidencia de la República del Ecuador. Reglamento a la </w:t>
      </w:r>
      <w:r w:rsidRPr="00163BF5">
        <w:rPr>
          <w:color w:val="000000" w:themeColor="text1"/>
        </w:rPr>
        <w:t xml:space="preserve">Ley Orgánica de Actuación en Casos de Personas Desaparecidas y Extraviadas. Registro Oficial Suplemento 341 de 01 de diciembre de 2020. </w:t>
      </w:r>
    </w:p>
    <w:p w14:paraId="700595B0" w14:textId="6506F831" w:rsidR="00A60F5C" w:rsidRPr="00163BF5" w:rsidRDefault="00A60F5C" w:rsidP="00656CF6">
      <w:pPr>
        <w:pStyle w:val="NormalWeb"/>
        <w:spacing w:line="360" w:lineRule="auto"/>
        <w:ind w:left="709" w:hanging="709"/>
        <w:jc w:val="both"/>
        <w:rPr>
          <w:b/>
          <w:bCs/>
          <w:color w:val="000000" w:themeColor="text1"/>
          <w:u w:val="single"/>
        </w:rPr>
      </w:pPr>
      <w:r w:rsidRPr="00163BF5">
        <w:rPr>
          <w:b/>
          <w:bCs/>
          <w:color w:val="000000" w:themeColor="text1"/>
          <w:u w:val="single"/>
        </w:rPr>
        <w:t>Normativa internaci</w:t>
      </w:r>
      <w:r w:rsidR="00DB4634" w:rsidRPr="00163BF5">
        <w:rPr>
          <w:b/>
          <w:bCs/>
          <w:color w:val="000000" w:themeColor="text1"/>
          <w:u w:val="single"/>
        </w:rPr>
        <w:t xml:space="preserve">onal: </w:t>
      </w:r>
    </w:p>
    <w:p w14:paraId="576C515B" w14:textId="0D30012B" w:rsidR="00DB4634" w:rsidRPr="00163BF5" w:rsidRDefault="00E9522E" w:rsidP="00656CF6">
      <w:pPr>
        <w:pStyle w:val="NormalWeb"/>
        <w:spacing w:line="360" w:lineRule="auto"/>
        <w:ind w:left="709" w:hanging="709"/>
        <w:jc w:val="both"/>
        <w:rPr>
          <w:color w:val="000000" w:themeColor="text1"/>
        </w:rPr>
      </w:pPr>
      <w:r w:rsidRPr="00163BF5">
        <w:rPr>
          <w:color w:val="000000" w:themeColor="text1"/>
        </w:rPr>
        <w:t>Organización de Estados Americanos. Convención Americana sobre Derechos Humanos. Noviembre de 1969</w:t>
      </w:r>
    </w:p>
    <w:p w14:paraId="05A983D3" w14:textId="0E6FF20F" w:rsidR="007D7402" w:rsidRPr="00163BF5" w:rsidRDefault="007D7402" w:rsidP="00656CF6">
      <w:pPr>
        <w:pStyle w:val="NormalWeb"/>
        <w:spacing w:line="360" w:lineRule="auto"/>
        <w:ind w:left="709" w:hanging="709"/>
        <w:jc w:val="both"/>
        <w:rPr>
          <w:color w:val="000000" w:themeColor="text1"/>
        </w:rPr>
      </w:pPr>
      <w:r w:rsidRPr="00163BF5">
        <w:rPr>
          <w:color w:val="000000" w:themeColor="text1"/>
        </w:rPr>
        <w:t>Organización de las Naciones Unidas. Convención de Viena sobre el Derecho de los Tratados. 23 de Mayo de 1969</w:t>
      </w:r>
    </w:p>
    <w:p w14:paraId="0B08B02A" w14:textId="1963D245" w:rsidR="00E9522E" w:rsidRPr="00163BF5" w:rsidRDefault="00E9522E" w:rsidP="00656CF6">
      <w:pPr>
        <w:pStyle w:val="NormalWeb"/>
        <w:spacing w:line="360" w:lineRule="auto"/>
        <w:ind w:left="709" w:hanging="709"/>
        <w:jc w:val="both"/>
        <w:rPr>
          <w:color w:val="000000" w:themeColor="text1"/>
        </w:rPr>
      </w:pPr>
      <w:r w:rsidRPr="00163BF5">
        <w:rPr>
          <w:color w:val="000000" w:themeColor="text1"/>
        </w:rPr>
        <w:t>Organización de las Naciones Unidas. Protocolo de Estambul. 9 de agosto de 1999</w:t>
      </w:r>
    </w:p>
    <w:p w14:paraId="25865A04" w14:textId="25F5FC61" w:rsidR="00374E84" w:rsidRPr="00163BF5" w:rsidRDefault="00374E84" w:rsidP="00656CF6">
      <w:pPr>
        <w:pStyle w:val="NormalWeb"/>
        <w:spacing w:line="360" w:lineRule="auto"/>
        <w:ind w:left="709" w:hanging="709"/>
        <w:jc w:val="both"/>
        <w:rPr>
          <w:color w:val="000000" w:themeColor="text1"/>
        </w:rPr>
      </w:pPr>
      <w:r w:rsidRPr="00163BF5">
        <w:rPr>
          <w:color w:val="000000" w:themeColor="text1"/>
        </w:rPr>
        <w:t xml:space="preserve">Organización de las Naciones Unidas. Estatuto de Roma de la Corte Penal </w:t>
      </w:r>
      <w:proofErr w:type="spellStart"/>
      <w:r w:rsidRPr="00163BF5">
        <w:rPr>
          <w:color w:val="000000" w:themeColor="text1"/>
        </w:rPr>
        <w:t>Interanacional</w:t>
      </w:r>
      <w:proofErr w:type="spellEnd"/>
      <w:r w:rsidRPr="00163BF5">
        <w:rPr>
          <w:color w:val="000000" w:themeColor="text1"/>
        </w:rPr>
        <w:t>. 17 de julio de 1998</w:t>
      </w:r>
    </w:p>
    <w:p w14:paraId="15CF4ADA" w14:textId="52AFC6A3" w:rsidR="00E9522E" w:rsidRPr="00163BF5" w:rsidRDefault="00E9522E" w:rsidP="00656CF6">
      <w:pPr>
        <w:pStyle w:val="NormalWeb"/>
        <w:spacing w:line="360" w:lineRule="auto"/>
        <w:ind w:left="709" w:hanging="709"/>
        <w:jc w:val="both"/>
        <w:rPr>
          <w:color w:val="000000" w:themeColor="text1"/>
        </w:rPr>
      </w:pPr>
      <w:r w:rsidRPr="00163BF5">
        <w:rPr>
          <w:color w:val="000000" w:themeColor="text1"/>
        </w:rPr>
        <w:t xml:space="preserve">Alto Comisionado de las Naciones Unidas. Protocolo de </w:t>
      </w:r>
      <w:proofErr w:type="spellStart"/>
      <w:r w:rsidRPr="00163BF5">
        <w:rPr>
          <w:color w:val="000000" w:themeColor="text1"/>
        </w:rPr>
        <w:t>Minessota</w:t>
      </w:r>
      <w:proofErr w:type="spellEnd"/>
      <w:r w:rsidRPr="00163BF5">
        <w:rPr>
          <w:color w:val="000000" w:themeColor="text1"/>
        </w:rPr>
        <w:t>. 2016</w:t>
      </w:r>
    </w:p>
    <w:p w14:paraId="2C502337" w14:textId="36154BB9" w:rsidR="00374E84" w:rsidRPr="00163BF5" w:rsidRDefault="00E9522E" w:rsidP="00656CF6">
      <w:pPr>
        <w:pStyle w:val="NormalWeb"/>
        <w:spacing w:line="360" w:lineRule="auto"/>
        <w:ind w:left="709" w:hanging="709"/>
        <w:jc w:val="both"/>
        <w:rPr>
          <w:color w:val="000000" w:themeColor="text1"/>
        </w:rPr>
      </w:pPr>
      <w:r w:rsidRPr="00163BF5">
        <w:rPr>
          <w:color w:val="000000" w:themeColor="text1"/>
        </w:rPr>
        <w:t xml:space="preserve">Alto Comisionado de las Naciones Unidas. </w:t>
      </w:r>
      <w:r w:rsidR="00374E84" w:rsidRPr="00163BF5">
        <w:rPr>
          <w:color w:val="000000" w:themeColor="text1"/>
          <w:lang w:eastAsia="es-MX"/>
        </w:rPr>
        <w:t xml:space="preserve">Protocolo Modelo para la </w:t>
      </w:r>
      <w:proofErr w:type="spellStart"/>
      <w:r w:rsidR="00374E84" w:rsidRPr="00163BF5">
        <w:rPr>
          <w:color w:val="000000" w:themeColor="text1"/>
          <w:lang w:eastAsia="es-MX"/>
        </w:rPr>
        <w:t>investigación</w:t>
      </w:r>
      <w:proofErr w:type="spellEnd"/>
      <w:r w:rsidR="00374E84" w:rsidRPr="00163BF5">
        <w:rPr>
          <w:color w:val="000000" w:themeColor="text1"/>
          <w:lang w:eastAsia="es-MX"/>
        </w:rPr>
        <w:t xml:space="preserve"> forense de muertes sospechosas de haberse producido  </w:t>
      </w:r>
      <w:r w:rsidR="00374E84" w:rsidRPr="00163BF5">
        <w:rPr>
          <w:color w:val="000000" w:themeColor="text1"/>
        </w:rPr>
        <w:t xml:space="preserve">por </w:t>
      </w:r>
      <w:proofErr w:type="spellStart"/>
      <w:r w:rsidR="00374E84" w:rsidRPr="00163BF5">
        <w:rPr>
          <w:color w:val="000000" w:themeColor="text1"/>
        </w:rPr>
        <w:t>violación</w:t>
      </w:r>
      <w:proofErr w:type="spellEnd"/>
      <w:r w:rsidR="00374E84" w:rsidRPr="00163BF5">
        <w:rPr>
          <w:color w:val="000000" w:themeColor="text1"/>
        </w:rPr>
        <w:t xml:space="preserve"> de los derechos humanos. Mayo de 2001</w:t>
      </w:r>
    </w:p>
    <w:p w14:paraId="56FC8183" w14:textId="30016565" w:rsidR="00957EA0" w:rsidRPr="00163BF5" w:rsidRDefault="006E4F46" w:rsidP="00656CF6">
      <w:pPr>
        <w:spacing w:line="360" w:lineRule="auto"/>
        <w:ind w:left="851" w:hanging="851"/>
        <w:jc w:val="both"/>
        <w:rPr>
          <w:b/>
          <w:bCs/>
          <w:color w:val="000000" w:themeColor="text1"/>
          <w:u w:val="single"/>
          <w:lang w:val="es-ES"/>
        </w:rPr>
      </w:pPr>
      <w:r w:rsidRPr="00163BF5">
        <w:rPr>
          <w:b/>
          <w:bCs/>
          <w:color w:val="000000" w:themeColor="text1"/>
          <w:u w:val="single"/>
          <w:lang w:val="es-ES"/>
        </w:rPr>
        <w:t xml:space="preserve">Jurisprudencia: </w:t>
      </w:r>
    </w:p>
    <w:p w14:paraId="385FD577" w14:textId="3015ECBE" w:rsidR="00A70A30" w:rsidRPr="00163BF5" w:rsidRDefault="00A70A30" w:rsidP="00656CF6">
      <w:pPr>
        <w:spacing w:line="360" w:lineRule="auto"/>
        <w:ind w:left="851" w:hanging="851"/>
        <w:jc w:val="both"/>
        <w:rPr>
          <w:color w:val="000000" w:themeColor="text1"/>
          <w:lang w:val="es-ES"/>
        </w:rPr>
      </w:pPr>
      <w:r w:rsidRPr="00163BF5">
        <w:rPr>
          <w:color w:val="000000" w:themeColor="text1"/>
          <w:lang w:val="es-ES"/>
        </w:rPr>
        <w:t xml:space="preserve">Corte Constitucional del Ecuador. (12 de junio de 2019). Caso No.11-18-CN (matrimonio igualitario). [MP Ramiro </w:t>
      </w:r>
      <w:r w:rsidR="00A14F18" w:rsidRPr="00163BF5">
        <w:rPr>
          <w:color w:val="000000" w:themeColor="text1"/>
          <w:lang w:val="es-ES"/>
        </w:rPr>
        <w:t>Ávila</w:t>
      </w:r>
      <w:r w:rsidRPr="00163BF5">
        <w:rPr>
          <w:color w:val="000000" w:themeColor="text1"/>
          <w:lang w:val="es-ES"/>
        </w:rPr>
        <w:t xml:space="preserve"> Santamaría]</w:t>
      </w:r>
    </w:p>
    <w:p w14:paraId="63F76875" w14:textId="49C8FDF2" w:rsidR="00045F94" w:rsidRPr="00163BF5" w:rsidRDefault="00045F94" w:rsidP="00656CF6">
      <w:pPr>
        <w:spacing w:line="360" w:lineRule="auto"/>
        <w:ind w:left="851" w:hanging="851"/>
        <w:jc w:val="both"/>
        <w:rPr>
          <w:color w:val="000000" w:themeColor="text1"/>
          <w:lang w:val="es-ES"/>
        </w:rPr>
      </w:pPr>
      <w:r w:rsidRPr="00163BF5">
        <w:rPr>
          <w:color w:val="000000" w:themeColor="text1"/>
          <w:lang w:val="es-ES"/>
        </w:rPr>
        <w:t xml:space="preserve">Corte Constitucional del Ecuador. (6 de agosto de 2014). Caso No. </w:t>
      </w:r>
      <w:r w:rsidR="008D4171" w:rsidRPr="00163BF5">
        <w:rPr>
          <w:color w:val="000000" w:themeColor="text1"/>
          <w:lang w:val="es-ES"/>
        </w:rPr>
        <w:t>0072-14-CN [MP Patricio Pazmiño]</w:t>
      </w:r>
    </w:p>
    <w:p w14:paraId="3EC31B6F" w14:textId="45217248" w:rsidR="008D4171" w:rsidRPr="00163BF5" w:rsidRDefault="008D4171" w:rsidP="00656CF6">
      <w:pPr>
        <w:spacing w:line="360" w:lineRule="auto"/>
        <w:ind w:left="851" w:hanging="851"/>
        <w:jc w:val="both"/>
        <w:rPr>
          <w:color w:val="000000" w:themeColor="text1"/>
          <w:lang w:val="es-ES"/>
        </w:rPr>
      </w:pPr>
      <w:r w:rsidRPr="00163BF5">
        <w:rPr>
          <w:color w:val="000000" w:themeColor="text1"/>
          <w:lang w:val="es-ES"/>
        </w:rPr>
        <w:t>Corte Constitucional del Ecuador. (21 de junio de 2012). Caso No. 0078-11-IS [MP Manuel Viteri Olvera]</w:t>
      </w:r>
    </w:p>
    <w:p w14:paraId="4F8D01D5" w14:textId="77777777" w:rsidR="00A70A30" w:rsidRPr="00163BF5" w:rsidRDefault="00A70A30" w:rsidP="00656CF6">
      <w:pPr>
        <w:spacing w:line="360" w:lineRule="auto"/>
        <w:ind w:left="851" w:hanging="851"/>
        <w:jc w:val="both"/>
        <w:rPr>
          <w:color w:val="000000" w:themeColor="text1"/>
        </w:rPr>
      </w:pPr>
      <w:r w:rsidRPr="00163BF5">
        <w:rPr>
          <w:color w:val="000000" w:themeColor="text1"/>
        </w:rPr>
        <w:t xml:space="preserve">Corte Europea de Derechos Humanos. (26 de junio de 2004). Caso Pabla </w:t>
      </w:r>
      <w:proofErr w:type="spellStart"/>
      <w:r w:rsidRPr="00163BF5">
        <w:rPr>
          <w:color w:val="000000" w:themeColor="text1"/>
        </w:rPr>
        <w:t>Kaya</w:t>
      </w:r>
      <w:proofErr w:type="spellEnd"/>
      <w:r w:rsidRPr="00163BF5">
        <w:rPr>
          <w:color w:val="000000" w:themeColor="text1"/>
        </w:rPr>
        <w:t xml:space="preserve"> KY Vs. Finlandia. [MP Sir. Nicolas </w:t>
      </w:r>
      <w:proofErr w:type="spellStart"/>
      <w:r w:rsidRPr="00163BF5">
        <w:rPr>
          <w:color w:val="000000" w:themeColor="text1"/>
        </w:rPr>
        <w:t>Bratza</w:t>
      </w:r>
      <w:proofErr w:type="spellEnd"/>
      <w:r w:rsidRPr="00163BF5">
        <w:rPr>
          <w:color w:val="000000" w:themeColor="text1"/>
        </w:rPr>
        <w:t>]</w:t>
      </w:r>
    </w:p>
    <w:p w14:paraId="6F8C2CC8" w14:textId="77777777" w:rsidR="00A70A30" w:rsidRPr="00163BF5" w:rsidRDefault="00A70A30" w:rsidP="00656CF6">
      <w:pPr>
        <w:spacing w:line="360" w:lineRule="auto"/>
        <w:ind w:left="851" w:hanging="851"/>
        <w:jc w:val="both"/>
        <w:rPr>
          <w:color w:val="000000" w:themeColor="text1"/>
        </w:rPr>
      </w:pPr>
      <w:r w:rsidRPr="00163BF5">
        <w:rPr>
          <w:color w:val="000000" w:themeColor="text1"/>
        </w:rPr>
        <w:t xml:space="preserve">Corte Europea de Derechos Humanos. (4 de diciembre de 2003). Caso M.C Vs. Bulgaria. [MP Mr. C.L. </w:t>
      </w:r>
      <w:proofErr w:type="spellStart"/>
      <w:r w:rsidRPr="00163BF5">
        <w:rPr>
          <w:color w:val="000000" w:themeColor="text1"/>
        </w:rPr>
        <w:t>Rozakis</w:t>
      </w:r>
      <w:proofErr w:type="spellEnd"/>
      <w:r w:rsidRPr="00163BF5">
        <w:rPr>
          <w:color w:val="000000" w:themeColor="text1"/>
        </w:rPr>
        <w:t>]</w:t>
      </w:r>
    </w:p>
    <w:p w14:paraId="6F9EDDC7" w14:textId="77777777" w:rsidR="00A70A30" w:rsidRPr="00163BF5" w:rsidRDefault="00A70A30" w:rsidP="00656CF6">
      <w:pPr>
        <w:spacing w:line="360" w:lineRule="auto"/>
        <w:ind w:left="851" w:hanging="851"/>
        <w:jc w:val="both"/>
        <w:rPr>
          <w:color w:val="000000" w:themeColor="text1"/>
        </w:rPr>
      </w:pPr>
      <w:r w:rsidRPr="00163BF5">
        <w:rPr>
          <w:color w:val="000000" w:themeColor="text1"/>
        </w:rPr>
        <w:t xml:space="preserve">Corte Europea de Derechos Humanos. (6 de abril de 2004). Caso </w:t>
      </w:r>
      <w:proofErr w:type="spellStart"/>
      <w:r w:rsidRPr="00163BF5">
        <w:rPr>
          <w:color w:val="000000" w:themeColor="text1"/>
        </w:rPr>
        <w:t>Ahmet</w:t>
      </w:r>
      <w:proofErr w:type="spellEnd"/>
      <w:r w:rsidRPr="00163BF5">
        <w:rPr>
          <w:color w:val="000000" w:themeColor="text1"/>
        </w:rPr>
        <w:t xml:space="preserve"> </w:t>
      </w:r>
      <w:proofErr w:type="spellStart"/>
      <w:r w:rsidRPr="00163BF5">
        <w:rPr>
          <w:color w:val="000000" w:themeColor="text1"/>
        </w:rPr>
        <w:t>Özkan</w:t>
      </w:r>
      <w:proofErr w:type="spellEnd"/>
      <w:r w:rsidRPr="00163BF5">
        <w:rPr>
          <w:color w:val="000000" w:themeColor="text1"/>
        </w:rPr>
        <w:t xml:space="preserve"> y otros Vs. Turquía. [MP Mr. J-P Costa]</w:t>
      </w:r>
    </w:p>
    <w:p w14:paraId="3CAF1580" w14:textId="77777777" w:rsidR="00A70A30" w:rsidRPr="00163BF5" w:rsidRDefault="00A70A30" w:rsidP="00656CF6">
      <w:pPr>
        <w:spacing w:line="360" w:lineRule="auto"/>
        <w:ind w:left="851" w:hanging="851"/>
        <w:jc w:val="both"/>
        <w:rPr>
          <w:color w:val="000000" w:themeColor="text1"/>
        </w:rPr>
      </w:pPr>
      <w:r w:rsidRPr="00163BF5">
        <w:rPr>
          <w:color w:val="000000" w:themeColor="text1"/>
          <w:lang w:val="es-ES"/>
        </w:rPr>
        <w:t xml:space="preserve">Corte Europea de Derechos Humanos. (6 de febrero de 2001). Caso </w:t>
      </w:r>
      <w:proofErr w:type="spellStart"/>
      <w:r w:rsidRPr="00163BF5">
        <w:rPr>
          <w:color w:val="000000" w:themeColor="text1"/>
        </w:rPr>
        <w:t>Çiçek</w:t>
      </w:r>
      <w:proofErr w:type="spellEnd"/>
      <w:r w:rsidRPr="00163BF5">
        <w:rPr>
          <w:color w:val="000000" w:themeColor="text1"/>
        </w:rPr>
        <w:t xml:space="preserve"> Vs. Turquía. [MP </w:t>
      </w:r>
      <w:proofErr w:type="spellStart"/>
      <w:r w:rsidRPr="00163BF5">
        <w:rPr>
          <w:color w:val="000000" w:themeColor="text1"/>
        </w:rPr>
        <w:t>Mr</w:t>
      </w:r>
      <w:proofErr w:type="spellEnd"/>
      <w:r w:rsidRPr="00163BF5">
        <w:rPr>
          <w:color w:val="000000" w:themeColor="text1"/>
        </w:rPr>
        <w:t xml:space="preserve"> E. Palm]</w:t>
      </w:r>
    </w:p>
    <w:p w14:paraId="23D8B33B" w14:textId="72A7BD81" w:rsidR="00A70A30" w:rsidRPr="00163BF5" w:rsidRDefault="00A70A30" w:rsidP="00656CF6">
      <w:pPr>
        <w:spacing w:line="360" w:lineRule="auto"/>
        <w:ind w:left="851" w:hanging="851"/>
        <w:jc w:val="both"/>
        <w:rPr>
          <w:color w:val="000000" w:themeColor="text1"/>
        </w:rPr>
      </w:pPr>
      <w:r w:rsidRPr="00163BF5">
        <w:rPr>
          <w:color w:val="000000" w:themeColor="text1"/>
          <w:lang w:val="es-ES"/>
        </w:rPr>
        <w:t xml:space="preserve">Corte Europea de Derechos Humanos. (7 de abril de 1997). </w:t>
      </w:r>
      <w:r w:rsidRPr="00163BF5">
        <w:rPr>
          <w:color w:val="000000" w:themeColor="text1"/>
        </w:rPr>
        <w:t xml:space="preserve">Caso </w:t>
      </w:r>
      <w:proofErr w:type="spellStart"/>
      <w:r w:rsidRPr="00163BF5">
        <w:rPr>
          <w:color w:val="000000" w:themeColor="text1"/>
        </w:rPr>
        <w:t>Orhan</w:t>
      </w:r>
      <w:proofErr w:type="spellEnd"/>
      <w:r w:rsidRPr="00163BF5">
        <w:rPr>
          <w:color w:val="000000" w:themeColor="text1"/>
        </w:rPr>
        <w:t xml:space="preserve"> Vs. Turquía. [MP Mr. S. </w:t>
      </w:r>
      <w:proofErr w:type="spellStart"/>
      <w:r w:rsidRPr="00163BF5">
        <w:rPr>
          <w:color w:val="000000" w:themeColor="text1"/>
        </w:rPr>
        <w:t>Trechsel</w:t>
      </w:r>
      <w:proofErr w:type="spellEnd"/>
      <w:r w:rsidRPr="00163BF5">
        <w:rPr>
          <w:color w:val="000000" w:themeColor="text1"/>
        </w:rPr>
        <w:t>]</w:t>
      </w:r>
    </w:p>
    <w:p w14:paraId="281DFEE4" w14:textId="680032D4" w:rsidR="009A3AAE" w:rsidRPr="00163BF5" w:rsidRDefault="009A3AAE" w:rsidP="00656CF6">
      <w:pPr>
        <w:spacing w:line="360" w:lineRule="auto"/>
        <w:ind w:left="851" w:hanging="851"/>
        <w:jc w:val="both"/>
        <w:rPr>
          <w:color w:val="000000" w:themeColor="text1"/>
        </w:rPr>
      </w:pPr>
      <w:r w:rsidRPr="00163BF5">
        <w:rPr>
          <w:color w:val="000000" w:themeColor="text1"/>
        </w:rPr>
        <w:t xml:space="preserve">Corte Internacional de Justicia. </w:t>
      </w:r>
      <w:r w:rsidR="00B04668" w:rsidRPr="00163BF5">
        <w:rPr>
          <w:color w:val="000000" w:themeColor="text1"/>
        </w:rPr>
        <w:t>(27 de junio de 2001). Alemania contra los Estados Unidos de América. [MP Gilbert Guillaume]</w:t>
      </w:r>
    </w:p>
    <w:p w14:paraId="376981CD" w14:textId="4BF7483D" w:rsidR="006E4F46" w:rsidRPr="00163BF5" w:rsidRDefault="006E4F46" w:rsidP="00656CF6">
      <w:pPr>
        <w:pStyle w:val="NormalWeb"/>
        <w:spacing w:line="360" w:lineRule="auto"/>
        <w:ind w:left="709" w:hanging="709"/>
        <w:jc w:val="both"/>
        <w:rPr>
          <w:color w:val="000000" w:themeColor="text1"/>
          <w:lang w:eastAsia="es-MX"/>
        </w:rPr>
      </w:pPr>
      <w:r w:rsidRPr="00163BF5">
        <w:rPr>
          <w:color w:val="000000" w:themeColor="text1"/>
          <w:lang w:val="es-ES"/>
        </w:rPr>
        <w:t>Corte Interamericana de Derechos Humanos. (</w:t>
      </w:r>
      <w:r w:rsidRPr="00163BF5">
        <w:rPr>
          <w:color w:val="000000" w:themeColor="text1"/>
          <w:lang w:eastAsia="es-MX"/>
        </w:rPr>
        <w:t xml:space="preserve">8 de octubre de 2015). Caso Comunidad </w:t>
      </w:r>
      <w:proofErr w:type="spellStart"/>
      <w:r w:rsidRPr="00163BF5">
        <w:rPr>
          <w:color w:val="000000" w:themeColor="text1"/>
          <w:lang w:eastAsia="es-MX"/>
        </w:rPr>
        <w:t>Garífuna</w:t>
      </w:r>
      <w:proofErr w:type="spellEnd"/>
      <w:r w:rsidRPr="00163BF5">
        <w:rPr>
          <w:color w:val="000000" w:themeColor="text1"/>
          <w:lang w:eastAsia="es-MX"/>
        </w:rPr>
        <w:t xml:space="preserve"> Triunfo de la Cruz y sus miembros Vs. Honduras. [MP Humberto Antonio Sierra Porto]</w:t>
      </w:r>
      <w:r w:rsidR="00817A84" w:rsidRPr="00163BF5">
        <w:rPr>
          <w:color w:val="000000" w:themeColor="text1"/>
          <w:lang w:eastAsia="es-MX"/>
        </w:rPr>
        <w:t>.</w:t>
      </w:r>
    </w:p>
    <w:p w14:paraId="0422C723" w14:textId="689B35E2" w:rsidR="006E4F46" w:rsidRPr="00163BF5" w:rsidRDefault="006E4F46"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(29 de julio de 1988). Caso Velásquez Rodríguez Vs. Honduras. [MP Rafael Nieto Navia]</w:t>
      </w:r>
      <w:r w:rsidR="00817A84" w:rsidRPr="00163BF5">
        <w:rPr>
          <w:color w:val="000000" w:themeColor="text1"/>
          <w:lang w:eastAsia="es-MX"/>
        </w:rPr>
        <w:t>.</w:t>
      </w:r>
    </w:p>
    <w:p w14:paraId="761E6B11" w14:textId="6E6AE6B6" w:rsidR="006E4F46" w:rsidRPr="00163BF5" w:rsidRDefault="006E4F46"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(27 de agosto de 2014). Caso Hermanos Landaeta Mejías y otros Vs. Venezuela</w:t>
      </w:r>
      <w:r w:rsidR="00817A84" w:rsidRPr="00163BF5">
        <w:rPr>
          <w:color w:val="000000" w:themeColor="text1"/>
          <w:lang w:eastAsia="es-MX"/>
        </w:rPr>
        <w:t>. [MP Humberto Antonio Sierra Porto].</w:t>
      </w:r>
    </w:p>
    <w:p w14:paraId="307AAEED" w14:textId="3E587B97" w:rsidR="00817A84" w:rsidRPr="00163BF5" w:rsidRDefault="00817A84"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(30 de enero de 1987). Opinión Consultiva OC-8/87. [MP Thomas </w:t>
      </w:r>
      <w:proofErr w:type="spellStart"/>
      <w:r w:rsidRPr="00163BF5">
        <w:rPr>
          <w:color w:val="000000" w:themeColor="text1"/>
          <w:lang w:eastAsia="es-MX"/>
        </w:rPr>
        <w:t>Buergenthal</w:t>
      </w:r>
      <w:proofErr w:type="spellEnd"/>
      <w:r w:rsidRPr="00163BF5">
        <w:rPr>
          <w:color w:val="000000" w:themeColor="text1"/>
          <w:lang w:eastAsia="es-MX"/>
        </w:rPr>
        <w:t>].</w:t>
      </w:r>
    </w:p>
    <w:p w14:paraId="02DB4559" w14:textId="638A3588" w:rsidR="00817A84" w:rsidRPr="00163BF5" w:rsidRDefault="00817A84"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(31 de enero de 2006). Caso Masacre de Pueblo Bello Vs. Colombia. [MP Sergio García Ramírez].</w:t>
      </w:r>
    </w:p>
    <w:p w14:paraId="48348EE7" w14:textId="7BAA88A1" w:rsidR="00817A84" w:rsidRPr="00163BF5" w:rsidRDefault="00817A84"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(4 de julio de 2007). Caso Zambrano Vélez y otros Vs. Ecuador. [MP Sergio García Ramírez].</w:t>
      </w:r>
    </w:p>
    <w:p w14:paraId="4459E527" w14:textId="7E80CB9C" w:rsidR="00817A84" w:rsidRPr="00163BF5" w:rsidRDefault="00817A84"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(12 de agosto de 2008). Caso Heliodoro Portugal Vs. Panamá. [MP Diego García Sayán].</w:t>
      </w:r>
    </w:p>
    <w:p w14:paraId="2E1017C9" w14:textId="584889D0" w:rsidR="00817A84" w:rsidRPr="00163BF5" w:rsidRDefault="00817A84"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(7 de septiembre de 2004). Caso Tibi Vs. Ecuador. [MP Sergio García Ramírez]. </w:t>
      </w:r>
    </w:p>
    <w:p w14:paraId="71DBDE2E" w14:textId="206FF2F7" w:rsidR="00817A84" w:rsidRPr="00163BF5" w:rsidRDefault="00817A84"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(30 de octubre de 2008). Caso Bayarri Vs. Argentina. </w:t>
      </w:r>
      <w:r w:rsidR="001904AF" w:rsidRPr="00163BF5">
        <w:rPr>
          <w:color w:val="000000" w:themeColor="text1"/>
          <w:lang w:eastAsia="es-MX"/>
        </w:rPr>
        <w:t>[MP Cecilia Medina Quiroga].</w:t>
      </w:r>
    </w:p>
    <w:p w14:paraId="01C8AE3F" w14:textId="134C1C4F" w:rsidR="001904AF" w:rsidRPr="00163BF5" w:rsidRDefault="001904AF"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(4 de julio de 2006). Caso </w:t>
      </w:r>
      <w:proofErr w:type="spellStart"/>
      <w:r w:rsidRPr="00163BF5">
        <w:rPr>
          <w:color w:val="000000" w:themeColor="text1"/>
          <w:lang w:eastAsia="es-MX"/>
        </w:rPr>
        <w:t>Ximenes</w:t>
      </w:r>
      <w:proofErr w:type="spellEnd"/>
      <w:r w:rsidRPr="00163BF5">
        <w:rPr>
          <w:color w:val="000000" w:themeColor="text1"/>
          <w:lang w:eastAsia="es-MX"/>
        </w:rPr>
        <w:t xml:space="preserve"> </w:t>
      </w:r>
      <w:proofErr w:type="spellStart"/>
      <w:r w:rsidRPr="00163BF5">
        <w:rPr>
          <w:color w:val="000000" w:themeColor="text1"/>
          <w:lang w:eastAsia="es-MX"/>
        </w:rPr>
        <w:t>Lopes</w:t>
      </w:r>
      <w:proofErr w:type="spellEnd"/>
      <w:r w:rsidRPr="00163BF5">
        <w:rPr>
          <w:color w:val="000000" w:themeColor="text1"/>
          <w:lang w:eastAsia="es-MX"/>
        </w:rPr>
        <w:t xml:space="preserve"> Vs. Brasil. [MP Sergio García Ramírez]. </w:t>
      </w:r>
    </w:p>
    <w:p w14:paraId="6CD6B7A4" w14:textId="1C254494" w:rsidR="008344AF" w:rsidRPr="00163BF5" w:rsidRDefault="001904AF"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w:t>
      </w:r>
      <w:r w:rsidR="008344AF" w:rsidRPr="00163BF5">
        <w:rPr>
          <w:color w:val="000000" w:themeColor="text1"/>
          <w:lang w:eastAsia="es-MX"/>
        </w:rPr>
        <w:t xml:space="preserve">22 de septiembre de 2009). Caso </w:t>
      </w:r>
      <w:proofErr w:type="spellStart"/>
      <w:r w:rsidR="008344AF" w:rsidRPr="00163BF5">
        <w:rPr>
          <w:color w:val="000000" w:themeColor="text1"/>
          <w:lang w:eastAsia="es-MX"/>
        </w:rPr>
        <w:t>Anzualdo</w:t>
      </w:r>
      <w:proofErr w:type="spellEnd"/>
      <w:r w:rsidR="008344AF" w:rsidRPr="00163BF5">
        <w:rPr>
          <w:color w:val="000000" w:themeColor="text1"/>
          <w:lang w:eastAsia="es-MX"/>
        </w:rPr>
        <w:t xml:space="preserve"> Castro Vs. Perú. [MP Cecilia Medina Quiroga].</w:t>
      </w:r>
    </w:p>
    <w:p w14:paraId="50953EDA" w14:textId="7925E0EE" w:rsidR="008344AF" w:rsidRPr="00163BF5" w:rsidRDefault="008344AF"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(1 de marzo de 2005). Caso Hermanas Serrano Cruz Vs. El Salvador. [MP Sergio García Ramírez]. </w:t>
      </w:r>
    </w:p>
    <w:p w14:paraId="3D330CFD" w14:textId="28F4B950" w:rsidR="008344AF" w:rsidRPr="00163BF5" w:rsidRDefault="008344AF"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(7 de junio de 2003). Caso Humberto Sánchez Vs. Honduras. [MP </w:t>
      </w:r>
      <w:proofErr w:type="spellStart"/>
      <w:r w:rsidRPr="00163BF5">
        <w:rPr>
          <w:color w:val="000000" w:themeColor="text1"/>
          <w:lang w:eastAsia="es-MX"/>
        </w:rPr>
        <w:t>Antônio</w:t>
      </w:r>
      <w:proofErr w:type="spellEnd"/>
      <w:r w:rsidRPr="00163BF5">
        <w:rPr>
          <w:color w:val="000000" w:themeColor="text1"/>
          <w:lang w:eastAsia="es-MX"/>
        </w:rPr>
        <w:t xml:space="preserve"> A. </w:t>
      </w:r>
      <w:proofErr w:type="spellStart"/>
      <w:r w:rsidRPr="00163BF5">
        <w:rPr>
          <w:color w:val="000000" w:themeColor="text1"/>
          <w:lang w:eastAsia="es-MX"/>
        </w:rPr>
        <w:t>Cançado</w:t>
      </w:r>
      <w:proofErr w:type="spellEnd"/>
      <w:r w:rsidRPr="00163BF5">
        <w:rPr>
          <w:color w:val="000000" w:themeColor="text1"/>
          <w:lang w:eastAsia="es-MX"/>
        </w:rPr>
        <w:t xml:space="preserve"> </w:t>
      </w:r>
      <w:proofErr w:type="spellStart"/>
      <w:r w:rsidRPr="00163BF5">
        <w:rPr>
          <w:color w:val="000000" w:themeColor="text1"/>
          <w:lang w:eastAsia="es-MX"/>
        </w:rPr>
        <w:t>Trindade</w:t>
      </w:r>
      <w:proofErr w:type="spellEnd"/>
      <w:r w:rsidRPr="00163BF5">
        <w:rPr>
          <w:color w:val="000000" w:themeColor="text1"/>
          <w:lang w:eastAsia="es-MX"/>
        </w:rPr>
        <w:t xml:space="preserve">]. </w:t>
      </w:r>
    </w:p>
    <w:p w14:paraId="4F75FA25" w14:textId="0A402B48" w:rsidR="008344AF" w:rsidRPr="00163BF5" w:rsidRDefault="008344AF"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(20 de noviembre de 2007). Caso García Prieto y otro Vs. El Salvador. [MP Sergio García Ramírez].</w:t>
      </w:r>
    </w:p>
    <w:p w14:paraId="5AC92A0B" w14:textId="0BEE3005" w:rsidR="008344AF" w:rsidRPr="00163BF5" w:rsidRDefault="008344AF"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(31 de agosto de 2004). Caso Ricardo </w:t>
      </w:r>
      <w:proofErr w:type="spellStart"/>
      <w:r w:rsidRPr="00163BF5">
        <w:rPr>
          <w:color w:val="000000" w:themeColor="text1"/>
          <w:lang w:eastAsia="es-MX"/>
        </w:rPr>
        <w:t>Canese</w:t>
      </w:r>
      <w:proofErr w:type="spellEnd"/>
      <w:r w:rsidRPr="00163BF5">
        <w:rPr>
          <w:color w:val="000000" w:themeColor="text1"/>
          <w:lang w:eastAsia="es-MX"/>
        </w:rPr>
        <w:t xml:space="preserve"> Vs. Paraguay. [MP Sergio García Ramírez].</w:t>
      </w:r>
    </w:p>
    <w:p w14:paraId="4BB4E551" w14:textId="2C397554" w:rsidR="008344AF" w:rsidRPr="00163BF5" w:rsidRDefault="008344AF"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(27 de noviembre de 2008). Caso Valle Jaramillo y otros Vs. Colombia. [MP </w:t>
      </w:r>
      <w:r w:rsidR="002C5260" w:rsidRPr="00163BF5">
        <w:rPr>
          <w:color w:val="000000" w:themeColor="text1"/>
          <w:lang w:eastAsia="es-MX"/>
        </w:rPr>
        <w:t>C</w:t>
      </w:r>
      <w:r w:rsidRPr="00163BF5">
        <w:rPr>
          <w:color w:val="000000" w:themeColor="text1"/>
          <w:lang w:eastAsia="es-MX"/>
        </w:rPr>
        <w:t>ecilia Medina Quiroga].</w:t>
      </w:r>
    </w:p>
    <w:p w14:paraId="3FE9BE55" w14:textId="5B85E008" w:rsidR="002C5260" w:rsidRPr="00163BF5" w:rsidRDefault="002C5260"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(22 de noviembre de 2007). Caso Albán Cornejo y otros Vs. Ecuador. [MP Sergio García Ramírez]. </w:t>
      </w:r>
    </w:p>
    <w:p w14:paraId="39F08B77" w14:textId="71AD211B" w:rsidR="002C5260" w:rsidRPr="00163BF5" w:rsidRDefault="002C5260"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(6 de abril de 2006). Caso Baldeón García Vs. Perú. [MP Sergio García Ramírez]. </w:t>
      </w:r>
    </w:p>
    <w:p w14:paraId="19DBF59B" w14:textId="6A0F2A18" w:rsidR="002C5260" w:rsidRPr="00163BF5" w:rsidRDefault="002C5260"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(10 de julio de 2007). Caso Cantoral Huamaní y García Santa Cruz Vs. Perú. [MP Sergio García Ramírez].</w:t>
      </w:r>
    </w:p>
    <w:p w14:paraId="62CED96C" w14:textId="57C85F29" w:rsidR="002C5260" w:rsidRPr="00163BF5" w:rsidRDefault="002C5260"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(2 de julio de 2004). Caso Herrera Ulloa Vs. Costa Rica. [MP Sergio García Ramírez].</w:t>
      </w:r>
    </w:p>
    <w:p w14:paraId="602331F8" w14:textId="7A9094EE" w:rsidR="00F8503F" w:rsidRPr="00163BF5" w:rsidRDefault="00F8503F"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(26 de noviembre de 2008). Caso </w:t>
      </w:r>
      <w:proofErr w:type="spellStart"/>
      <w:r w:rsidRPr="00163BF5">
        <w:rPr>
          <w:color w:val="000000" w:themeColor="text1"/>
          <w:lang w:eastAsia="es-MX"/>
        </w:rPr>
        <w:t>Tiu</w:t>
      </w:r>
      <w:proofErr w:type="spellEnd"/>
      <w:r w:rsidRPr="00163BF5">
        <w:rPr>
          <w:color w:val="000000" w:themeColor="text1"/>
          <w:lang w:eastAsia="es-MX"/>
        </w:rPr>
        <w:t xml:space="preserve"> </w:t>
      </w:r>
      <w:proofErr w:type="spellStart"/>
      <w:r w:rsidRPr="00163BF5">
        <w:rPr>
          <w:color w:val="000000" w:themeColor="text1"/>
          <w:lang w:eastAsia="es-MX"/>
        </w:rPr>
        <w:t>Tojín</w:t>
      </w:r>
      <w:proofErr w:type="spellEnd"/>
      <w:r w:rsidRPr="00163BF5">
        <w:rPr>
          <w:color w:val="000000" w:themeColor="text1"/>
          <w:lang w:eastAsia="es-MX"/>
        </w:rPr>
        <w:t xml:space="preserve"> Vs. Guatemala. [MP Cecilia Medina Quiroga].</w:t>
      </w:r>
    </w:p>
    <w:p w14:paraId="17AE6168" w14:textId="32112303" w:rsidR="00F8503F" w:rsidRPr="00163BF5" w:rsidRDefault="00F8503F"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(25 de noviembre de 2003). Caso Myrna Mack Chang Vs. Guatemala. [MP </w:t>
      </w:r>
      <w:proofErr w:type="spellStart"/>
      <w:r w:rsidRPr="00163BF5">
        <w:rPr>
          <w:color w:val="000000" w:themeColor="text1"/>
          <w:lang w:eastAsia="es-MX"/>
        </w:rPr>
        <w:t>Antônio</w:t>
      </w:r>
      <w:proofErr w:type="spellEnd"/>
      <w:r w:rsidRPr="00163BF5">
        <w:rPr>
          <w:color w:val="000000" w:themeColor="text1"/>
          <w:lang w:eastAsia="es-MX"/>
        </w:rPr>
        <w:t xml:space="preserve"> A. </w:t>
      </w:r>
      <w:proofErr w:type="spellStart"/>
      <w:r w:rsidRPr="00163BF5">
        <w:rPr>
          <w:color w:val="000000" w:themeColor="text1"/>
          <w:lang w:eastAsia="es-MX"/>
        </w:rPr>
        <w:t>Cançado</w:t>
      </w:r>
      <w:proofErr w:type="spellEnd"/>
      <w:r w:rsidRPr="00163BF5">
        <w:rPr>
          <w:color w:val="000000" w:themeColor="text1"/>
          <w:lang w:eastAsia="es-MX"/>
        </w:rPr>
        <w:t xml:space="preserve"> </w:t>
      </w:r>
      <w:proofErr w:type="spellStart"/>
      <w:r w:rsidRPr="00163BF5">
        <w:rPr>
          <w:color w:val="000000" w:themeColor="text1"/>
          <w:lang w:eastAsia="es-MX"/>
        </w:rPr>
        <w:t>Trindade</w:t>
      </w:r>
      <w:proofErr w:type="spellEnd"/>
      <w:r w:rsidRPr="00163BF5">
        <w:rPr>
          <w:color w:val="000000" w:themeColor="text1"/>
          <w:lang w:eastAsia="es-MX"/>
        </w:rPr>
        <w:t>].</w:t>
      </w:r>
    </w:p>
    <w:p w14:paraId="5678F95D" w14:textId="4B4CE842" w:rsidR="00F8503F" w:rsidRPr="00163BF5" w:rsidRDefault="00F8503F"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(7 de junio de 2003). Caso Juan Humberto Sánchez Vs. Honduras. [MP </w:t>
      </w:r>
      <w:proofErr w:type="spellStart"/>
      <w:r w:rsidRPr="00163BF5">
        <w:rPr>
          <w:color w:val="000000" w:themeColor="text1"/>
          <w:lang w:eastAsia="es-MX"/>
        </w:rPr>
        <w:t>Antônio</w:t>
      </w:r>
      <w:proofErr w:type="spellEnd"/>
      <w:r w:rsidRPr="00163BF5">
        <w:rPr>
          <w:color w:val="000000" w:themeColor="text1"/>
          <w:lang w:eastAsia="es-MX"/>
        </w:rPr>
        <w:t xml:space="preserve"> A. </w:t>
      </w:r>
      <w:proofErr w:type="spellStart"/>
      <w:r w:rsidRPr="00163BF5">
        <w:rPr>
          <w:color w:val="000000" w:themeColor="text1"/>
          <w:lang w:eastAsia="es-MX"/>
        </w:rPr>
        <w:t>Cançado</w:t>
      </w:r>
      <w:proofErr w:type="spellEnd"/>
      <w:r w:rsidRPr="00163BF5">
        <w:rPr>
          <w:color w:val="000000" w:themeColor="text1"/>
          <w:lang w:eastAsia="es-MX"/>
        </w:rPr>
        <w:t xml:space="preserve"> </w:t>
      </w:r>
      <w:proofErr w:type="spellStart"/>
      <w:r w:rsidRPr="00163BF5">
        <w:rPr>
          <w:color w:val="000000" w:themeColor="text1"/>
          <w:lang w:eastAsia="es-MX"/>
        </w:rPr>
        <w:t>Trindade</w:t>
      </w:r>
      <w:proofErr w:type="spellEnd"/>
      <w:r w:rsidRPr="00163BF5">
        <w:rPr>
          <w:color w:val="000000" w:themeColor="text1"/>
          <w:lang w:eastAsia="es-MX"/>
        </w:rPr>
        <w:t>].</w:t>
      </w:r>
    </w:p>
    <w:p w14:paraId="6076FC4C" w14:textId="2EE9D379" w:rsidR="00F8503F" w:rsidRPr="00163BF5" w:rsidRDefault="00F8503F"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(28 de enero de 2009). Caso Ríos y otros Vs. Venezuela. [MP Cecilia Medina Quiroga].</w:t>
      </w:r>
    </w:p>
    <w:p w14:paraId="5B62A3D8" w14:textId="0E3320F1" w:rsidR="00F8503F" w:rsidRPr="00163BF5" w:rsidRDefault="00F8503F"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(19 de noviembre de 1999). Caso de los “Niños de la Calle” (Villagrán Morales y otros) Vs. Guatemala. [MP </w:t>
      </w:r>
      <w:proofErr w:type="spellStart"/>
      <w:r w:rsidRPr="00163BF5">
        <w:rPr>
          <w:color w:val="000000" w:themeColor="text1"/>
          <w:lang w:eastAsia="es-MX"/>
        </w:rPr>
        <w:t>Antônio</w:t>
      </w:r>
      <w:proofErr w:type="spellEnd"/>
      <w:r w:rsidRPr="00163BF5">
        <w:rPr>
          <w:color w:val="000000" w:themeColor="text1"/>
          <w:lang w:eastAsia="es-MX"/>
        </w:rPr>
        <w:t xml:space="preserve"> A. </w:t>
      </w:r>
      <w:proofErr w:type="spellStart"/>
      <w:r w:rsidRPr="00163BF5">
        <w:rPr>
          <w:color w:val="000000" w:themeColor="text1"/>
          <w:lang w:eastAsia="es-MX"/>
        </w:rPr>
        <w:t>Cançado</w:t>
      </w:r>
      <w:proofErr w:type="spellEnd"/>
      <w:r w:rsidRPr="00163BF5">
        <w:rPr>
          <w:color w:val="000000" w:themeColor="text1"/>
          <w:lang w:eastAsia="es-MX"/>
        </w:rPr>
        <w:t xml:space="preserve"> </w:t>
      </w:r>
      <w:proofErr w:type="spellStart"/>
      <w:r w:rsidRPr="00163BF5">
        <w:rPr>
          <w:color w:val="000000" w:themeColor="text1"/>
          <w:lang w:eastAsia="es-MX"/>
        </w:rPr>
        <w:t>Trindade</w:t>
      </w:r>
      <w:proofErr w:type="spellEnd"/>
      <w:r w:rsidRPr="00163BF5">
        <w:rPr>
          <w:color w:val="000000" w:themeColor="text1"/>
          <w:lang w:eastAsia="es-MX"/>
        </w:rPr>
        <w:t>].</w:t>
      </w:r>
    </w:p>
    <w:p w14:paraId="5A8368A2" w14:textId="472E2AB0" w:rsidR="00F8503F" w:rsidRPr="00163BF5" w:rsidRDefault="00F8503F"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(15 de septiembre de 2005). Caso de la “Masacre de Mapiripán” Vs. Colombia. [MP Sergio García Ramírez].</w:t>
      </w:r>
    </w:p>
    <w:p w14:paraId="51288B36" w14:textId="4A81E675" w:rsidR="00F8503F" w:rsidRPr="00163BF5" w:rsidRDefault="00F8503F"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(25 de noviembre de 2006). Caso del Penal Miguel Castro </w:t>
      </w:r>
      <w:proofErr w:type="spellStart"/>
      <w:r w:rsidRPr="00163BF5">
        <w:rPr>
          <w:color w:val="000000" w:themeColor="text1"/>
          <w:lang w:eastAsia="es-MX"/>
        </w:rPr>
        <w:t>Castro</w:t>
      </w:r>
      <w:proofErr w:type="spellEnd"/>
      <w:r w:rsidRPr="00163BF5">
        <w:rPr>
          <w:color w:val="000000" w:themeColor="text1"/>
          <w:lang w:eastAsia="es-MX"/>
        </w:rPr>
        <w:t xml:space="preserve"> Vs. Perú. [MP Sergio García Ramírez].</w:t>
      </w:r>
    </w:p>
    <w:p w14:paraId="7472E1E1" w14:textId="274EAC02" w:rsidR="00F8503F" w:rsidRPr="00163BF5" w:rsidRDefault="00F8503F"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(4 de julio de 2007). Caso </w:t>
      </w:r>
      <w:proofErr w:type="spellStart"/>
      <w:r w:rsidRPr="00163BF5">
        <w:rPr>
          <w:color w:val="000000" w:themeColor="text1"/>
          <w:lang w:eastAsia="es-MX"/>
        </w:rPr>
        <w:t>Escué</w:t>
      </w:r>
      <w:proofErr w:type="spellEnd"/>
      <w:r w:rsidRPr="00163BF5">
        <w:rPr>
          <w:color w:val="000000" w:themeColor="text1"/>
          <w:lang w:eastAsia="es-MX"/>
        </w:rPr>
        <w:t xml:space="preserve"> Zapata Vs. Colombia</w:t>
      </w:r>
      <w:r w:rsidR="00664439" w:rsidRPr="00163BF5">
        <w:rPr>
          <w:color w:val="000000" w:themeColor="text1"/>
          <w:lang w:eastAsia="es-MX"/>
        </w:rPr>
        <w:t>. [MP Sergio García Ramírez].</w:t>
      </w:r>
    </w:p>
    <w:p w14:paraId="0BA879CC" w14:textId="1B2DD22C" w:rsidR="00664439" w:rsidRPr="00163BF5" w:rsidRDefault="00664439"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(28 de febrero de 2003). Caso “Cinco Pensionistas” Vs. Perú. [MP </w:t>
      </w:r>
      <w:proofErr w:type="spellStart"/>
      <w:r w:rsidRPr="00163BF5">
        <w:rPr>
          <w:color w:val="000000" w:themeColor="text1"/>
          <w:lang w:eastAsia="es-MX"/>
        </w:rPr>
        <w:t>Antônio</w:t>
      </w:r>
      <w:proofErr w:type="spellEnd"/>
      <w:r w:rsidRPr="00163BF5">
        <w:rPr>
          <w:color w:val="000000" w:themeColor="text1"/>
          <w:lang w:eastAsia="es-MX"/>
        </w:rPr>
        <w:t xml:space="preserve"> A. </w:t>
      </w:r>
      <w:proofErr w:type="spellStart"/>
      <w:r w:rsidRPr="00163BF5">
        <w:rPr>
          <w:color w:val="000000" w:themeColor="text1"/>
          <w:lang w:eastAsia="es-MX"/>
        </w:rPr>
        <w:t>Cançado</w:t>
      </w:r>
      <w:proofErr w:type="spellEnd"/>
      <w:r w:rsidRPr="00163BF5">
        <w:rPr>
          <w:color w:val="000000" w:themeColor="text1"/>
          <w:lang w:eastAsia="es-MX"/>
        </w:rPr>
        <w:t xml:space="preserve"> </w:t>
      </w:r>
      <w:proofErr w:type="spellStart"/>
      <w:r w:rsidRPr="00163BF5">
        <w:rPr>
          <w:color w:val="000000" w:themeColor="text1"/>
          <w:lang w:eastAsia="es-MX"/>
        </w:rPr>
        <w:t>Trindade</w:t>
      </w:r>
      <w:proofErr w:type="spellEnd"/>
      <w:r w:rsidRPr="00163BF5">
        <w:rPr>
          <w:color w:val="000000" w:themeColor="text1"/>
          <w:lang w:eastAsia="es-MX"/>
        </w:rPr>
        <w:t>].</w:t>
      </w:r>
    </w:p>
    <w:p w14:paraId="2E4C5141" w14:textId="42BDAE9E" w:rsidR="00664439" w:rsidRPr="00163BF5" w:rsidRDefault="00664439"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(21 de septiembre de 2006). Caso Servellón García y otros Vs. Honduras. [MP Sergio García Ramírez].</w:t>
      </w:r>
    </w:p>
    <w:p w14:paraId="01E0C81B" w14:textId="374BEEF4" w:rsidR="00953F53" w:rsidRPr="00163BF5" w:rsidRDefault="00953F53"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(18 de enero de 1995). Caso El Amparo Vs. Venezuela. [MP Héctor </w:t>
      </w:r>
      <w:proofErr w:type="spellStart"/>
      <w:r w:rsidRPr="00163BF5">
        <w:rPr>
          <w:color w:val="000000" w:themeColor="text1"/>
          <w:lang w:eastAsia="es-MX"/>
        </w:rPr>
        <w:t>Fix</w:t>
      </w:r>
      <w:proofErr w:type="spellEnd"/>
      <w:r w:rsidRPr="00163BF5">
        <w:rPr>
          <w:color w:val="000000" w:themeColor="text1"/>
          <w:lang w:eastAsia="es-MX"/>
        </w:rPr>
        <w:t>-Zamudio].</w:t>
      </w:r>
    </w:p>
    <w:p w14:paraId="4F8A0623" w14:textId="32E4FA41" w:rsidR="00664439" w:rsidRPr="00163BF5" w:rsidRDefault="00664439"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(3 de abril de 2009). Caso </w:t>
      </w:r>
      <w:proofErr w:type="spellStart"/>
      <w:r w:rsidRPr="00163BF5">
        <w:rPr>
          <w:color w:val="000000" w:themeColor="text1"/>
          <w:lang w:eastAsia="es-MX"/>
        </w:rPr>
        <w:t>Kawas</w:t>
      </w:r>
      <w:proofErr w:type="spellEnd"/>
      <w:r w:rsidRPr="00163BF5">
        <w:rPr>
          <w:color w:val="000000" w:themeColor="text1"/>
          <w:lang w:eastAsia="es-MX"/>
        </w:rPr>
        <w:t xml:space="preserve"> Fernández Vs. Honduras. [MP Cecilia Medina Quiroga].</w:t>
      </w:r>
    </w:p>
    <w:p w14:paraId="156161BD" w14:textId="4295C793" w:rsidR="00953F53" w:rsidRPr="00163BF5" w:rsidRDefault="00953F53"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(26 de septiembre de 2006). Caso Vargas Areco Vs. Paraguay. [MP Sergio García Ramírez].</w:t>
      </w:r>
    </w:p>
    <w:p w14:paraId="7A3854F3" w14:textId="46B44961" w:rsidR="00193B95" w:rsidRPr="00163BF5" w:rsidRDefault="00193B95"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(26 de septiembre de 2006). Caso Almonacid Arellano y otros Vs. Chile. [MP Sergio García Ramírez].</w:t>
      </w:r>
    </w:p>
    <w:p w14:paraId="17A8CA24" w14:textId="77777777" w:rsidR="002258A5" w:rsidRPr="00163BF5" w:rsidRDefault="002258A5"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(25 de mayo de 2010). Caso </w:t>
      </w:r>
      <w:proofErr w:type="spellStart"/>
      <w:r w:rsidRPr="00163BF5">
        <w:rPr>
          <w:color w:val="000000" w:themeColor="text1"/>
          <w:lang w:eastAsia="es-MX"/>
        </w:rPr>
        <w:t>Chitay</w:t>
      </w:r>
      <w:proofErr w:type="spellEnd"/>
      <w:r w:rsidRPr="00163BF5">
        <w:rPr>
          <w:color w:val="000000" w:themeColor="text1"/>
          <w:lang w:eastAsia="es-MX"/>
        </w:rPr>
        <w:t xml:space="preserve"> </w:t>
      </w:r>
      <w:proofErr w:type="spellStart"/>
      <w:r w:rsidRPr="00163BF5">
        <w:rPr>
          <w:color w:val="000000" w:themeColor="text1"/>
          <w:lang w:eastAsia="es-MX"/>
        </w:rPr>
        <w:t>Nech</w:t>
      </w:r>
      <w:proofErr w:type="spellEnd"/>
      <w:r w:rsidRPr="00163BF5">
        <w:rPr>
          <w:color w:val="000000" w:themeColor="text1"/>
          <w:lang w:eastAsia="es-MX"/>
        </w:rPr>
        <w:t xml:space="preserve"> y otros Vs. Guatemala. [MP Diego García- Sayán]. </w:t>
      </w:r>
    </w:p>
    <w:p w14:paraId="415F851E" w14:textId="77777777" w:rsidR="002258A5" w:rsidRPr="00163BF5" w:rsidRDefault="002258A5"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(14 de septiembre de 2014). Caso Rodríguez Vera y otros (Desaparecidos del Palacio de Justicia) Vs. Colombia. [MP Roberto F. Caldas]</w:t>
      </w:r>
    </w:p>
    <w:p w14:paraId="0882B907" w14:textId="77777777" w:rsidR="002258A5" w:rsidRPr="00163BF5" w:rsidRDefault="002258A5"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(21 de enero de 1994). Caso </w:t>
      </w:r>
      <w:proofErr w:type="spellStart"/>
      <w:r w:rsidRPr="00163BF5">
        <w:rPr>
          <w:color w:val="000000" w:themeColor="text1"/>
          <w:lang w:eastAsia="es-MX"/>
        </w:rPr>
        <w:t>Gangaram</w:t>
      </w:r>
      <w:proofErr w:type="spellEnd"/>
      <w:r w:rsidRPr="00163BF5">
        <w:rPr>
          <w:color w:val="000000" w:themeColor="text1"/>
          <w:lang w:eastAsia="es-MX"/>
        </w:rPr>
        <w:t xml:space="preserve"> </w:t>
      </w:r>
      <w:proofErr w:type="spellStart"/>
      <w:r w:rsidRPr="00163BF5">
        <w:rPr>
          <w:color w:val="000000" w:themeColor="text1"/>
          <w:lang w:eastAsia="es-MX"/>
        </w:rPr>
        <w:t>Panday</w:t>
      </w:r>
      <w:proofErr w:type="spellEnd"/>
      <w:r w:rsidRPr="00163BF5">
        <w:rPr>
          <w:color w:val="000000" w:themeColor="text1"/>
          <w:lang w:eastAsia="es-MX"/>
        </w:rPr>
        <w:t xml:space="preserve"> Vs. </w:t>
      </w:r>
      <w:proofErr w:type="spellStart"/>
      <w:r w:rsidRPr="00163BF5">
        <w:rPr>
          <w:color w:val="000000" w:themeColor="text1"/>
          <w:lang w:eastAsia="es-MX"/>
        </w:rPr>
        <w:t>Suriname</w:t>
      </w:r>
      <w:proofErr w:type="spellEnd"/>
      <w:r w:rsidRPr="00163BF5">
        <w:rPr>
          <w:color w:val="000000" w:themeColor="text1"/>
          <w:lang w:eastAsia="es-MX"/>
        </w:rPr>
        <w:t xml:space="preserve">. (MP Rafael Nieto Navia) </w:t>
      </w:r>
    </w:p>
    <w:p w14:paraId="1A00EEF4" w14:textId="77777777" w:rsidR="002258A5" w:rsidRPr="00163BF5" w:rsidRDefault="002258A5"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(21 de noviembre de 2007). Caso Chaparro Álvarez y Lapo Íñiguez Vs. Ecuador. [MP Sergio García Ramírez].</w:t>
      </w:r>
    </w:p>
    <w:p w14:paraId="0D6FDE1E" w14:textId="78ED1DA7" w:rsidR="002258A5" w:rsidRPr="00163BF5" w:rsidRDefault="002258A5"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(11 mayo de 2007). Caso Masacre de la Rochela Vs. Colombia. [MP Sergio García Ramírez].</w:t>
      </w:r>
    </w:p>
    <w:p w14:paraId="57C6B751" w14:textId="29551BA7" w:rsidR="00653733" w:rsidRPr="00163BF5" w:rsidRDefault="00653733"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Humanos.(23 de noviembre de 2009). Caso Rosendo Radilla </w:t>
      </w:r>
      <w:proofErr w:type="spellStart"/>
      <w:r w:rsidRPr="00163BF5">
        <w:rPr>
          <w:color w:val="000000" w:themeColor="text1"/>
          <w:lang w:eastAsia="es-MX"/>
        </w:rPr>
        <w:t>Pachecho</w:t>
      </w:r>
      <w:proofErr w:type="spellEnd"/>
      <w:r w:rsidRPr="00163BF5">
        <w:rPr>
          <w:color w:val="000000" w:themeColor="text1"/>
          <w:lang w:eastAsia="es-MX"/>
        </w:rPr>
        <w:t xml:space="preserve"> Vs. Estados Unidos Mexicanos. [MP Cecilia Medina Quiroga].</w:t>
      </w:r>
    </w:p>
    <w:p w14:paraId="6A67A0CE" w14:textId="65E03278" w:rsidR="00953F53" w:rsidRPr="00163BF5" w:rsidRDefault="00953F53"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(24 de febrero de 2011). Caso Gelman Vs. Uruguay. [MP Diego García- Sayán]</w:t>
      </w:r>
    </w:p>
    <w:p w14:paraId="64FD19E1" w14:textId="3379F6FB" w:rsidR="00653733" w:rsidRPr="00163BF5" w:rsidRDefault="00653733" w:rsidP="00656CF6">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(20 de noviembre de 2012). Caso Álvarez y otros (“Diario Militar”) Vs. Guatemala. [MP Diego García- Sayán]</w:t>
      </w:r>
    </w:p>
    <w:p w14:paraId="616FED66" w14:textId="6BB674F8" w:rsidR="00193B95" w:rsidRPr="00163BF5" w:rsidRDefault="00193B95"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(25 de noviembre de 2003). Voto concurrente razonado a la </w:t>
      </w:r>
      <w:proofErr w:type="spellStart"/>
      <w:r w:rsidRPr="00163BF5">
        <w:rPr>
          <w:color w:val="000000" w:themeColor="text1"/>
          <w:lang w:eastAsia="es-MX"/>
        </w:rPr>
        <w:t>sentecia</w:t>
      </w:r>
      <w:proofErr w:type="spellEnd"/>
      <w:r w:rsidRPr="00163BF5">
        <w:rPr>
          <w:color w:val="000000" w:themeColor="text1"/>
          <w:lang w:eastAsia="es-MX"/>
        </w:rPr>
        <w:t xml:space="preserve"> del Caso Mack Chang Vs. Guatemala. </w:t>
      </w:r>
      <w:r w:rsidR="00953F53" w:rsidRPr="00163BF5">
        <w:rPr>
          <w:color w:val="000000" w:themeColor="text1"/>
          <w:lang w:eastAsia="es-MX"/>
        </w:rPr>
        <w:t>[MP Sergio García Ramírez].</w:t>
      </w:r>
    </w:p>
    <w:p w14:paraId="4FEF1D38" w14:textId="7780CB44" w:rsidR="00193B95" w:rsidRPr="00163BF5" w:rsidRDefault="00953F53" w:rsidP="00656CF6">
      <w:pPr>
        <w:pStyle w:val="NormalWeb"/>
        <w:spacing w:line="360" w:lineRule="auto"/>
        <w:ind w:left="709" w:hanging="709"/>
        <w:jc w:val="both"/>
        <w:rPr>
          <w:color w:val="000000" w:themeColor="text1"/>
          <w:lang w:eastAsia="es-MX"/>
        </w:rPr>
      </w:pPr>
      <w:r w:rsidRPr="00163BF5">
        <w:rPr>
          <w:color w:val="000000" w:themeColor="text1"/>
          <w:lang w:eastAsia="es-MX"/>
        </w:rPr>
        <w:t xml:space="preserve">Corte Interamericana de Derechos Humanos. (14 de septiembre de 1996). Voto disidente a la sentencia del Caso El Amparo Vs. Venezuela. [MP </w:t>
      </w:r>
      <w:proofErr w:type="spellStart"/>
      <w:r w:rsidRPr="00163BF5">
        <w:rPr>
          <w:color w:val="000000" w:themeColor="text1"/>
          <w:lang w:eastAsia="es-MX"/>
        </w:rPr>
        <w:t>Antônio</w:t>
      </w:r>
      <w:proofErr w:type="spellEnd"/>
      <w:r w:rsidRPr="00163BF5">
        <w:rPr>
          <w:color w:val="000000" w:themeColor="text1"/>
          <w:lang w:eastAsia="es-MX"/>
        </w:rPr>
        <w:t xml:space="preserve"> A. </w:t>
      </w:r>
      <w:proofErr w:type="spellStart"/>
      <w:r w:rsidRPr="00163BF5">
        <w:rPr>
          <w:color w:val="000000" w:themeColor="text1"/>
          <w:lang w:eastAsia="es-MX"/>
        </w:rPr>
        <w:t>Cançado</w:t>
      </w:r>
      <w:proofErr w:type="spellEnd"/>
      <w:r w:rsidRPr="00163BF5">
        <w:rPr>
          <w:color w:val="000000" w:themeColor="text1"/>
          <w:lang w:eastAsia="es-MX"/>
        </w:rPr>
        <w:t xml:space="preserve"> </w:t>
      </w:r>
      <w:proofErr w:type="spellStart"/>
      <w:r w:rsidRPr="00163BF5">
        <w:rPr>
          <w:color w:val="000000" w:themeColor="text1"/>
          <w:lang w:eastAsia="es-MX"/>
        </w:rPr>
        <w:t>Trindade</w:t>
      </w:r>
      <w:proofErr w:type="spellEnd"/>
      <w:r w:rsidRPr="00163BF5">
        <w:rPr>
          <w:color w:val="000000" w:themeColor="text1"/>
          <w:lang w:eastAsia="es-MX"/>
        </w:rPr>
        <w:t>].</w:t>
      </w:r>
    </w:p>
    <w:p w14:paraId="51B9E6A9" w14:textId="5368BD51" w:rsidR="00691D4D" w:rsidRPr="00163BF5" w:rsidRDefault="00953F53" w:rsidP="00990F54">
      <w:pPr>
        <w:pStyle w:val="NormalWeb"/>
        <w:spacing w:line="360" w:lineRule="auto"/>
        <w:ind w:left="709" w:hanging="709"/>
        <w:jc w:val="both"/>
        <w:rPr>
          <w:color w:val="000000" w:themeColor="text1"/>
          <w:lang w:eastAsia="es-MX"/>
        </w:rPr>
      </w:pPr>
      <w:r w:rsidRPr="00163BF5">
        <w:rPr>
          <w:color w:val="000000" w:themeColor="text1"/>
          <w:lang w:eastAsia="es-MX"/>
        </w:rPr>
        <w:t>Corte Interamericana de Derechos Humanos. (26 de septiembre de 2006). Voto razonado a la sentencia del Caso Vargas Areco Vs. Paraguay. [MP Sergio García Ramírez]</w:t>
      </w:r>
      <w:r w:rsidR="00653733" w:rsidRPr="00163BF5">
        <w:rPr>
          <w:color w:val="000000" w:themeColor="text1"/>
          <w:lang w:eastAsia="es-MX"/>
        </w:rPr>
        <w:t xml:space="preserve">. </w:t>
      </w:r>
    </w:p>
    <w:p w14:paraId="7433AFA1" w14:textId="7DE5A035" w:rsidR="004D5B6D" w:rsidRPr="00163BF5" w:rsidRDefault="004D5B6D" w:rsidP="00990F54">
      <w:pPr>
        <w:pStyle w:val="NormalWeb"/>
        <w:spacing w:line="360" w:lineRule="auto"/>
        <w:ind w:left="709" w:hanging="709"/>
        <w:jc w:val="both"/>
        <w:rPr>
          <w:color w:val="000000" w:themeColor="text1"/>
          <w:lang w:eastAsia="es-MX"/>
        </w:rPr>
      </w:pPr>
    </w:p>
    <w:p w14:paraId="6D4000AB" w14:textId="77777777" w:rsidR="004D5B6D" w:rsidRPr="00163BF5" w:rsidRDefault="004D5B6D" w:rsidP="00990F54">
      <w:pPr>
        <w:pStyle w:val="NormalWeb"/>
        <w:spacing w:line="360" w:lineRule="auto"/>
        <w:ind w:left="709" w:hanging="709"/>
        <w:jc w:val="both"/>
        <w:rPr>
          <w:color w:val="000000" w:themeColor="text1"/>
          <w:lang w:eastAsia="es-MX"/>
        </w:rPr>
      </w:pPr>
    </w:p>
    <w:p w14:paraId="26713DF4" w14:textId="6162828B" w:rsidR="00691D4D" w:rsidRPr="00163BF5" w:rsidRDefault="00691D4D" w:rsidP="00EC61D4">
      <w:pPr>
        <w:spacing w:line="480" w:lineRule="auto"/>
        <w:rPr>
          <w:b/>
          <w:bCs/>
          <w:color w:val="000000" w:themeColor="text1"/>
          <w:lang w:val="es-ES_tradnl" w:eastAsia="es-ES_tradnl"/>
        </w:rPr>
      </w:pPr>
    </w:p>
    <w:p w14:paraId="2954672E" w14:textId="461505D8" w:rsidR="00691D4D" w:rsidRPr="00163BF5" w:rsidRDefault="00691D4D" w:rsidP="002959E1">
      <w:pPr>
        <w:pStyle w:val="Ttulo2"/>
        <w:jc w:val="center"/>
        <w:rPr>
          <w:lang w:val="es-ES_tradnl"/>
        </w:rPr>
      </w:pPr>
      <w:bookmarkStart w:id="75" w:name="_Toc67513424"/>
      <w:r w:rsidRPr="00163BF5">
        <w:rPr>
          <w:lang w:val="es-ES_tradnl"/>
        </w:rPr>
        <w:t>ANEXOS</w:t>
      </w:r>
      <w:bookmarkEnd w:id="75"/>
    </w:p>
    <w:p w14:paraId="2F8E0D94" w14:textId="4CD65899" w:rsidR="00691D4D" w:rsidRPr="00163BF5" w:rsidRDefault="00691D4D" w:rsidP="00691D4D">
      <w:pPr>
        <w:pStyle w:val="Ttulo3"/>
        <w:jc w:val="center"/>
        <w:rPr>
          <w:lang w:val="es-ES_tradnl"/>
        </w:rPr>
      </w:pPr>
      <w:bookmarkStart w:id="76" w:name="_Toc67513425"/>
      <w:r w:rsidRPr="00163BF5">
        <w:rPr>
          <w:lang w:val="es-ES_tradnl"/>
        </w:rPr>
        <w:t>Anexo 1</w:t>
      </w:r>
      <w:bookmarkEnd w:id="76"/>
    </w:p>
    <w:p w14:paraId="75E67DD4" w14:textId="77777777" w:rsidR="00691D4D" w:rsidRPr="00163BF5" w:rsidRDefault="00691D4D" w:rsidP="00691D4D">
      <w:pPr>
        <w:spacing w:line="480" w:lineRule="auto"/>
        <w:ind w:left="708" w:firstLine="1"/>
        <w:jc w:val="center"/>
        <w:rPr>
          <w:rFonts w:eastAsia="Calibri"/>
          <w:color w:val="000000" w:themeColor="text1"/>
          <w:lang w:val="es-ES" w:eastAsia="es-ES_tradnl"/>
        </w:rPr>
      </w:pPr>
      <w:r w:rsidRPr="00163BF5">
        <w:rPr>
          <w:rFonts w:eastAsia="Calibri"/>
          <w:color w:val="000000" w:themeColor="text1"/>
          <w:lang w:val="es-ES" w:eastAsia="es-ES_tradnl"/>
        </w:rPr>
        <w:t>Tabla 1: Tabla comparativa entre los elementos de la desaparición forzada y voluntaria</w:t>
      </w:r>
    </w:p>
    <w:tbl>
      <w:tblPr>
        <w:tblStyle w:val="Tablaconcuadrcula"/>
        <w:tblW w:w="8011" w:type="dxa"/>
        <w:tblInd w:w="631" w:type="dxa"/>
        <w:tblLook w:val="04A0" w:firstRow="1" w:lastRow="0" w:firstColumn="1" w:lastColumn="0" w:noHBand="0" w:noVBand="1"/>
      </w:tblPr>
      <w:tblGrid>
        <w:gridCol w:w="2766"/>
        <w:gridCol w:w="2835"/>
        <w:gridCol w:w="2410"/>
      </w:tblGrid>
      <w:tr w:rsidR="00691D4D" w:rsidRPr="00163BF5" w14:paraId="0013BC55" w14:textId="77777777" w:rsidTr="00304691">
        <w:tc>
          <w:tcPr>
            <w:tcW w:w="2766" w:type="dxa"/>
          </w:tcPr>
          <w:p w14:paraId="26761C63" w14:textId="77777777" w:rsidR="00691D4D" w:rsidRPr="00163BF5" w:rsidRDefault="00691D4D" w:rsidP="00304691">
            <w:pPr>
              <w:rPr>
                <w:color w:val="000000" w:themeColor="text1"/>
                <w:lang w:val="es-ES"/>
              </w:rPr>
            </w:pPr>
            <w:r w:rsidRPr="00163BF5">
              <w:rPr>
                <w:color w:val="000000" w:themeColor="text1"/>
                <w:lang w:val="es-ES"/>
              </w:rPr>
              <w:t xml:space="preserve">Elementos </w:t>
            </w:r>
          </w:p>
        </w:tc>
        <w:tc>
          <w:tcPr>
            <w:tcW w:w="2835" w:type="dxa"/>
          </w:tcPr>
          <w:p w14:paraId="1C2BCADF" w14:textId="77777777" w:rsidR="00691D4D" w:rsidRPr="00163BF5" w:rsidRDefault="00691D4D" w:rsidP="00304691">
            <w:pPr>
              <w:rPr>
                <w:color w:val="000000" w:themeColor="text1"/>
                <w:lang w:val="es-ES"/>
              </w:rPr>
            </w:pPr>
            <w:r w:rsidRPr="00163BF5">
              <w:rPr>
                <w:color w:val="000000" w:themeColor="text1"/>
                <w:lang w:val="es-ES"/>
              </w:rPr>
              <w:t>Desaparición Involuntaria</w:t>
            </w:r>
          </w:p>
        </w:tc>
        <w:tc>
          <w:tcPr>
            <w:tcW w:w="2410" w:type="dxa"/>
          </w:tcPr>
          <w:p w14:paraId="57129CBC" w14:textId="77777777" w:rsidR="00691D4D" w:rsidRPr="00163BF5" w:rsidRDefault="00691D4D" w:rsidP="00304691">
            <w:pPr>
              <w:rPr>
                <w:color w:val="000000" w:themeColor="text1"/>
                <w:lang w:val="es-ES"/>
              </w:rPr>
            </w:pPr>
            <w:r w:rsidRPr="00163BF5">
              <w:rPr>
                <w:color w:val="000000" w:themeColor="text1"/>
                <w:lang w:val="es-ES"/>
              </w:rPr>
              <w:t>Desaparición Forzada</w:t>
            </w:r>
          </w:p>
        </w:tc>
      </w:tr>
      <w:tr w:rsidR="00691D4D" w:rsidRPr="00163BF5" w14:paraId="42731CDE" w14:textId="77777777" w:rsidTr="00304691">
        <w:tc>
          <w:tcPr>
            <w:tcW w:w="2766" w:type="dxa"/>
          </w:tcPr>
          <w:p w14:paraId="102CA8CD" w14:textId="77777777" w:rsidR="00691D4D" w:rsidRPr="00163BF5" w:rsidRDefault="00691D4D" w:rsidP="00304691">
            <w:pPr>
              <w:rPr>
                <w:color w:val="000000" w:themeColor="text1"/>
                <w:lang w:val="es-ES"/>
              </w:rPr>
            </w:pPr>
            <w:r w:rsidRPr="00163BF5">
              <w:rPr>
                <w:color w:val="000000" w:themeColor="text1"/>
                <w:lang w:val="es-ES"/>
              </w:rPr>
              <w:t xml:space="preserve">Privación ilegal de la libertad </w:t>
            </w:r>
          </w:p>
        </w:tc>
        <w:tc>
          <w:tcPr>
            <w:tcW w:w="2835" w:type="dxa"/>
          </w:tcPr>
          <w:p w14:paraId="1C54827D" w14:textId="77777777" w:rsidR="00691D4D" w:rsidRPr="00163BF5" w:rsidRDefault="00691D4D" w:rsidP="00304691">
            <w:pPr>
              <w:rPr>
                <w:color w:val="000000" w:themeColor="text1"/>
                <w:lang w:val="es-ES"/>
              </w:rPr>
            </w:pPr>
            <w:r w:rsidRPr="00163BF5">
              <w:rPr>
                <w:noProof/>
                <w:color w:val="000000" w:themeColor="text1"/>
              </w:rPr>
              <w:drawing>
                <wp:anchor distT="0" distB="0" distL="114300" distR="114300" simplePos="0" relativeHeight="251672576" behindDoc="0" locked="0" layoutInCell="1" allowOverlap="1" wp14:anchorId="331FF705" wp14:editId="6C543E66">
                  <wp:simplePos x="0" y="0"/>
                  <wp:positionH relativeFrom="column">
                    <wp:posOffset>618162</wp:posOffset>
                  </wp:positionH>
                  <wp:positionV relativeFrom="paragraph">
                    <wp:posOffset>57762</wp:posOffset>
                  </wp:positionV>
                  <wp:extent cx="273685" cy="273685"/>
                  <wp:effectExtent l="0" t="0" r="5715" b="5715"/>
                  <wp:wrapThrough wrapText="bothSides">
                    <wp:wrapPolygon edited="0">
                      <wp:start x="0" y="0"/>
                      <wp:lineTo x="0" y="21049"/>
                      <wp:lineTo x="21049" y="21049"/>
                      <wp:lineTo x="21049" y="0"/>
                      <wp:lineTo x="0"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3685" cy="273685"/>
                          </a:xfrm>
                          <a:prstGeom prst="rect">
                            <a:avLst/>
                          </a:prstGeom>
                        </pic:spPr>
                      </pic:pic>
                    </a:graphicData>
                  </a:graphic>
                  <wp14:sizeRelH relativeFrom="margin">
                    <wp14:pctWidth>0</wp14:pctWidth>
                  </wp14:sizeRelH>
                  <wp14:sizeRelV relativeFrom="margin">
                    <wp14:pctHeight>0</wp14:pctHeight>
                  </wp14:sizeRelV>
                </wp:anchor>
              </w:drawing>
            </w:r>
          </w:p>
        </w:tc>
        <w:tc>
          <w:tcPr>
            <w:tcW w:w="2410" w:type="dxa"/>
          </w:tcPr>
          <w:p w14:paraId="711EB783" w14:textId="77777777" w:rsidR="00691D4D" w:rsidRPr="00163BF5" w:rsidRDefault="00691D4D" w:rsidP="00304691">
            <w:pPr>
              <w:rPr>
                <w:color w:val="000000" w:themeColor="text1"/>
                <w:lang w:val="es-ES"/>
              </w:rPr>
            </w:pPr>
            <w:r w:rsidRPr="00163BF5">
              <w:rPr>
                <w:noProof/>
                <w:color w:val="000000" w:themeColor="text1"/>
              </w:rPr>
              <w:drawing>
                <wp:anchor distT="0" distB="0" distL="114300" distR="114300" simplePos="0" relativeHeight="251671552" behindDoc="0" locked="0" layoutInCell="1" allowOverlap="1" wp14:anchorId="76EAC91C" wp14:editId="28323354">
                  <wp:simplePos x="0" y="0"/>
                  <wp:positionH relativeFrom="column">
                    <wp:posOffset>512345</wp:posOffset>
                  </wp:positionH>
                  <wp:positionV relativeFrom="paragraph">
                    <wp:posOffset>49544</wp:posOffset>
                  </wp:positionV>
                  <wp:extent cx="295275" cy="243840"/>
                  <wp:effectExtent l="0" t="0" r="0" b="0"/>
                  <wp:wrapThrough wrapText="bothSides">
                    <wp:wrapPolygon edited="0">
                      <wp:start x="0" y="0"/>
                      <wp:lineTo x="0" y="20250"/>
                      <wp:lineTo x="20439" y="20250"/>
                      <wp:lineTo x="20439" y="0"/>
                      <wp:lineTo x="0" y="0"/>
                    </wp:wrapPolygon>
                  </wp:wrapThrough>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5275" cy="243840"/>
                          </a:xfrm>
                          <a:prstGeom prst="rect">
                            <a:avLst/>
                          </a:prstGeom>
                        </pic:spPr>
                      </pic:pic>
                    </a:graphicData>
                  </a:graphic>
                  <wp14:sizeRelH relativeFrom="margin">
                    <wp14:pctWidth>0</wp14:pctWidth>
                  </wp14:sizeRelH>
                  <wp14:sizeRelV relativeFrom="margin">
                    <wp14:pctHeight>0</wp14:pctHeight>
                  </wp14:sizeRelV>
                </wp:anchor>
              </w:drawing>
            </w:r>
          </w:p>
        </w:tc>
      </w:tr>
      <w:tr w:rsidR="00691D4D" w:rsidRPr="00163BF5" w14:paraId="3E6554CC" w14:textId="77777777" w:rsidTr="00304691">
        <w:tc>
          <w:tcPr>
            <w:tcW w:w="2766" w:type="dxa"/>
          </w:tcPr>
          <w:p w14:paraId="5527494A" w14:textId="77777777" w:rsidR="00691D4D" w:rsidRPr="00163BF5" w:rsidRDefault="00691D4D" w:rsidP="00304691">
            <w:pPr>
              <w:rPr>
                <w:color w:val="000000" w:themeColor="text1"/>
                <w:lang w:val="es-ES"/>
              </w:rPr>
            </w:pPr>
            <w:r w:rsidRPr="00163BF5">
              <w:rPr>
                <w:color w:val="000000" w:themeColor="text1"/>
                <w:lang w:val="es-ES"/>
              </w:rPr>
              <w:t>Denegación de información</w:t>
            </w:r>
          </w:p>
        </w:tc>
        <w:tc>
          <w:tcPr>
            <w:tcW w:w="2835" w:type="dxa"/>
          </w:tcPr>
          <w:p w14:paraId="5F337126" w14:textId="77777777" w:rsidR="00691D4D" w:rsidRPr="00163BF5" w:rsidRDefault="00691D4D" w:rsidP="00304691">
            <w:pPr>
              <w:rPr>
                <w:color w:val="000000" w:themeColor="text1"/>
                <w:lang w:val="es-ES"/>
              </w:rPr>
            </w:pPr>
            <w:r w:rsidRPr="00163BF5">
              <w:rPr>
                <w:noProof/>
                <w:color w:val="000000" w:themeColor="text1"/>
              </w:rPr>
              <w:drawing>
                <wp:anchor distT="0" distB="0" distL="114300" distR="114300" simplePos="0" relativeHeight="251673600" behindDoc="0" locked="0" layoutInCell="1" allowOverlap="1" wp14:anchorId="28E7F69B" wp14:editId="65EC7106">
                  <wp:simplePos x="0" y="0"/>
                  <wp:positionH relativeFrom="column">
                    <wp:posOffset>547343</wp:posOffset>
                  </wp:positionH>
                  <wp:positionV relativeFrom="paragraph">
                    <wp:posOffset>138</wp:posOffset>
                  </wp:positionV>
                  <wp:extent cx="349250" cy="349250"/>
                  <wp:effectExtent l="0" t="0" r="0" b="0"/>
                  <wp:wrapThrough wrapText="bothSides">
                    <wp:wrapPolygon edited="0">
                      <wp:start x="0" y="0"/>
                      <wp:lineTo x="0" y="20029"/>
                      <wp:lineTo x="20029" y="20029"/>
                      <wp:lineTo x="20029" y="0"/>
                      <wp:lineTo x="0" y="0"/>
                    </wp:wrapPolygon>
                  </wp:wrapThrough>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49250" cy="349250"/>
                          </a:xfrm>
                          <a:prstGeom prst="rect">
                            <a:avLst/>
                          </a:prstGeom>
                        </pic:spPr>
                      </pic:pic>
                    </a:graphicData>
                  </a:graphic>
                  <wp14:sizeRelH relativeFrom="margin">
                    <wp14:pctWidth>0</wp14:pctWidth>
                  </wp14:sizeRelH>
                  <wp14:sizeRelV relativeFrom="margin">
                    <wp14:pctHeight>0</wp14:pctHeight>
                  </wp14:sizeRelV>
                </wp:anchor>
              </w:drawing>
            </w:r>
          </w:p>
        </w:tc>
        <w:tc>
          <w:tcPr>
            <w:tcW w:w="2410" w:type="dxa"/>
          </w:tcPr>
          <w:p w14:paraId="5388B3C4" w14:textId="77777777" w:rsidR="00691D4D" w:rsidRPr="00163BF5" w:rsidRDefault="00691D4D" w:rsidP="00304691">
            <w:pPr>
              <w:rPr>
                <w:color w:val="000000" w:themeColor="text1"/>
                <w:lang w:val="es-ES"/>
              </w:rPr>
            </w:pPr>
            <w:r w:rsidRPr="00163BF5">
              <w:rPr>
                <w:noProof/>
                <w:color w:val="000000" w:themeColor="text1"/>
              </w:rPr>
              <w:drawing>
                <wp:anchor distT="0" distB="0" distL="114300" distR="114300" simplePos="0" relativeHeight="251670528" behindDoc="0" locked="0" layoutInCell="1" allowOverlap="1" wp14:anchorId="3AB8CF6B" wp14:editId="5EFA0659">
                  <wp:simplePos x="0" y="0"/>
                  <wp:positionH relativeFrom="column">
                    <wp:posOffset>530860</wp:posOffset>
                  </wp:positionH>
                  <wp:positionV relativeFrom="paragraph">
                    <wp:posOffset>79375</wp:posOffset>
                  </wp:positionV>
                  <wp:extent cx="278765" cy="266700"/>
                  <wp:effectExtent l="0" t="0" r="635" b="0"/>
                  <wp:wrapThrough wrapText="bothSides">
                    <wp:wrapPolygon edited="0">
                      <wp:start x="0" y="0"/>
                      <wp:lineTo x="0" y="20571"/>
                      <wp:lineTo x="20665" y="20571"/>
                      <wp:lineTo x="20665" y="0"/>
                      <wp:lineTo x="0" y="0"/>
                    </wp:wrapPolygon>
                  </wp:wrapThrough>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8765" cy="266700"/>
                          </a:xfrm>
                          <a:prstGeom prst="rect">
                            <a:avLst/>
                          </a:prstGeom>
                        </pic:spPr>
                      </pic:pic>
                    </a:graphicData>
                  </a:graphic>
                  <wp14:sizeRelH relativeFrom="margin">
                    <wp14:pctWidth>0</wp14:pctWidth>
                  </wp14:sizeRelH>
                  <wp14:sizeRelV relativeFrom="margin">
                    <wp14:pctHeight>0</wp14:pctHeight>
                  </wp14:sizeRelV>
                </wp:anchor>
              </w:drawing>
            </w:r>
          </w:p>
        </w:tc>
      </w:tr>
      <w:tr w:rsidR="00691D4D" w:rsidRPr="00163BF5" w14:paraId="08AB0DE5" w14:textId="77777777" w:rsidTr="00304691">
        <w:tc>
          <w:tcPr>
            <w:tcW w:w="2766" w:type="dxa"/>
          </w:tcPr>
          <w:p w14:paraId="5072F3D8" w14:textId="77777777" w:rsidR="00691D4D" w:rsidRPr="00163BF5" w:rsidRDefault="00691D4D" w:rsidP="00304691">
            <w:pPr>
              <w:rPr>
                <w:color w:val="000000" w:themeColor="text1"/>
                <w:lang w:val="es-ES"/>
              </w:rPr>
            </w:pPr>
            <w:r w:rsidRPr="00163BF5">
              <w:rPr>
                <w:color w:val="000000" w:themeColor="text1"/>
                <w:lang w:val="es-ES"/>
              </w:rPr>
              <w:t>Sujeto activo calificado: agente estatal o aquiescencia del estado</w:t>
            </w:r>
          </w:p>
        </w:tc>
        <w:tc>
          <w:tcPr>
            <w:tcW w:w="2835" w:type="dxa"/>
          </w:tcPr>
          <w:p w14:paraId="65018839" w14:textId="77777777" w:rsidR="00691D4D" w:rsidRPr="00163BF5" w:rsidRDefault="00691D4D" w:rsidP="00304691">
            <w:pPr>
              <w:rPr>
                <w:color w:val="000000" w:themeColor="text1"/>
                <w:lang w:val="es-ES"/>
              </w:rPr>
            </w:pPr>
            <w:r w:rsidRPr="00163BF5">
              <w:rPr>
                <w:noProof/>
                <w:color w:val="000000" w:themeColor="text1"/>
              </w:rPr>
              <w:drawing>
                <wp:anchor distT="0" distB="0" distL="114300" distR="114300" simplePos="0" relativeHeight="251679744" behindDoc="0" locked="0" layoutInCell="1" allowOverlap="1" wp14:anchorId="38D2734D" wp14:editId="7C9E2B2F">
                  <wp:simplePos x="0" y="0"/>
                  <wp:positionH relativeFrom="column">
                    <wp:posOffset>486024</wp:posOffset>
                  </wp:positionH>
                  <wp:positionV relativeFrom="paragraph">
                    <wp:posOffset>63058</wp:posOffset>
                  </wp:positionV>
                  <wp:extent cx="410403" cy="410403"/>
                  <wp:effectExtent l="0" t="0" r="8890" b="8890"/>
                  <wp:wrapNone/>
                  <wp:docPr id="6" name="Imagen 6" descr="Marca X En Círculo, Estilo De Dibujar Pincel, Ilustración Vectorial  Ilustraciones Vectoriales, Clip Art Vectorizado Libre De Derechos. Image  85643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ca X En Círculo, Estilo De Dibujar Pincel, Ilustración Vectorial  Ilustraciones Vectoriales, Clip Art Vectorizado Libre De Derechos. Image  856434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0403" cy="410403"/>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10" w:type="dxa"/>
          </w:tcPr>
          <w:p w14:paraId="06D3DBFC" w14:textId="77777777" w:rsidR="00691D4D" w:rsidRPr="00163BF5" w:rsidRDefault="00691D4D" w:rsidP="00304691">
            <w:pPr>
              <w:rPr>
                <w:color w:val="000000" w:themeColor="text1"/>
                <w:lang w:val="es-ES"/>
              </w:rPr>
            </w:pPr>
            <w:r w:rsidRPr="00163BF5">
              <w:rPr>
                <w:noProof/>
                <w:color w:val="000000" w:themeColor="text1"/>
              </w:rPr>
              <w:drawing>
                <wp:anchor distT="0" distB="0" distL="114300" distR="114300" simplePos="0" relativeHeight="251676672" behindDoc="0" locked="0" layoutInCell="1" allowOverlap="1" wp14:anchorId="5AEB9E96" wp14:editId="1C2FCBB8">
                  <wp:simplePos x="0" y="0"/>
                  <wp:positionH relativeFrom="column">
                    <wp:posOffset>456648</wp:posOffset>
                  </wp:positionH>
                  <wp:positionV relativeFrom="paragraph">
                    <wp:posOffset>1408</wp:posOffset>
                  </wp:positionV>
                  <wp:extent cx="349250" cy="349250"/>
                  <wp:effectExtent l="0" t="0" r="0" b="0"/>
                  <wp:wrapThrough wrapText="bothSides">
                    <wp:wrapPolygon edited="0">
                      <wp:start x="0" y="0"/>
                      <wp:lineTo x="0" y="20029"/>
                      <wp:lineTo x="20029" y="20029"/>
                      <wp:lineTo x="20029" y="0"/>
                      <wp:lineTo x="0" y="0"/>
                    </wp:wrapPolygon>
                  </wp:wrapThrough>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49250" cy="349250"/>
                          </a:xfrm>
                          <a:prstGeom prst="rect">
                            <a:avLst/>
                          </a:prstGeom>
                        </pic:spPr>
                      </pic:pic>
                    </a:graphicData>
                  </a:graphic>
                  <wp14:sizeRelH relativeFrom="margin">
                    <wp14:pctWidth>0</wp14:pctWidth>
                  </wp14:sizeRelH>
                  <wp14:sizeRelV relativeFrom="margin">
                    <wp14:pctHeight>0</wp14:pctHeight>
                  </wp14:sizeRelV>
                </wp:anchor>
              </w:drawing>
            </w:r>
          </w:p>
        </w:tc>
      </w:tr>
      <w:tr w:rsidR="00691D4D" w:rsidRPr="00163BF5" w14:paraId="0F18F958" w14:textId="77777777" w:rsidTr="00304691">
        <w:tc>
          <w:tcPr>
            <w:tcW w:w="2766" w:type="dxa"/>
          </w:tcPr>
          <w:p w14:paraId="2540B846" w14:textId="77777777" w:rsidR="00691D4D" w:rsidRPr="00163BF5" w:rsidRDefault="00691D4D" w:rsidP="00304691">
            <w:pPr>
              <w:rPr>
                <w:color w:val="000000" w:themeColor="text1"/>
                <w:lang w:val="es-ES"/>
              </w:rPr>
            </w:pPr>
            <w:r w:rsidRPr="00163BF5">
              <w:rPr>
                <w:color w:val="000000" w:themeColor="text1"/>
                <w:lang w:val="es-ES"/>
              </w:rPr>
              <w:t>Sujeto activo no calificado: cualquier persona</w:t>
            </w:r>
          </w:p>
        </w:tc>
        <w:tc>
          <w:tcPr>
            <w:tcW w:w="2835" w:type="dxa"/>
          </w:tcPr>
          <w:p w14:paraId="3EEA241B" w14:textId="77777777" w:rsidR="00691D4D" w:rsidRPr="00163BF5" w:rsidRDefault="00691D4D" w:rsidP="00304691">
            <w:pPr>
              <w:rPr>
                <w:color w:val="000000" w:themeColor="text1"/>
                <w:lang w:val="es-ES"/>
              </w:rPr>
            </w:pPr>
            <w:r w:rsidRPr="00163BF5">
              <w:rPr>
                <w:noProof/>
                <w:color w:val="000000" w:themeColor="text1"/>
              </w:rPr>
              <w:drawing>
                <wp:anchor distT="0" distB="0" distL="114300" distR="114300" simplePos="0" relativeHeight="251675648" behindDoc="0" locked="0" layoutInCell="1" allowOverlap="1" wp14:anchorId="70A7028B" wp14:editId="5219913F">
                  <wp:simplePos x="0" y="0"/>
                  <wp:positionH relativeFrom="column">
                    <wp:posOffset>507586</wp:posOffset>
                  </wp:positionH>
                  <wp:positionV relativeFrom="paragraph">
                    <wp:posOffset>47708</wp:posOffset>
                  </wp:positionV>
                  <wp:extent cx="349250" cy="349250"/>
                  <wp:effectExtent l="0" t="0" r="0" b="0"/>
                  <wp:wrapThrough wrapText="bothSides">
                    <wp:wrapPolygon edited="0">
                      <wp:start x="0" y="0"/>
                      <wp:lineTo x="0" y="20029"/>
                      <wp:lineTo x="20029" y="20029"/>
                      <wp:lineTo x="20029" y="0"/>
                      <wp:lineTo x="0" y="0"/>
                    </wp:wrapPolygon>
                  </wp:wrapThrough>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49250" cy="349250"/>
                          </a:xfrm>
                          <a:prstGeom prst="rect">
                            <a:avLst/>
                          </a:prstGeom>
                        </pic:spPr>
                      </pic:pic>
                    </a:graphicData>
                  </a:graphic>
                  <wp14:sizeRelH relativeFrom="margin">
                    <wp14:pctWidth>0</wp14:pctWidth>
                  </wp14:sizeRelH>
                  <wp14:sizeRelV relativeFrom="margin">
                    <wp14:pctHeight>0</wp14:pctHeight>
                  </wp14:sizeRelV>
                </wp:anchor>
              </w:drawing>
            </w:r>
          </w:p>
        </w:tc>
        <w:tc>
          <w:tcPr>
            <w:tcW w:w="2410" w:type="dxa"/>
          </w:tcPr>
          <w:p w14:paraId="3777EF02" w14:textId="77777777" w:rsidR="00691D4D" w:rsidRPr="00163BF5" w:rsidRDefault="00691D4D" w:rsidP="00304691">
            <w:pPr>
              <w:rPr>
                <w:color w:val="000000" w:themeColor="text1"/>
                <w:lang w:val="es-ES"/>
              </w:rPr>
            </w:pPr>
            <w:r w:rsidRPr="00163BF5">
              <w:rPr>
                <w:noProof/>
                <w:color w:val="000000" w:themeColor="text1"/>
              </w:rPr>
              <w:drawing>
                <wp:anchor distT="0" distB="0" distL="114300" distR="114300" simplePos="0" relativeHeight="251678720" behindDoc="0" locked="0" layoutInCell="1" allowOverlap="1" wp14:anchorId="39E5F661" wp14:editId="4629AE92">
                  <wp:simplePos x="0" y="0"/>
                  <wp:positionH relativeFrom="column">
                    <wp:posOffset>403860</wp:posOffset>
                  </wp:positionH>
                  <wp:positionV relativeFrom="paragraph">
                    <wp:posOffset>47625</wp:posOffset>
                  </wp:positionV>
                  <wp:extent cx="410403" cy="410403"/>
                  <wp:effectExtent l="0" t="0" r="8890" b="8890"/>
                  <wp:wrapNone/>
                  <wp:docPr id="15" name="Imagen 15" descr="Marca X En Círculo, Estilo De Dibujar Pincel, Ilustración Vectorial  Ilustraciones Vectoriales, Clip Art Vectorizado Libre De Derechos. Image  85643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ca X En Círculo, Estilo De Dibujar Pincel, Ilustración Vectorial  Ilustraciones Vectoriales, Clip Art Vectorizado Libre De Derechos. Image  856434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0403" cy="410403"/>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691D4D" w:rsidRPr="00163BF5" w14:paraId="7EDEDEF7" w14:textId="77777777" w:rsidTr="00304691">
        <w:tc>
          <w:tcPr>
            <w:tcW w:w="2766" w:type="dxa"/>
          </w:tcPr>
          <w:p w14:paraId="4C2261BC" w14:textId="77777777" w:rsidR="00691D4D" w:rsidRPr="00163BF5" w:rsidRDefault="00691D4D" w:rsidP="00304691">
            <w:pPr>
              <w:rPr>
                <w:color w:val="000000" w:themeColor="text1"/>
                <w:lang w:val="es-ES"/>
              </w:rPr>
            </w:pPr>
            <w:r w:rsidRPr="00163BF5">
              <w:rPr>
                <w:color w:val="000000" w:themeColor="text1"/>
                <w:lang w:val="es-ES"/>
              </w:rPr>
              <w:t>Inexistencia de una solicitud de rescate o dinero por la víctima</w:t>
            </w:r>
          </w:p>
        </w:tc>
        <w:tc>
          <w:tcPr>
            <w:tcW w:w="2835" w:type="dxa"/>
          </w:tcPr>
          <w:p w14:paraId="5E0C4F0C" w14:textId="77777777" w:rsidR="00691D4D" w:rsidRPr="00163BF5" w:rsidRDefault="00691D4D" w:rsidP="00304691">
            <w:pPr>
              <w:rPr>
                <w:color w:val="000000" w:themeColor="text1"/>
                <w:lang w:val="es-ES"/>
              </w:rPr>
            </w:pPr>
            <w:r w:rsidRPr="00163BF5">
              <w:rPr>
                <w:noProof/>
                <w:color w:val="000000" w:themeColor="text1"/>
              </w:rPr>
              <w:drawing>
                <wp:anchor distT="0" distB="0" distL="114300" distR="114300" simplePos="0" relativeHeight="251674624" behindDoc="0" locked="0" layoutInCell="1" allowOverlap="1" wp14:anchorId="481AEDE1" wp14:editId="4C24BE95">
                  <wp:simplePos x="0" y="0"/>
                  <wp:positionH relativeFrom="column">
                    <wp:posOffset>507586</wp:posOffset>
                  </wp:positionH>
                  <wp:positionV relativeFrom="paragraph">
                    <wp:posOffset>112561</wp:posOffset>
                  </wp:positionV>
                  <wp:extent cx="349250" cy="349250"/>
                  <wp:effectExtent l="0" t="0" r="0" b="0"/>
                  <wp:wrapThrough wrapText="bothSides">
                    <wp:wrapPolygon edited="0">
                      <wp:start x="0" y="0"/>
                      <wp:lineTo x="0" y="20029"/>
                      <wp:lineTo x="20029" y="20029"/>
                      <wp:lineTo x="20029" y="0"/>
                      <wp:lineTo x="0" y="0"/>
                    </wp:wrapPolygon>
                  </wp:wrapThrough>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49250" cy="349250"/>
                          </a:xfrm>
                          <a:prstGeom prst="rect">
                            <a:avLst/>
                          </a:prstGeom>
                        </pic:spPr>
                      </pic:pic>
                    </a:graphicData>
                  </a:graphic>
                  <wp14:sizeRelH relativeFrom="margin">
                    <wp14:pctWidth>0</wp14:pctWidth>
                  </wp14:sizeRelH>
                  <wp14:sizeRelV relativeFrom="margin">
                    <wp14:pctHeight>0</wp14:pctHeight>
                  </wp14:sizeRelV>
                </wp:anchor>
              </w:drawing>
            </w:r>
          </w:p>
        </w:tc>
        <w:tc>
          <w:tcPr>
            <w:tcW w:w="2410" w:type="dxa"/>
          </w:tcPr>
          <w:p w14:paraId="194172D4" w14:textId="77777777" w:rsidR="00691D4D" w:rsidRPr="00163BF5" w:rsidRDefault="00691D4D" w:rsidP="00304691">
            <w:pPr>
              <w:rPr>
                <w:color w:val="000000" w:themeColor="text1"/>
                <w:lang w:val="es-ES"/>
              </w:rPr>
            </w:pPr>
            <w:r w:rsidRPr="00163BF5">
              <w:rPr>
                <w:noProof/>
                <w:color w:val="000000" w:themeColor="text1"/>
              </w:rPr>
              <w:drawing>
                <wp:anchor distT="0" distB="0" distL="114300" distR="114300" simplePos="0" relativeHeight="251677696" behindDoc="0" locked="0" layoutInCell="1" allowOverlap="1" wp14:anchorId="38B03EE9" wp14:editId="5C6A2FE2">
                  <wp:simplePos x="0" y="0"/>
                  <wp:positionH relativeFrom="column">
                    <wp:posOffset>402866</wp:posOffset>
                  </wp:positionH>
                  <wp:positionV relativeFrom="paragraph">
                    <wp:posOffset>54196</wp:posOffset>
                  </wp:positionV>
                  <wp:extent cx="410403" cy="410403"/>
                  <wp:effectExtent l="0" t="0" r="8890" b="8890"/>
                  <wp:wrapNone/>
                  <wp:docPr id="20" name="Imagen 20" descr="Marca X En Círculo, Estilo De Dibujar Pincel, Ilustración Vectorial  Ilustraciones Vectoriales, Clip Art Vectorizado Libre De Derechos. Image  85643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ca X En Círculo, Estilo De Dibujar Pincel, Ilustración Vectorial  Ilustraciones Vectoriales, Clip Art Vectorizado Libre De Derechos. Image  856434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0403" cy="410403"/>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471CB386" w14:textId="70BBD6A0" w:rsidR="00691D4D" w:rsidRPr="00163BF5" w:rsidRDefault="00691D4D" w:rsidP="00691D4D">
      <w:pPr>
        <w:spacing w:line="480" w:lineRule="auto"/>
        <w:jc w:val="center"/>
        <w:rPr>
          <w:rFonts w:eastAsia="Calibri"/>
          <w:color w:val="000000" w:themeColor="text1"/>
          <w:lang w:val="es-ES" w:eastAsia="es-ES_tradnl"/>
        </w:rPr>
      </w:pPr>
      <w:r w:rsidRPr="00163BF5">
        <w:rPr>
          <w:rFonts w:eastAsia="Calibri"/>
          <w:color w:val="000000" w:themeColor="text1"/>
          <w:lang w:val="es-ES" w:eastAsia="es-ES_tradnl"/>
        </w:rPr>
        <w:t>Autor: Daniel Sepúlveda, 2020.</w:t>
      </w:r>
    </w:p>
    <w:p w14:paraId="7125BD0C" w14:textId="4FD25830" w:rsidR="00691D4D" w:rsidRPr="00163BF5" w:rsidRDefault="00691D4D" w:rsidP="00691D4D">
      <w:pPr>
        <w:spacing w:line="480" w:lineRule="auto"/>
        <w:jc w:val="center"/>
        <w:rPr>
          <w:rFonts w:eastAsia="Calibri"/>
          <w:color w:val="000000" w:themeColor="text1"/>
          <w:lang w:val="es-ES" w:eastAsia="es-ES_tradnl"/>
        </w:rPr>
      </w:pPr>
    </w:p>
    <w:p w14:paraId="538E19C1" w14:textId="0D7EE5AC" w:rsidR="00691D4D" w:rsidRPr="00163BF5" w:rsidRDefault="00691D4D" w:rsidP="00691D4D">
      <w:pPr>
        <w:spacing w:line="480" w:lineRule="auto"/>
        <w:jc w:val="center"/>
        <w:rPr>
          <w:rFonts w:eastAsia="Calibri"/>
          <w:color w:val="000000" w:themeColor="text1"/>
          <w:lang w:val="es-ES" w:eastAsia="es-ES_tradnl"/>
        </w:rPr>
      </w:pPr>
    </w:p>
    <w:p w14:paraId="583DA1D1" w14:textId="4F75C0D1" w:rsidR="00691D4D" w:rsidRPr="00163BF5" w:rsidRDefault="00691D4D" w:rsidP="00691D4D">
      <w:pPr>
        <w:spacing w:line="480" w:lineRule="auto"/>
        <w:jc w:val="center"/>
        <w:rPr>
          <w:rFonts w:eastAsia="Calibri"/>
          <w:color w:val="000000" w:themeColor="text1"/>
          <w:lang w:val="es-ES" w:eastAsia="es-ES_tradnl"/>
        </w:rPr>
      </w:pPr>
    </w:p>
    <w:p w14:paraId="7372EF5C" w14:textId="1B5589AB" w:rsidR="00691D4D" w:rsidRPr="00163BF5" w:rsidRDefault="00691D4D" w:rsidP="00691D4D">
      <w:pPr>
        <w:spacing w:line="480" w:lineRule="auto"/>
        <w:jc w:val="center"/>
        <w:rPr>
          <w:rFonts w:eastAsia="Calibri"/>
          <w:color w:val="000000" w:themeColor="text1"/>
          <w:lang w:val="es-ES" w:eastAsia="es-ES_tradnl"/>
        </w:rPr>
      </w:pPr>
    </w:p>
    <w:p w14:paraId="3B8F38AB" w14:textId="007DBFE8" w:rsidR="00691D4D" w:rsidRPr="00163BF5" w:rsidRDefault="00691D4D" w:rsidP="00691D4D">
      <w:pPr>
        <w:spacing w:line="480" w:lineRule="auto"/>
        <w:jc w:val="center"/>
        <w:rPr>
          <w:rFonts w:eastAsia="Calibri"/>
          <w:color w:val="000000" w:themeColor="text1"/>
          <w:lang w:val="es-ES" w:eastAsia="es-ES_tradnl"/>
        </w:rPr>
      </w:pPr>
    </w:p>
    <w:p w14:paraId="7337DB34" w14:textId="40E15560" w:rsidR="00691D4D" w:rsidRPr="00163BF5" w:rsidRDefault="00691D4D" w:rsidP="00691D4D">
      <w:pPr>
        <w:spacing w:line="480" w:lineRule="auto"/>
        <w:jc w:val="center"/>
        <w:rPr>
          <w:rFonts w:eastAsia="Calibri"/>
          <w:color w:val="000000" w:themeColor="text1"/>
          <w:lang w:val="es-ES" w:eastAsia="es-ES_tradnl"/>
        </w:rPr>
      </w:pPr>
    </w:p>
    <w:p w14:paraId="1F951014" w14:textId="34969EB1" w:rsidR="00691D4D" w:rsidRPr="00163BF5" w:rsidRDefault="00691D4D" w:rsidP="00691D4D">
      <w:pPr>
        <w:spacing w:line="480" w:lineRule="auto"/>
        <w:jc w:val="center"/>
        <w:rPr>
          <w:rFonts w:eastAsia="Calibri"/>
          <w:color w:val="000000" w:themeColor="text1"/>
          <w:lang w:val="es-ES" w:eastAsia="es-ES_tradnl"/>
        </w:rPr>
      </w:pPr>
    </w:p>
    <w:p w14:paraId="1152B476" w14:textId="2CE1C346" w:rsidR="00691D4D" w:rsidRPr="00163BF5" w:rsidRDefault="00691D4D" w:rsidP="00691D4D">
      <w:pPr>
        <w:spacing w:line="480" w:lineRule="auto"/>
        <w:jc w:val="center"/>
        <w:rPr>
          <w:rFonts w:eastAsia="Calibri"/>
          <w:color w:val="000000" w:themeColor="text1"/>
          <w:lang w:val="es-ES" w:eastAsia="es-ES_tradnl"/>
        </w:rPr>
      </w:pPr>
    </w:p>
    <w:p w14:paraId="6C0D14F1" w14:textId="649A9B7F" w:rsidR="00691D4D" w:rsidRPr="00163BF5" w:rsidRDefault="00691D4D" w:rsidP="00691D4D">
      <w:pPr>
        <w:spacing w:line="480" w:lineRule="auto"/>
        <w:jc w:val="center"/>
        <w:rPr>
          <w:rFonts w:eastAsia="Calibri"/>
          <w:color w:val="000000" w:themeColor="text1"/>
          <w:lang w:val="es-ES" w:eastAsia="es-ES_tradnl"/>
        </w:rPr>
      </w:pPr>
    </w:p>
    <w:p w14:paraId="1A4C38FF" w14:textId="79334AA7" w:rsidR="00990F54" w:rsidRPr="00163BF5" w:rsidRDefault="00990F54" w:rsidP="00691D4D">
      <w:pPr>
        <w:spacing w:line="480" w:lineRule="auto"/>
        <w:jc w:val="center"/>
        <w:rPr>
          <w:rFonts w:eastAsia="Calibri"/>
          <w:color w:val="000000" w:themeColor="text1"/>
          <w:lang w:val="es-ES" w:eastAsia="es-ES_tradnl"/>
        </w:rPr>
      </w:pPr>
    </w:p>
    <w:p w14:paraId="3FC3D577" w14:textId="56E1062E" w:rsidR="00990F54" w:rsidRPr="00163BF5" w:rsidRDefault="00990F54" w:rsidP="00691D4D">
      <w:pPr>
        <w:spacing w:line="480" w:lineRule="auto"/>
        <w:jc w:val="center"/>
        <w:rPr>
          <w:rFonts w:eastAsia="Calibri"/>
          <w:color w:val="000000" w:themeColor="text1"/>
          <w:lang w:val="es-ES" w:eastAsia="es-ES_tradnl"/>
        </w:rPr>
      </w:pPr>
    </w:p>
    <w:p w14:paraId="47B78E19" w14:textId="67D33570" w:rsidR="00691D4D" w:rsidRPr="00163BF5" w:rsidRDefault="00691D4D" w:rsidP="00EF1E67">
      <w:pPr>
        <w:spacing w:line="480" w:lineRule="auto"/>
        <w:rPr>
          <w:rFonts w:eastAsia="Calibri"/>
          <w:color w:val="000000" w:themeColor="text1"/>
          <w:lang w:val="es-ES" w:eastAsia="es-ES_tradnl"/>
        </w:rPr>
      </w:pPr>
    </w:p>
    <w:p w14:paraId="25390927" w14:textId="72D05D44" w:rsidR="00691D4D" w:rsidRPr="00163BF5" w:rsidRDefault="00691D4D" w:rsidP="00691D4D">
      <w:pPr>
        <w:pStyle w:val="Ttulo3"/>
        <w:jc w:val="center"/>
        <w:rPr>
          <w:rFonts w:cs="Times New Roman"/>
          <w:lang w:val="es-ES"/>
        </w:rPr>
      </w:pPr>
      <w:bookmarkStart w:id="77" w:name="_Toc67513426"/>
      <w:r w:rsidRPr="00163BF5">
        <w:rPr>
          <w:lang w:val="es-ES"/>
        </w:rPr>
        <w:t>Anexo 2</w:t>
      </w:r>
      <w:bookmarkEnd w:id="77"/>
    </w:p>
    <w:p w14:paraId="1820DF08" w14:textId="77777777" w:rsidR="00691D4D" w:rsidRPr="00163BF5" w:rsidRDefault="00691D4D" w:rsidP="00691D4D">
      <w:pPr>
        <w:spacing w:line="480" w:lineRule="auto"/>
        <w:jc w:val="center"/>
        <w:rPr>
          <w:b/>
          <w:bCs/>
          <w:color w:val="000000" w:themeColor="text1"/>
          <w:lang w:val="es-ES"/>
        </w:rPr>
      </w:pPr>
      <w:r w:rsidRPr="00163BF5">
        <w:rPr>
          <w:b/>
          <w:bCs/>
          <w:color w:val="000000" w:themeColor="text1"/>
          <w:lang w:val="es-ES"/>
        </w:rPr>
        <w:t>Entrevista a Pamela Chiriboga asesora jurídica de la Fundación Regional de Asesoría en Derechos Humanos (INREDH)</w:t>
      </w:r>
    </w:p>
    <w:p w14:paraId="401902C8" w14:textId="77777777" w:rsidR="00691D4D" w:rsidRPr="00163BF5" w:rsidRDefault="00691D4D" w:rsidP="00691D4D">
      <w:pPr>
        <w:pStyle w:val="Prrafodelista"/>
        <w:numPr>
          <w:ilvl w:val="0"/>
          <w:numId w:val="33"/>
        </w:numPr>
        <w:rPr>
          <w:rFonts w:ascii="Times New Roman" w:hAnsi="Times New Roman" w:cs="Times New Roman"/>
          <w:b/>
          <w:bCs/>
          <w:color w:val="000000" w:themeColor="text1"/>
          <w:lang w:val="es-ES"/>
        </w:rPr>
      </w:pPr>
      <w:r w:rsidRPr="00163BF5">
        <w:rPr>
          <w:rFonts w:ascii="Times New Roman" w:hAnsi="Times New Roman" w:cs="Times New Roman"/>
          <w:b/>
          <w:bCs/>
          <w:color w:val="000000" w:themeColor="text1"/>
          <w:lang w:val="es-ES"/>
        </w:rPr>
        <w:t>¿Cuál es su opinión frente a la Ley Orgánica de Actuación en Casos de Personas Desaparecidas y Extraviadas promulgada en el año 2020?</w:t>
      </w:r>
    </w:p>
    <w:p w14:paraId="1A8C9A6F"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Opino que, si bien la ley es un avance normativo importante, no se ha puesto en la </w:t>
      </w:r>
      <w:proofErr w:type="spellStart"/>
      <w:r w:rsidRPr="00163BF5">
        <w:rPr>
          <w:color w:val="000000" w:themeColor="text1"/>
          <w:lang w:val="es-ES"/>
        </w:rPr>
        <w:t>practica</w:t>
      </w:r>
      <w:proofErr w:type="spellEnd"/>
      <w:r w:rsidRPr="00163BF5">
        <w:rPr>
          <w:color w:val="000000" w:themeColor="text1"/>
          <w:lang w:val="es-ES"/>
        </w:rPr>
        <w:t xml:space="preserve">. Si bien la ley respondía y solucionaba ciertas problemáticas estructurales como son la contradicción en las estadísticas, el banco genético que se pretendía crear, la práctica de diligencias. </w:t>
      </w:r>
    </w:p>
    <w:p w14:paraId="1F0D5DC2" w14:textId="0122CABF" w:rsidR="00691D4D" w:rsidRPr="00163BF5" w:rsidRDefault="00691D4D" w:rsidP="00691D4D">
      <w:pPr>
        <w:spacing w:line="480" w:lineRule="auto"/>
        <w:jc w:val="both"/>
        <w:rPr>
          <w:color w:val="000000" w:themeColor="text1"/>
          <w:lang w:val="es-ES"/>
        </w:rPr>
      </w:pPr>
      <w:r w:rsidRPr="00163BF5">
        <w:rPr>
          <w:color w:val="000000" w:themeColor="text1"/>
          <w:lang w:val="es-ES"/>
        </w:rPr>
        <w:t xml:space="preserve"> </w:t>
      </w:r>
      <w:r w:rsidR="00304691" w:rsidRPr="00163BF5">
        <w:rPr>
          <w:color w:val="000000" w:themeColor="text1"/>
          <w:lang w:val="es-ES"/>
        </w:rPr>
        <w:tab/>
      </w:r>
      <w:r w:rsidRPr="00163BF5">
        <w:rPr>
          <w:color w:val="000000" w:themeColor="text1"/>
          <w:lang w:val="es-ES"/>
        </w:rPr>
        <w:t xml:space="preserve">El Sistema Nacional de Personas Desaparecidas pretendía cubrir todas estas falencias, la ley ya tiene un año de vigencia y no se ha implementado correctamente lo expresado en esta; siendo así como son el Registro Nacional de Personas Desaparecidas no existe, las estadísticas siguen siendo contradictorias entre el Ministerio de Gobierno, </w:t>
      </w:r>
      <w:proofErr w:type="spellStart"/>
      <w:r w:rsidRPr="00163BF5">
        <w:rPr>
          <w:color w:val="000000" w:themeColor="text1"/>
          <w:lang w:val="es-ES"/>
        </w:rPr>
        <w:t>Dinased</w:t>
      </w:r>
      <w:proofErr w:type="spellEnd"/>
      <w:r w:rsidRPr="00163BF5">
        <w:rPr>
          <w:color w:val="000000" w:themeColor="text1"/>
          <w:lang w:val="es-ES"/>
        </w:rPr>
        <w:t xml:space="preserve"> y Fiscalía, las diligencias no son realizadas acorde a la LOACPDE y no existe comunicación entre los distintas entidades estatales para una correcta búsqueda de personas desaparecidas. </w:t>
      </w:r>
    </w:p>
    <w:p w14:paraId="5ED28F40"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Existen casos en que el trámite de personas desaparecidas llega recién a fiscalía un mes después de que la persona desapareció, por lo que las 24 y 48 horas que son básicas para la investigación no funciona. </w:t>
      </w:r>
    </w:p>
    <w:p w14:paraId="4ECE77CB"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La LOACPDE pretendía ser una guía para los fiscales y muchos de ellos no tienen idea sobre esta. </w:t>
      </w:r>
    </w:p>
    <w:p w14:paraId="0045E72E" w14:textId="222F06C0" w:rsidR="00691D4D" w:rsidRPr="00163BF5" w:rsidRDefault="00691D4D" w:rsidP="00304691">
      <w:pPr>
        <w:spacing w:line="480" w:lineRule="auto"/>
        <w:ind w:left="708"/>
        <w:jc w:val="both"/>
        <w:rPr>
          <w:color w:val="000000" w:themeColor="text1"/>
          <w:lang w:val="es-ES"/>
        </w:rPr>
      </w:pPr>
      <w:r w:rsidRPr="00163BF5">
        <w:rPr>
          <w:color w:val="000000" w:themeColor="text1"/>
          <w:lang w:val="es-ES"/>
        </w:rPr>
        <w:t xml:space="preserve">En términos de prevención y educación no ha sido implementado de ninguna manera. </w:t>
      </w:r>
    </w:p>
    <w:p w14:paraId="14C28D61" w14:textId="255DC1EA"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INREDH ha realizado un seguimiento de la ley y sus cláusulas y lo único que se cumplió fue la emisión del reglamento que en mi consideración es un completo retroceso con respecto al tema de situación de personas desaparecidas, no abarca nada sobre la prevención, capacitación. </w:t>
      </w:r>
    </w:p>
    <w:p w14:paraId="06B68887"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Siento que la tipificación de la ley funciono como un avance normativo y el reglamento que debía guiar la práctica de esta ley es un completo retroceso a la lucha que se ha llevado por años</w:t>
      </w:r>
    </w:p>
    <w:p w14:paraId="23A04D10" w14:textId="77777777" w:rsidR="00691D4D" w:rsidRPr="00163BF5" w:rsidRDefault="00691D4D" w:rsidP="00691D4D">
      <w:pPr>
        <w:pStyle w:val="Prrafodelista"/>
        <w:numPr>
          <w:ilvl w:val="0"/>
          <w:numId w:val="33"/>
        </w:numPr>
        <w:rPr>
          <w:rFonts w:ascii="Times New Roman" w:hAnsi="Times New Roman" w:cs="Times New Roman"/>
          <w:b/>
          <w:bCs/>
          <w:color w:val="000000" w:themeColor="text1"/>
          <w:lang w:val="es-ES"/>
        </w:rPr>
      </w:pPr>
      <w:r w:rsidRPr="00163BF5">
        <w:rPr>
          <w:rFonts w:ascii="Times New Roman" w:hAnsi="Times New Roman" w:cs="Times New Roman"/>
          <w:b/>
          <w:bCs/>
          <w:color w:val="000000" w:themeColor="text1"/>
          <w:lang w:val="es-ES"/>
        </w:rPr>
        <w:t>¿Cómo piensa que se podría solucionar las falencias de la Ley Orgánica de Actuación en Casos de Personas Desaparecidas y Extraviadas y su reglamento?</w:t>
      </w:r>
    </w:p>
    <w:p w14:paraId="7299F39F" w14:textId="6143B05F"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Pienso que se puede exigir el cumplimiento de la Ley y no en base al reglamento en la ley existen muchos mecanismos importantes como son el Registro Nacional de Personas Desaparecidas que busca el cruce de datos e información de las distintas instituciones estatales y el registro de las personas desaparecidas, el banco genético, la implementación en las mallas curriculares de colegios temas sobre la desaparición de personas, entre otras cosas que están plasmadas en la ley y no han sido realizados por el Estado</w:t>
      </w:r>
      <w:r w:rsidR="00304691" w:rsidRPr="00163BF5">
        <w:rPr>
          <w:color w:val="000000" w:themeColor="text1"/>
          <w:lang w:val="es-ES"/>
        </w:rPr>
        <w:t xml:space="preserve">. </w:t>
      </w:r>
      <w:r w:rsidRPr="00163BF5">
        <w:rPr>
          <w:color w:val="000000" w:themeColor="text1"/>
          <w:lang w:val="es-ES"/>
        </w:rPr>
        <w:t xml:space="preserve">Además, pienso que, si el Estado no activa estos mecanismos, la sociedad civil debe actuar para que esta Ley no quede en desuso. </w:t>
      </w:r>
    </w:p>
    <w:p w14:paraId="1723FE92"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En cuanto al reglamento, hay que hacer caer en cuenta que el reglamento fue un error maratónico y que no aceptaron la ayuda de fundaciones y organizaciones de derechos humanos como INREDH, que ofreció su ayuda para la creación del reglamento y fue rechazada. </w:t>
      </w:r>
    </w:p>
    <w:p w14:paraId="5AE9D86A"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También, se plantea presentar una acción de constitucionalidad para que sea la Corte Constitucional quien afirme que el reglamento vulnera derechos constitucionalmente consagrados. </w:t>
      </w:r>
    </w:p>
    <w:p w14:paraId="58204F3F" w14:textId="77777777" w:rsidR="00691D4D" w:rsidRPr="00163BF5" w:rsidRDefault="00691D4D" w:rsidP="00691D4D">
      <w:pPr>
        <w:pStyle w:val="Prrafodelista"/>
        <w:numPr>
          <w:ilvl w:val="0"/>
          <w:numId w:val="33"/>
        </w:numPr>
        <w:rPr>
          <w:rFonts w:ascii="Times New Roman" w:hAnsi="Times New Roman" w:cs="Times New Roman"/>
          <w:b/>
          <w:bCs/>
          <w:color w:val="000000" w:themeColor="text1"/>
          <w:lang w:val="es-ES"/>
        </w:rPr>
      </w:pPr>
      <w:r w:rsidRPr="00163BF5">
        <w:rPr>
          <w:rFonts w:ascii="Times New Roman" w:hAnsi="Times New Roman" w:cs="Times New Roman"/>
          <w:b/>
          <w:bCs/>
          <w:color w:val="000000" w:themeColor="text1"/>
          <w:lang w:val="es-ES"/>
        </w:rPr>
        <w:t xml:space="preserve">A raíz del caso de Juliana Campoverde en el que INREDH fue parte se creó el delito de desaparición involuntaria. ¿Conoce si este delito ya ha sido puesto en práctica en el Ecuador? </w:t>
      </w:r>
    </w:p>
    <w:p w14:paraId="6A8CFD93"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No conozco ni un solo caso que haya sido iniciado por el delito de desaparición involuntaria, si bien creo que esto es debido a que el estándar probatorio en base a las pruebas indiciarias es bastante difícil de lograr. </w:t>
      </w:r>
    </w:p>
    <w:p w14:paraId="3DE8DA80"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Si el Estado no tiene fiscales capacitados para recolectar estos indicios, además del tiempo en que la investigación es realizada, muchas de estas pruebas indiciarias se pierden. </w:t>
      </w:r>
    </w:p>
    <w:p w14:paraId="29134222" w14:textId="77777777" w:rsidR="00691D4D" w:rsidRPr="00163BF5" w:rsidRDefault="00691D4D" w:rsidP="00691D4D">
      <w:pPr>
        <w:pStyle w:val="Prrafodelista"/>
        <w:numPr>
          <w:ilvl w:val="0"/>
          <w:numId w:val="33"/>
        </w:numPr>
        <w:rPr>
          <w:rFonts w:ascii="Times New Roman" w:hAnsi="Times New Roman" w:cs="Times New Roman"/>
          <w:b/>
          <w:bCs/>
          <w:color w:val="000000" w:themeColor="text1"/>
          <w:lang w:val="es-ES"/>
        </w:rPr>
      </w:pPr>
      <w:r w:rsidRPr="00163BF5">
        <w:rPr>
          <w:rFonts w:ascii="Times New Roman" w:hAnsi="Times New Roman" w:cs="Times New Roman"/>
          <w:b/>
          <w:bCs/>
          <w:color w:val="000000" w:themeColor="text1"/>
          <w:lang w:val="es-ES"/>
        </w:rPr>
        <w:t>A raíz de la promulgación de la LOACPDE. ¿Considera que la actuación de los fiscales ha cambiado con respecto a cuando esta ley no existía?</w:t>
      </w:r>
    </w:p>
    <w:p w14:paraId="62DCDFD3"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Considero que la actuación del Estado si ha cambiado, no hay que desconocer que el Estado ecuatoriano ya no es completamente ciego frente al tema de desaparecidos como lo era en el año 2012. Y que en los años 2019 y 2020 ha realizado un gran avance normativo ante esta problemática. </w:t>
      </w:r>
    </w:p>
    <w:p w14:paraId="4E839AD0" w14:textId="72433413"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La verdadera crítica que se hace al Estado es a la practica en la búsqueda y localización de las personas desaparecidas y sus procedimientos que no sigue lo establecido en la LOACPDE. </w:t>
      </w:r>
    </w:p>
    <w:p w14:paraId="1731A8E0" w14:textId="67286979" w:rsidR="00691D4D" w:rsidRPr="00163BF5" w:rsidRDefault="00691D4D" w:rsidP="00691D4D">
      <w:pPr>
        <w:spacing w:line="480" w:lineRule="auto"/>
        <w:jc w:val="both"/>
        <w:rPr>
          <w:color w:val="000000" w:themeColor="text1"/>
          <w:lang w:val="es-ES"/>
        </w:rPr>
      </w:pPr>
    </w:p>
    <w:p w14:paraId="14632778" w14:textId="3AEDD846" w:rsidR="00691D4D" w:rsidRPr="00163BF5" w:rsidRDefault="00691D4D" w:rsidP="00691D4D">
      <w:pPr>
        <w:spacing w:line="480" w:lineRule="auto"/>
        <w:jc w:val="both"/>
        <w:rPr>
          <w:color w:val="000000" w:themeColor="text1"/>
          <w:lang w:val="es-ES"/>
        </w:rPr>
      </w:pPr>
    </w:p>
    <w:p w14:paraId="518EB950" w14:textId="6B6821A1" w:rsidR="00691D4D" w:rsidRPr="00163BF5" w:rsidRDefault="00691D4D" w:rsidP="00691D4D">
      <w:pPr>
        <w:spacing w:line="480" w:lineRule="auto"/>
        <w:jc w:val="both"/>
        <w:rPr>
          <w:color w:val="000000" w:themeColor="text1"/>
          <w:lang w:val="es-ES"/>
        </w:rPr>
      </w:pPr>
    </w:p>
    <w:p w14:paraId="14DF0917" w14:textId="4B6C6489" w:rsidR="00691D4D" w:rsidRPr="00163BF5" w:rsidRDefault="00691D4D" w:rsidP="00691D4D">
      <w:pPr>
        <w:spacing w:line="480" w:lineRule="auto"/>
        <w:jc w:val="both"/>
        <w:rPr>
          <w:color w:val="000000" w:themeColor="text1"/>
          <w:lang w:val="es-ES"/>
        </w:rPr>
      </w:pPr>
    </w:p>
    <w:p w14:paraId="1859C9EB" w14:textId="47A3F04C" w:rsidR="00691D4D" w:rsidRPr="00163BF5" w:rsidRDefault="00691D4D" w:rsidP="00691D4D">
      <w:pPr>
        <w:spacing w:line="480" w:lineRule="auto"/>
        <w:jc w:val="both"/>
        <w:rPr>
          <w:color w:val="000000" w:themeColor="text1"/>
          <w:lang w:val="es-ES"/>
        </w:rPr>
      </w:pPr>
    </w:p>
    <w:p w14:paraId="774668BA" w14:textId="632C8E98" w:rsidR="00691D4D" w:rsidRPr="00163BF5" w:rsidRDefault="00691D4D" w:rsidP="00691D4D">
      <w:pPr>
        <w:spacing w:line="480" w:lineRule="auto"/>
        <w:jc w:val="both"/>
        <w:rPr>
          <w:color w:val="000000" w:themeColor="text1"/>
          <w:lang w:val="es-ES"/>
        </w:rPr>
      </w:pPr>
    </w:p>
    <w:p w14:paraId="3F675421" w14:textId="21DBF609" w:rsidR="00691D4D" w:rsidRPr="00163BF5" w:rsidRDefault="00691D4D" w:rsidP="00691D4D">
      <w:pPr>
        <w:spacing w:line="480" w:lineRule="auto"/>
        <w:jc w:val="both"/>
        <w:rPr>
          <w:color w:val="000000" w:themeColor="text1"/>
          <w:lang w:val="es-ES"/>
        </w:rPr>
      </w:pPr>
    </w:p>
    <w:p w14:paraId="0E7A8CC4" w14:textId="0E76F859" w:rsidR="00990F54" w:rsidRPr="00163BF5" w:rsidRDefault="00990F54" w:rsidP="00691D4D">
      <w:pPr>
        <w:spacing w:line="480" w:lineRule="auto"/>
        <w:jc w:val="both"/>
        <w:rPr>
          <w:color w:val="000000" w:themeColor="text1"/>
          <w:lang w:val="es-ES"/>
        </w:rPr>
      </w:pPr>
    </w:p>
    <w:p w14:paraId="05222A34" w14:textId="0AB9C564" w:rsidR="00990F54" w:rsidRPr="00163BF5" w:rsidRDefault="00990F54" w:rsidP="00691D4D">
      <w:pPr>
        <w:spacing w:line="480" w:lineRule="auto"/>
        <w:jc w:val="both"/>
        <w:rPr>
          <w:color w:val="000000" w:themeColor="text1"/>
          <w:lang w:val="es-ES"/>
        </w:rPr>
      </w:pPr>
    </w:p>
    <w:p w14:paraId="13D63F29" w14:textId="4B66A438" w:rsidR="00990F54" w:rsidRPr="00163BF5" w:rsidRDefault="00990F54" w:rsidP="00691D4D">
      <w:pPr>
        <w:spacing w:line="480" w:lineRule="auto"/>
        <w:jc w:val="both"/>
        <w:rPr>
          <w:color w:val="000000" w:themeColor="text1"/>
          <w:lang w:val="es-ES"/>
        </w:rPr>
      </w:pPr>
    </w:p>
    <w:p w14:paraId="3BB6DB2D" w14:textId="71031739" w:rsidR="004D5B6D" w:rsidRPr="00163BF5" w:rsidRDefault="004D5B6D" w:rsidP="00691D4D">
      <w:pPr>
        <w:spacing w:line="480" w:lineRule="auto"/>
        <w:jc w:val="both"/>
        <w:rPr>
          <w:color w:val="000000" w:themeColor="text1"/>
          <w:lang w:val="es-ES"/>
        </w:rPr>
      </w:pPr>
    </w:p>
    <w:p w14:paraId="1E9EE9A8" w14:textId="5176A6ED" w:rsidR="004D5B6D" w:rsidRPr="00163BF5" w:rsidRDefault="004D5B6D" w:rsidP="00691D4D">
      <w:pPr>
        <w:spacing w:line="480" w:lineRule="auto"/>
        <w:jc w:val="both"/>
        <w:rPr>
          <w:color w:val="000000" w:themeColor="text1"/>
          <w:lang w:val="es-ES"/>
        </w:rPr>
      </w:pPr>
    </w:p>
    <w:p w14:paraId="4FEEA438" w14:textId="77777777" w:rsidR="004D5B6D" w:rsidRPr="00163BF5" w:rsidRDefault="004D5B6D" w:rsidP="00691D4D">
      <w:pPr>
        <w:spacing w:line="480" w:lineRule="auto"/>
        <w:jc w:val="both"/>
        <w:rPr>
          <w:color w:val="000000" w:themeColor="text1"/>
          <w:lang w:val="es-ES"/>
        </w:rPr>
      </w:pPr>
    </w:p>
    <w:p w14:paraId="7606B04B" w14:textId="77777777" w:rsidR="00691D4D" w:rsidRPr="00163BF5" w:rsidRDefault="00691D4D" w:rsidP="00691D4D">
      <w:pPr>
        <w:spacing w:line="480" w:lineRule="auto"/>
        <w:jc w:val="both"/>
        <w:rPr>
          <w:color w:val="000000" w:themeColor="text1"/>
          <w:lang w:val="es-ES"/>
        </w:rPr>
      </w:pPr>
    </w:p>
    <w:p w14:paraId="704BB73C" w14:textId="5C277F15" w:rsidR="00691D4D" w:rsidRPr="00163BF5" w:rsidRDefault="00691D4D" w:rsidP="00691D4D">
      <w:pPr>
        <w:pStyle w:val="Ttulo3"/>
        <w:jc w:val="center"/>
        <w:rPr>
          <w:rFonts w:cs="Times New Roman"/>
          <w:lang w:val="es-ES"/>
        </w:rPr>
      </w:pPr>
      <w:bookmarkStart w:id="78" w:name="_Toc67513427"/>
      <w:r w:rsidRPr="00163BF5">
        <w:rPr>
          <w:rFonts w:cs="Times New Roman"/>
          <w:lang w:val="es-ES"/>
        </w:rPr>
        <w:t>A</w:t>
      </w:r>
      <w:r w:rsidRPr="00163BF5">
        <w:rPr>
          <w:lang w:val="es-ES"/>
        </w:rPr>
        <w:t>nexo 3</w:t>
      </w:r>
      <w:bookmarkEnd w:id="78"/>
    </w:p>
    <w:p w14:paraId="23C15D94" w14:textId="77777777" w:rsidR="00691D4D" w:rsidRPr="00163BF5" w:rsidRDefault="00691D4D" w:rsidP="00691D4D">
      <w:pPr>
        <w:spacing w:line="480" w:lineRule="auto"/>
        <w:jc w:val="center"/>
        <w:rPr>
          <w:b/>
          <w:bCs/>
          <w:color w:val="000000" w:themeColor="text1"/>
          <w:lang w:val="es-ES"/>
        </w:rPr>
      </w:pPr>
      <w:r w:rsidRPr="00163BF5">
        <w:rPr>
          <w:b/>
          <w:bCs/>
          <w:color w:val="000000" w:themeColor="text1"/>
          <w:lang w:val="es-ES"/>
        </w:rPr>
        <w:t>Entrevista José Valenzuela, abogado en el Centro de Derechos Humanos de la Pontificia Universidad Católica del Ecuador</w:t>
      </w:r>
    </w:p>
    <w:p w14:paraId="4C2FB614" w14:textId="77777777" w:rsidR="00691D4D" w:rsidRPr="00163BF5" w:rsidRDefault="00691D4D" w:rsidP="00691D4D">
      <w:pPr>
        <w:pStyle w:val="Prrafodelista"/>
        <w:numPr>
          <w:ilvl w:val="0"/>
          <w:numId w:val="34"/>
        </w:numPr>
        <w:rPr>
          <w:rFonts w:ascii="Times New Roman" w:hAnsi="Times New Roman" w:cs="Times New Roman"/>
          <w:b/>
          <w:bCs/>
          <w:color w:val="000000" w:themeColor="text1"/>
          <w:lang w:val="es-ES"/>
        </w:rPr>
      </w:pPr>
      <w:r w:rsidRPr="00163BF5">
        <w:rPr>
          <w:rFonts w:ascii="Times New Roman" w:hAnsi="Times New Roman" w:cs="Times New Roman"/>
          <w:b/>
          <w:bCs/>
          <w:color w:val="000000" w:themeColor="text1"/>
          <w:lang w:val="es-ES"/>
        </w:rPr>
        <w:t>¿Cómo era la actuación del Estado frente a la situación de personas desaparecidas antes de la promulgación de la Ley Orgánica de Actuación en Casos de Personas Desaparecidas y Extraviadas?</w:t>
      </w:r>
    </w:p>
    <w:p w14:paraId="5D6909C3"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La actuación del Estado ecuatoriano ante esta problemática era basada en el Estatuto Orgánico por procesos de la Fiscalía General del Estado, donde en este mismo se expresaba que la Unidad de Actuaciones Administras era la entidad encargada de buscar a las personas desaparecidas en el Ecuador. </w:t>
      </w:r>
    </w:p>
    <w:p w14:paraId="21A85848"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Se tramitaban las distintas actuaciones frente a la búsqueda y localización de personas desaparecidas con poca congruencia y especialidad, por lo que no existía una real investigación frente a estos casos. </w:t>
      </w:r>
    </w:p>
    <w:p w14:paraId="524F7ED9"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A partir de la promulgación de la LOACPDE, se crean fiscalías especialidades que asumen aquellos casos que se encontraban abiertos en estas Unidades de Actuaciones Administrativas con la finalidad de poder solventar los casos de personas desaparecidas con </w:t>
      </w:r>
      <w:proofErr w:type="spellStart"/>
      <w:r w:rsidRPr="00163BF5">
        <w:rPr>
          <w:color w:val="000000" w:themeColor="text1"/>
          <w:lang w:val="es-ES"/>
        </w:rPr>
        <w:t>mas</w:t>
      </w:r>
      <w:proofErr w:type="spellEnd"/>
      <w:r w:rsidRPr="00163BF5">
        <w:rPr>
          <w:color w:val="000000" w:themeColor="text1"/>
          <w:lang w:val="es-ES"/>
        </w:rPr>
        <w:t xml:space="preserve"> prontitud. </w:t>
      </w:r>
    </w:p>
    <w:p w14:paraId="4EC2299E" w14:textId="77777777" w:rsidR="00691D4D" w:rsidRPr="00163BF5" w:rsidRDefault="00691D4D" w:rsidP="00691D4D">
      <w:pPr>
        <w:pStyle w:val="Prrafodelista"/>
        <w:numPr>
          <w:ilvl w:val="0"/>
          <w:numId w:val="34"/>
        </w:numPr>
        <w:rPr>
          <w:rFonts w:ascii="Times New Roman" w:hAnsi="Times New Roman" w:cs="Times New Roman"/>
          <w:b/>
          <w:bCs/>
          <w:color w:val="000000" w:themeColor="text1"/>
          <w:lang w:val="es-ES"/>
        </w:rPr>
      </w:pPr>
      <w:r w:rsidRPr="00163BF5">
        <w:rPr>
          <w:rFonts w:ascii="Times New Roman" w:hAnsi="Times New Roman" w:cs="Times New Roman"/>
          <w:b/>
          <w:bCs/>
          <w:color w:val="000000" w:themeColor="text1"/>
          <w:lang w:val="es-ES"/>
        </w:rPr>
        <w:t>¿Considera usted que existe un contraste entre la actuación del Estado antes de la promulgación de la Ley Orgánica de Actuación en Casos de Personas Desaparecidas y Extraviadas, y después de la misma?</w:t>
      </w:r>
    </w:p>
    <w:p w14:paraId="09C363A0"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Es complicado establecer si existe una mejora a la situación de las personas desaparecidas con la emisión de la ley que se menciona. A pesar de ello, considero que la temática de desaparecidos se ha ido practicando de una forma </w:t>
      </w:r>
      <w:proofErr w:type="spellStart"/>
      <w:r w:rsidRPr="00163BF5">
        <w:rPr>
          <w:color w:val="000000" w:themeColor="text1"/>
          <w:lang w:val="es-ES"/>
        </w:rPr>
        <w:t>mas</w:t>
      </w:r>
      <w:proofErr w:type="spellEnd"/>
      <w:r w:rsidRPr="00163BF5">
        <w:rPr>
          <w:color w:val="000000" w:themeColor="text1"/>
          <w:lang w:val="es-ES"/>
        </w:rPr>
        <w:t xml:space="preserve"> diligente, dándole </w:t>
      </w:r>
      <w:proofErr w:type="spellStart"/>
      <w:r w:rsidRPr="00163BF5">
        <w:rPr>
          <w:color w:val="000000" w:themeColor="text1"/>
          <w:lang w:val="es-ES"/>
        </w:rPr>
        <w:t>mas</w:t>
      </w:r>
      <w:proofErr w:type="spellEnd"/>
      <w:r w:rsidRPr="00163BF5">
        <w:rPr>
          <w:color w:val="000000" w:themeColor="text1"/>
          <w:lang w:val="es-ES"/>
        </w:rPr>
        <w:t xml:space="preserve"> importancia a este fenómeno social. </w:t>
      </w:r>
    </w:p>
    <w:p w14:paraId="27D1A0B5"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En el año 2018 algunas organizaciones de Derechos Humanos tuvimos una audiencia temática frente a la Corte IDH, donde la respuesta del Estado no era clara, este </w:t>
      </w:r>
      <w:proofErr w:type="spellStart"/>
      <w:r w:rsidRPr="00163BF5">
        <w:rPr>
          <w:color w:val="000000" w:themeColor="text1"/>
          <w:lang w:val="es-ES"/>
        </w:rPr>
        <w:t>ultimo</w:t>
      </w:r>
      <w:proofErr w:type="spellEnd"/>
      <w:r w:rsidRPr="00163BF5">
        <w:rPr>
          <w:color w:val="000000" w:themeColor="text1"/>
          <w:lang w:val="es-ES"/>
        </w:rPr>
        <w:t xml:space="preserve"> daba elementos o dispositivos que había levantado para mejorar la búsqueda de personas, por ejemplo, se citaba la Alerta Emilia, los carteles de desaparecidos con sus fotos y datos específicos, un poco para solventar de forma </w:t>
      </w:r>
      <w:proofErr w:type="spellStart"/>
      <w:r w:rsidRPr="00163BF5">
        <w:rPr>
          <w:color w:val="000000" w:themeColor="text1"/>
          <w:lang w:val="es-ES"/>
        </w:rPr>
        <w:t>mas</w:t>
      </w:r>
      <w:proofErr w:type="spellEnd"/>
      <w:r w:rsidRPr="00163BF5">
        <w:rPr>
          <w:color w:val="000000" w:themeColor="text1"/>
          <w:lang w:val="es-ES"/>
        </w:rPr>
        <w:t xml:space="preserve"> rápida la búsqueda de personas desaparecidas. </w:t>
      </w:r>
    </w:p>
    <w:p w14:paraId="300F0058"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Creo que hay avances en la forma en que el Estado </w:t>
      </w:r>
      <w:proofErr w:type="spellStart"/>
      <w:r w:rsidRPr="00163BF5">
        <w:rPr>
          <w:color w:val="000000" w:themeColor="text1"/>
          <w:lang w:val="es-ES"/>
        </w:rPr>
        <w:t>esta</w:t>
      </w:r>
      <w:proofErr w:type="spellEnd"/>
      <w:r w:rsidRPr="00163BF5">
        <w:rPr>
          <w:color w:val="000000" w:themeColor="text1"/>
          <w:lang w:val="es-ES"/>
        </w:rPr>
        <w:t xml:space="preserve"> respondiendo este fenómeno, pero los resultados son los preocupantes, el </w:t>
      </w:r>
      <w:proofErr w:type="spellStart"/>
      <w:r w:rsidRPr="00163BF5">
        <w:rPr>
          <w:color w:val="000000" w:themeColor="text1"/>
          <w:lang w:val="es-ES"/>
        </w:rPr>
        <w:t>numero</w:t>
      </w:r>
      <w:proofErr w:type="spellEnd"/>
      <w:r w:rsidRPr="00163BF5">
        <w:rPr>
          <w:color w:val="000000" w:themeColor="text1"/>
          <w:lang w:val="es-ES"/>
        </w:rPr>
        <w:t xml:space="preserve"> de personas desaparecidas </w:t>
      </w:r>
      <w:proofErr w:type="spellStart"/>
      <w:r w:rsidRPr="00163BF5">
        <w:rPr>
          <w:color w:val="000000" w:themeColor="text1"/>
          <w:lang w:val="es-ES"/>
        </w:rPr>
        <w:t>aun</w:t>
      </w:r>
      <w:proofErr w:type="spellEnd"/>
      <w:r w:rsidRPr="00163BF5">
        <w:rPr>
          <w:color w:val="000000" w:themeColor="text1"/>
          <w:lang w:val="es-ES"/>
        </w:rPr>
        <w:t xml:space="preserve"> es muy alto y existen </w:t>
      </w:r>
      <w:proofErr w:type="spellStart"/>
      <w:r w:rsidRPr="00163BF5">
        <w:rPr>
          <w:color w:val="000000" w:themeColor="text1"/>
          <w:lang w:val="es-ES"/>
        </w:rPr>
        <w:t>aun</w:t>
      </w:r>
      <w:proofErr w:type="spellEnd"/>
      <w:r w:rsidRPr="00163BF5">
        <w:rPr>
          <w:color w:val="000000" w:themeColor="text1"/>
          <w:lang w:val="es-ES"/>
        </w:rPr>
        <w:t xml:space="preserve"> familias que buscan a su familiar desaparecido sin respuesta alguna. </w:t>
      </w:r>
    </w:p>
    <w:p w14:paraId="4A8CF979" w14:textId="77777777" w:rsidR="00691D4D" w:rsidRPr="00163BF5" w:rsidRDefault="00691D4D" w:rsidP="00691D4D">
      <w:pPr>
        <w:pStyle w:val="Prrafodelista"/>
        <w:numPr>
          <w:ilvl w:val="0"/>
          <w:numId w:val="34"/>
        </w:numPr>
        <w:rPr>
          <w:rFonts w:ascii="Times New Roman" w:hAnsi="Times New Roman" w:cs="Times New Roman"/>
          <w:b/>
          <w:bCs/>
          <w:color w:val="000000" w:themeColor="text1"/>
          <w:lang w:val="es-ES"/>
        </w:rPr>
      </w:pPr>
      <w:r w:rsidRPr="00163BF5">
        <w:rPr>
          <w:rFonts w:ascii="Times New Roman" w:hAnsi="Times New Roman" w:cs="Times New Roman"/>
          <w:b/>
          <w:bCs/>
          <w:color w:val="000000" w:themeColor="text1"/>
          <w:lang w:val="es-ES"/>
        </w:rPr>
        <w:t>¿Qué cree que debe hacer el Estado para mejorar la situación de las personas desaparecidas?</w:t>
      </w:r>
    </w:p>
    <w:p w14:paraId="1D4B7811"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Creo que el fenómeno de desaparición de personas, debe ser estudiado a profundidad y no solamente tener datos, estadísticas y actuaciones administrativas después de que la persona desaparece, sino que el Estado debe actuar antes de que esto suceda considerando que existe una posible cadena de criminalidad, cuyo objetivo puede ser el tráfico de órganos, trata de personas, tráfico de niños, violencia sexual. </w:t>
      </w:r>
    </w:p>
    <w:p w14:paraId="7349E73C" w14:textId="77777777" w:rsidR="00691D4D" w:rsidRPr="00163BF5" w:rsidRDefault="00691D4D" w:rsidP="00691D4D">
      <w:pPr>
        <w:spacing w:line="480" w:lineRule="auto"/>
        <w:jc w:val="both"/>
        <w:rPr>
          <w:color w:val="000000" w:themeColor="text1"/>
          <w:lang w:val="es-ES"/>
        </w:rPr>
      </w:pPr>
      <w:r w:rsidRPr="00163BF5">
        <w:rPr>
          <w:color w:val="000000" w:themeColor="text1"/>
          <w:lang w:val="es-ES"/>
        </w:rPr>
        <w:t xml:space="preserve">Si no existe un estudio de las causas </w:t>
      </w:r>
      <w:proofErr w:type="spellStart"/>
      <w:r w:rsidRPr="00163BF5">
        <w:rPr>
          <w:color w:val="000000" w:themeColor="text1"/>
          <w:lang w:val="es-ES"/>
        </w:rPr>
        <w:t>mas</w:t>
      </w:r>
      <w:proofErr w:type="spellEnd"/>
      <w:r w:rsidRPr="00163BF5">
        <w:rPr>
          <w:color w:val="000000" w:themeColor="text1"/>
          <w:lang w:val="es-ES"/>
        </w:rPr>
        <w:t xml:space="preserve"> comunes, no va a cambiar la situación, por </w:t>
      </w:r>
      <w:proofErr w:type="spellStart"/>
      <w:r w:rsidRPr="00163BF5">
        <w:rPr>
          <w:color w:val="000000" w:themeColor="text1"/>
          <w:lang w:val="es-ES"/>
        </w:rPr>
        <w:t>mas</w:t>
      </w:r>
      <w:proofErr w:type="spellEnd"/>
      <w:r w:rsidRPr="00163BF5">
        <w:rPr>
          <w:color w:val="000000" w:themeColor="text1"/>
          <w:lang w:val="es-ES"/>
        </w:rPr>
        <w:t xml:space="preserve"> que cambien las fiscalías y los delitos. </w:t>
      </w:r>
    </w:p>
    <w:p w14:paraId="7538D870" w14:textId="77777777" w:rsidR="00691D4D" w:rsidRPr="00163BF5" w:rsidRDefault="00691D4D" w:rsidP="00691D4D">
      <w:pPr>
        <w:pStyle w:val="Prrafodelista"/>
        <w:numPr>
          <w:ilvl w:val="0"/>
          <w:numId w:val="34"/>
        </w:numPr>
        <w:rPr>
          <w:rFonts w:ascii="Times New Roman" w:hAnsi="Times New Roman" w:cs="Times New Roman"/>
          <w:b/>
          <w:bCs/>
          <w:color w:val="000000" w:themeColor="text1"/>
          <w:lang w:val="es-ES"/>
        </w:rPr>
      </w:pPr>
      <w:r w:rsidRPr="00163BF5">
        <w:rPr>
          <w:rFonts w:ascii="Times New Roman" w:hAnsi="Times New Roman" w:cs="Times New Roman"/>
          <w:b/>
          <w:bCs/>
          <w:color w:val="000000" w:themeColor="text1"/>
          <w:lang w:val="es-ES"/>
        </w:rPr>
        <w:t xml:space="preserve">¿Conoce si el delito de desaparición involuntaria ya ha sido puesto en práctica en el Ecuador? </w:t>
      </w:r>
    </w:p>
    <w:p w14:paraId="20D43368" w14:textId="79A61A6A"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No conozco de ningún caso en que el delito desaparición involuntaria haya sido puesto en práctica, pero puedo decir que un caso en el que se utilizaron pruebas indiciarias para la resolución de una desaparición involuntaria es el caso Juliana Campoverde.</w:t>
      </w:r>
    </w:p>
    <w:p w14:paraId="7450475F" w14:textId="46CEF2E2" w:rsidR="00691D4D" w:rsidRPr="00163BF5" w:rsidRDefault="00691D4D" w:rsidP="00691D4D">
      <w:pPr>
        <w:spacing w:line="480" w:lineRule="auto"/>
        <w:ind w:left="360"/>
        <w:jc w:val="both"/>
        <w:rPr>
          <w:color w:val="000000" w:themeColor="text1"/>
          <w:lang w:val="es-ES"/>
        </w:rPr>
      </w:pPr>
    </w:p>
    <w:p w14:paraId="0C48AD2F" w14:textId="5B2898D3" w:rsidR="00691D4D" w:rsidRPr="00163BF5" w:rsidRDefault="00691D4D" w:rsidP="00691D4D">
      <w:pPr>
        <w:spacing w:line="480" w:lineRule="auto"/>
        <w:ind w:left="360"/>
        <w:jc w:val="both"/>
        <w:rPr>
          <w:color w:val="000000" w:themeColor="text1"/>
          <w:lang w:val="es-ES"/>
        </w:rPr>
      </w:pPr>
    </w:p>
    <w:p w14:paraId="3F7BABB2" w14:textId="0676ABBA" w:rsidR="00691D4D" w:rsidRPr="00163BF5" w:rsidRDefault="00691D4D" w:rsidP="00691D4D">
      <w:pPr>
        <w:spacing w:line="480" w:lineRule="auto"/>
        <w:ind w:left="360"/>
        <w:jc w:val="both"/>
        <w:rPr>
          <w:color w:val="000000" w:themeColor="text1"/>
          <w:lang w:val="es-ES"/>
        </w:rPr>
      </w:pPr>
    </w:p>
    <w:p w14:paraId="11A6ACCE" w14:textId="42401116" w:rsidR="00691D4D" w:rsidRPr="00163BF5" w:rsidRDefault="00691D4D" w:rsidP="00691D4D">
      <w:pPr>
        <w:spacing w:line="480" w:lineRule="auto"/>
        <w:ind w:left="360"/>
        <w:jc w:val="both"/>
        <w:rPr>
          <w:color w:val="000000" w:themeColor="text1"/>
          <w:lang w:val="es-ES"/>
        </w:rPr>
      </w:pPr>
    </w:p>
    <w:p w14:paraId="0C704C0F" w14:textId="78E36B07" w:rsidR="00691D4D" w:rsidRPr="00163BF5" w:rsidRDefault="00691D4D" w:rsidP="00691D4D">
      <w:pPr>
        <w:pStyle w:val="Ttulo3"/>
        <w:jc w:val="center"/>
        <w:rPr>
          <w:rFonts w:cs="Times New Roman"/>
          <w:lang w:val="es-ES"/>
        </w:rPr>
      </w:pPr>
      <w:bookmarkStart w:id="79" w:name="_Toc67513428"/>
      <w:r w:rsidRPr="00163BF5">
        <w:rPr>
          <w:rFonts w:cs="Times New Roman"/>
          <w:lang w:val="es-ES"/>
        </w:rPr>
        <w:t>A</w:t>
      </w:r>
      <w:r w:rsidRPr="00163BF5">
        <w:rPr>
          <w:lang w:val="es-ES"/>
        </w:rPr>
        <w:t>nexo</w:t>
      </w:r>
      <w:r w:rsidRPr="00163BF5">
        <w:rPr>
          <w:rFonts w:cs="Times New Roman"/>
          <w:lang w:val="es-ES"/>
        </w:rPr>
        <w:t xml:space="preserve"> </w:t>
      </w:r>
      <w:r w:rsidRPr="00163BF5">
        <w:rPr>
          <w:lang w:val="es-ES"/>
        </w:rPr>
        <w:t>4</w:t>
      </w:r>
      <w:bookmarkEnd w:id="79"/>
    </w:p>
    <w:p w14:paraId="4B22A567" w14:textId="77777777" w:rsidR="00691D4D" w:rsidRPr="00163BF5" w:rsidRDefault="00691D4D" w:rsidP="00691D4D">
      <w:pPr>
        <w:spacing w:line="480" w:lineRule="auto"/>
        <w:jc w:val="center"/>
        <w:rPr>
          <w:b/>
          <w:bCs/>
          <w:color w:val="000000" w:themeColor="text1"/>
          <w:lang w:val="es-ES"/>
        </w:rPr>
      </w:pPr>
      <w:r w:rsidRPr="00163BF5">
        <w:rPr>
          <w:b/>
          <w:bCs/>
          <w:color w:val="000000" w:themeColor="text1"/>
          <w:lang w:val="es-ES"/>
        </w:rPr>
        <w:t>Entrevista Lidia Rueda, presidenta de la Asociación de Familiares y Amigos de Personas Desaparecidas en Ecuador (ASFADEC)</w:t>
      </w:r>
    </w:p>
    <w:p w14:paraId="0B3044FA" w14:textId="77777777" w:rsidR="00691D4D" w:rsidRPr="00163BF5" w:rsidRDefault="00691D4D" w:rsidP="00691D4D">
      <w:pPr>
        <w:pStyle w:val="Prrafodelista"/>
        <w:numPr>
          <w:ilvl w:val="0"/>
          <w:numId w:val="35"/>
        </w:numPr>
        <w:rPr>
          <w:rFonts w:ascii="Times New Roman" w:hAnsi="Times New Roman" w:cs="Times New Roman"/>
          <w:b/>
          <w:bCs/>
          <w:color w:val="000000" w:themeColor="text1"/>
          <w:lang w:val="es-ES"/>
        </w:rPr>
      </w:pPr>
      <w:r w:rsidRPr="00163BF5">
        <w:rPr>
          <w:rFonts w:ascii="Times New Roman" w:hAnsi="Times New Roman" w:cs="Times New Roman"/>
          <w:b/>
          <w:bCs/>
          <w:color w:val="000000" w:themeColor="text1"/>
          <w:lang w:val="es-ES"/>
        </w:rPr>
        <w:t>¿Cómo era la actuación del Estado antes de la promulgación de la Ley Orgánica de Actuación en Casos de Personas Desaparecidas y Extraviadas?</w:t>
      </w:r>
    </w:p>
    <w:p w14:paraId="55D2D527"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Para tener la Ley Orgánica de Actuación en Casos de Personas Desaparecidas y Extraviadas, a nosotros como ASFADEC nos ha tocado luchar, dado que antes cuando acudíamos a fiscalía lo que nos decían es que si no hay cuerpo no hay delito, pese a que los países que no tienen leyes de desaparecidos deben acoger leyes internacionales que protejan a los derechos humanos. </w:t>
      </w:r>
    </w:p>
    <w:p w14:paraId="14482B10" w14:textId="77777777" w:rsidR="00691D4D" w:rsidRPr="00163BF5" w:rsidRDefault="00691D4D" w:rsidP="00691D4D">
      <w:pPr>
        <w:pStyle w:val="Prrafodelista"/>
        <w:numPr>
          <w:ilvl w:val="0"/>
          <w:numId w:val="35"/>
        </w:numPr>
        <w:rPr>
          <w:rFonts w:ascii="Times New Roman" w:hAnsi="Times New Roman" w:cs="Times New Roman"/>
          <w:b/>
          <w:bCs/>
          <w:color w:val="000000" w:themeColor="text1"/>
          <w:lang w:val="es-ES"/>
        </w:rPr>
      </w:pPr>
      <w:r w:rsidRPr="00163BF5">
        <w:rPr>
          <w:rFonts w:ascii="Times New Roman" w:hAnsi="Times New Roman" w:cs="Times New Roman"/>
          <w:b/>
          <w:bCs/>
          <w:color w:val="000000" w:themeColor="text1"/>
          <w:lang w:val="es-ES"/>
        </w:rPr>
        <w:t xml:space="preserve">¿Existe un contraste entre la actuación con la Ley Orgánica de Actuación en Casos de Personas Desaparecidas y Extraviadas y sin la misma? </w:t>
      </w:r>
    </w:p>
    <w:p w14:paraId="2FA8BBE3"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No existe ningún contraste, porque la ley que usted menciona no es aplicada, pese a que esta es promulgada ya por el Estado. </w:t>
      </w:r>
    </w:p>
    <w:p w14:paraId="773CBA58"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No existe personal especializado sobre la situación de personas desaparecidas, no existe capacitación a los funcionarios públicos, en especial fiscales sobre esta temática. </w:t>
      </w:r>
    </w:p>
    <w:p w14:paraId="6FC5BBBA" w14:textId="77777777" w:rsidR="00691D4D" w:rsidRPr="00163BF5" w:rsidRDefault="00691D4D" w:rsidP="00691D4D">
      <w:pPr>
        <w:pStyle w:val="Prrafodelista"/>
        <w:numPr>
          <w:ilvl w:val="0"/>
          <w:numId w:val="35"/>
        </w:numPr>
        <w:rPr>
          <w:rFonts w:ascii="Times New Roman" w:hAnsi="Times New Roman" w:cs="Times New Roman"/>
          <w:b/>
          <w:bCs/>
          <w:color w:val="000000" w:themeColor="text1"/>
          <w:lang w:val="es-ES"/>
        </w:rPr>
      </w:pPr>
      <w:r w:rsidRPr="00163BF5">
        <w:rPr>
          <w:rFonts w:ascii="Times New Roman" w:hAnsi="Times New Roman" w:cs="Times New Roman"/>
          <w:b/>
          <w:bCs/>
          <w:color w:val="000000" w:themeColor="text1"/>
          <w:lang w:val="es-ES"/>
        </w:rPr>
        <w:t>¿El Estado ecuatoriano toma en cuenta las versiones y opiniones sobre lo que pudo haber ocurrido con la persona desaparecida?</w:t>
      </w:r>
    </w:p>
    <w:p w14:paraId="71A6BEC8" w14:textId="478DDA70"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Se insiste en que el denunciante pueda hacer una ampliación a la versión que se da sobre la desaparición de la persona, sino se </w:t>
      </w:r>
      <w:proofErr w:type="spellStart"/>
      <w:r w:rsidRPr="00163BF5">
        <w:rPr>
          <w:color w:val="000000" w:themeColor="text1"/>
          <w:lang w:val="es-ES"/>
        </w:rPr>
        <w:t>amplia</w:t>
      </w:r>
      <w:proofErr w:type="spellEnd"/>
      <w:r w:rsidRPr="00163BF5">
        <w:rPr>
          <w:color w:val="000000" w:themeColor="text1"/>
          <w:lang w:val="es-ES"/>
        </w:rPr>
        <w:t xml:space="preserve"> esta versión, en la cual se pueda contextualizar la situación de la persona desaparecida es difícil el poder direccionar la investigación de la manera correcta. </w:t>
      </w:r>
    </w:p>
    <w:p w14:paraId="24F1E8FB" w14:textId="77777777" w:rsidR="00691D4D" w:rsidRPr="00163BF5" w:rsidRDefault="00691D4D" w:rsidP="00691D4D">
      <w:pPr>
        <w:pStyle w:val="Prrafodelista"/>
        <w:numPr>
          <w:ilvl w:val="0"/>
          <w:numId w:val="35"/>
        </w:numPr>
        <w:rPr>
          <w:rFonts w:ascii="Times New Roman" w:hAnsi="Times New Roman" w:cs="Times New Roman"/>
          <w:b/>
          <w:bCs/>
          <w:color w:val="000000" w:themeColor="text1"/>
          <w:lang w:val="es-ES"/>
        </w:rPr>
      </w:pPr>
      <w:r w:rsidRPr="00163BF5">
        <w:rPr>
          <w:rFonts w:ascii="Times New Roman" w:hAnsi="Times New Roman" w:cs="Times New Roman"/>
          <w:b/>
          <w:bCs/>
          <w:color w:val="000000" w:themeColor="text1"/>
          <w:lang w:val="es-ES"/>
        </w:rPr>
        <w:t>¿Qué debe hacer el Estado para mejorar la situación de las personas desaparecidas?</w:t>
      </w:r>
    </w:p>
    <w:p w14:paraId="6F83B56E"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Primero el Estado debe tener en cuenta el derecho humano que tenemos como personas, tener en cuenta los derechos consagrados en la Constitución del Ecuador que versan en la protección de su pueblo y de los extranjeros que están en el Ecuador. </w:t>
      </w:r>
    </w:p>
    <w:p w14:paraId="2AD42B68" w14:textId="77777777" w:rsidR="00691D4D" w:rsidRPr="00163BF5" w:rsidRDefault="00691D4D" w:rsidP="00691D4D">
      <w:pPr>
        <w:spacing w:line="480" w:lineRule="auto"/>
        <w:jc w:val="both"/>
        <w:rPr>
          <w:color w:val="000000" w:themeColor="text1"/>
          <w:lang w:val="es-ES"/>
        </w:rPr>
      </w:pPr>
      <w:r w:rsidRPr="00163BF5">
        <w:rPr>
          <w:color w:val="000000" w:themeColor="text1"/>
          <w:lang w:val="es-ES"/>
        </w:rPr>
        <w:t xml:space="preserve">Sin embargo, el Estado no protegió a Carolina Garzón en el año 2012, y es por Carolina que su padre crea ASFADEC. </w:t>
      </w:r>
    </w:p>
    <w:p w14:paraId="289204BB"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 xml:space="preserve">Mientras que el Estado no tome enserio la situación de las personas desaparecidas, no se apliquen políticas públicas para la protección de las personas en el Ecuador. </w:t>
      </w:r>
    </w:p>
    <w:p w14:paraId="04CC4C82" w14:textId="77777777"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Una de las problemáticas que plantea ASFADEC por la cual pueden existir muchas personas desaparecidas es por la existencia de posibles organizaciones criminales que gracias a lo estipulado por parte del Registro Civil en que todos somos donantes voluntarios de órganos se aprovechen de esto para el tráfico de órganos, siendo que esta puede ser una de las causas por las que la desaparición de personas incremente.</w:t>
      </w:r>
    </w:p>
    <w:p w14:paraId="2C9FD126" w14:textId="32E9C9ED" w:rsidR="00691D4D" w:rsidRPr="00163BF5" w:rsidRDefault="00691D4D" w:rsidP="00304691">
      <w:pPr>
        <w:spacing w:line="480" w:lineRule="auto"/>
        <w:ind w:firstLine="708"/>
        <w:jc w:val="both"/>
        <w:rPr>
          <w:color w:val="000000" w:themeColor="text1"/>
          <w:lang w:val="es-ES"/>
        </w:rPr>
      </w:pPr>
      <w:r w:rsidRPr="00163BF5">
        <w:rPr>
          <w:color w:val="000000" w:themeColor="text1"/>
          <w:lang w:val="es-ES"/>
        </w:rPr>
        <w:t>E</w:t>
      </w:r>
      <w:r w:rsidR="00304691" w:rsidRPr="00163BF5">
        <w:rPr>
          <w:color w:val="000000" w:themeColor="text1"/>
          <w:lang w:val="es-ES"/>
        </w:rPr>
        <w:t xml:space="preserve">n definitiva, </w:t>
      </w:r>
      <w:r w:rsidR="00EF1E67" w:rsidRPr="00163BF5">
        <w:rPr>
          <w:color w:val="000000" w:themeColor="text1"/>
          <w:lang w:val="es-ES"/>
        </w:rPr>
        <w:t>el Estado</w:t>
      </w:r>
      <w:r w:rsidRPr="00163BF5">
        <w:rPr>
          <w:color w:val="000000" w:themeColor="text1"/>
          <w:lang w:val="es-ES"/>
        </w:rPr>
        <w:t xml:space="preserve"> debe proteger la vida. </w:t>
      </w:r>
    </w:p>
    <w:p w14:paraId="0A2761F2" w14:textId="77777777" w:rsidR="00691D4D" w:rsidRDefault="00691D4D" w:rsidP="00691D4D">
      <w:pPr>
        <w:spacing w:line="480" w:lineRule="auto"/>
        <w:rPr>
          <w:lang w:val="es-ES"/>
        </w:rPr>
      </w:pPr>
    </w:p>
    <w:p w14:paraId="23E52ACD" w14:textId="77777777" w:rsidR="00691D4D" w:rsidRPr="00BE31BD" w:rsidRDefault="00691D4D" w:rsidP="00691D4D">
      <w:pPr>
        <w:spacing w:line="480" w:lineRule="auto"/>
        <w:rPr>
          <w:lang w:val="es-ES"/>
        </w:rPr>
      </w:pPr>
    </w:p>
    <w:p w14:paraId="2EDC3FF3" w14:textId="77777777" w:rsidR="00691D4D" w:rsidRPr="0024639E" w:rsidRDefault="00691D4D" w:rsidP="00691D4D">
      <w:pPr>
        <w:spacing w:line="480" w:lineRule="auto"/>
        <w:ind w:left="360"/>
        <w:jc w:val="both"/>
        <w:rPr>
          <w:lang w:val="es-ES"/>
        </w:rPr>
      </w:pPr>
    </w:p>
    <w:p w14:paraId="1C6DE6A0" w14:textId="4EDA2576" w:rsidR="00691D4D" w:rsidRPr="003D05C2" w:rsidRDefault="00691D4D" w:rsidP="00691D4D">
      <w:pPr>
        <w:spacing w:line="480" w:lineRule="auto"/>
        <w:rPr>
          <w:lang w:val="es-ES"/>
        </w:rPr>
      </w:pPr>
    </w:p>
    <w:p w14:paraId="412EE8C1" w14:textId="3FA4142C" w:rsidR="00691D4D" w:rsidRDefault="00691D4D" w:rsidP="00691D4D">
      <w:pPr>
        <w:spacing w:line="480" w:lineRule="auto"/>
        <w:jc w:val="both"/>
        <w:rPr>
          <w:lang w:val="es-ES"/>
        </w:rPr>
      </w:pPr>
    </w:p>
    <w:p w14:paraId="14A6B095" w14:textId="59D0FA60" w:rsidR="00691D4D" w:rsidRDefault="00691D4D" w:rsidP="00691D4D">
      <w:pPr>
        <w:spacing w:line="480" w:lineRule="auto"/>
        <w:jc w:val="both"/>
        <w:rPr>
          <w:lang w:val="es-ES"/>
        </w:rPr>
      </w:pPr>
    </w:p>
    <w:p w14:paraId="16C8AF0B" w14:textId="2BEFEC19" w:rsidR="00691D4D" w:rsidRDefault="00691D4D" w:rsidP="00691D4D">
      <w:pPr>
        <w:spacing w:line="480" w:lineRule="auto"/>
        <w:jc w:val="both"/>
        <w:rPr>
          <w:lang w:val="es-ES"/>
        </w:rPr>
      </w:pPr>
    </w:p>
    <w:p w14:paraId="45616E7E" w14:textId="45D8AF4A" w:rsidR="00691D4D" w:rsidRDefault="00691D4D" w:rsidP="00691D4D">
      <w:pPr>
        <w:spacing w:line="480" w:lineRule="auto"/>
        <w:jc w:val="both"/>
        <w:rPr>
          <w:lang w:val="es-ES"/>
        </w:rPr>
      </w:pPr>
    </w:p>
    <w:p w14:paraId="24C989B8" w14:textId="62B51788" w:rsidR="00691D4D" w:rsidRDefault="00691D4D" w:rsidP="00691D4D">
      <w:pPr>
        <w:spacing w:line="480" w:lineRule="auto"/>
        <w:jc w:val="both"/>
        <w:rPr>
          <w:lang w:val="es-ES"/>
        </w:rPr>
      </w:pPr>
    </w:p>
    <w:p w14:paraId="5854A561" w14:textId="4259666F" w:rsidR="00691D4D" w:rsidRDefault="00691D4D" w:rsidP="00691D4D">
      <w:pPr>
        <w:spacing w:line="480" w:lineRule="auto"/>
        <w:jc w:val="both"/>
        <w:rPr>
          <w:lang w:val="es-ES"/>
        </w:rPr>
      </w:pPr>
    </w:p>
    <w:p w14:paraId="43D05761" w14:textId="2AB50473" w:rsidR="00691D4D" w:rsidRDefault="00691D4D" w:rsidP="00691D4D">
      <w:pPr>
        <w:spacing w:line="480" w:lineRule="auto"/>
        <w:jc w:val="both"/>
        <w:rPr>
          <w:lang w:val="es-ES"/>
        </w:rPr>
      </w:pPr>
    </w:p>
    <w:p w14:paraId="217E3C44" w14:textId="77777777" w:rsidR="00691D4D" w:rsidRPr="00EC61D4" w:rsidRDefault="00691D4D" w:rsidP="00691D4D">
      <w:pPr>
        <w:spacing w:line="480" w:lineRule="auto"/>
        <w:rPr>
          <w:b/>
          <w:bCs/>
          <w:lang w:val="es-ES_tradnl" w:eastAsia="es-ES_tradnl"/>
        </w:rPr>
      </w:pPr>
    </w:p>
    <w:sectPr w:rsidR="00691D4D" w:rsidRPr="00EC61D4" w:rsidSect="000B042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1275DB" w14:textId="77777777" w:rsidR="00AC3DEC" w:rsidRDefault="00AC3DEC" w:rsidP="0002107B">
      <w:r>
        <w:separator/>
      </w:r>
    </w:p>
  </w:endnote>
  <w:endnote w:type="continuationSeparator" w:id="0">
    <w:p w14:paraId="68B55C19" w14:textId="77777777" w:rsidR="00AC3DEC" w:rsidRDefault="00AC3DEC" w:rsidP="000210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illSans-Light">
    <w:altName w:val="Calibri"/>
    <w:charset w:val="B1"/>
    <w:family w:val="swiss"/>
    <w:pitch w:val="variable"/>
    <w:sig w:usb0="80000A67" w:usb1="00000000" w:usb2="00000000" w:usb3="00000000" w:csb0="000001F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AFDAFE" w14:textId="32534A43" w:rsidR="00852EBB" w:rsidRDefault="00852EBB">
    <w:pPr>
      <w:pBdr>
        <w:top w:val="nil"/>
        <w:left w:val="nil"/>
        <w:bottom w:val="nil"/>
        <w:right w:val="nil"/>
        <w:between w:val="nil"/>
      </w:pBdr>
      <w:tabs>
        <w:tab w:val="center" w:pos="4252"/>
        <w:tab w:val="right" w:pos="8504"/>
      </w:tabs>
      <w:jc w:val="center"/>
      <w:rPr>
        <w:smallCaps/>
        <w:color w:val="000000"/>
      </w:rPr>
    </w:pPr>
  </w:p>
  <w:p w14:paraId="53714C84" w14:textId="77777777" w:rsidR="00852EBB" w:rsidRDefault="00852EBB">
    <w:pPr>
      <w:pBdr>
        <w:top w:val="nil"/>
        <w:left w:val="nil"/>
        <w:bottom w:val="nil"/>
        <w:right w:val="nil"/>
        <w:between w:val="nil"/>
      </w:pBdr>
      <w:tabs>
        <w:tab w:val="center" w:pos="4252"/>
        <w:tab w:val="right" w:pos="8504"/>
      </w:tabs>
      <w:jc w:val="center"/>
      <w:rPr>
        <w:smallCaps/>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BA1DE2" w14:textId="5D2D6A49" w:rsidR="00852EBB" w:rsidRDefault="00852EBB">
    <w:pPr>
      <w:pBdr>
        <w:top w:val="nil"/>
        <w:left w:val="nil"/>
        <w:bottom w:val="nil"/>
        <w:right w:val="nil"/>
        <w:between w:val="nil"/>
      </w:pBdr>
      <w:tabs>
        <w:tab w:val="center" w:pos="4252"/>
        <w:tab w:val="right" w:pos="8504"/>
      </w:tabs>
      <w:jc w:val="center"/>
      <w:rPr>
        <w:smallCaps/>
        <w:color w:val="000000"/>
      </w:rPr>
    </w:pPr>
    <w:r>
      <w:rPr>
        <w:smallCaps/>
        <w:color w:val="000000"/>
      </w:rPr>
      <w:fldChar w:fldCharType="begin"/>
    </w:r>
    <w:r>
      <w:rPr>
        <w:smallCaps/>
        <w:color w:val="000000"/>
      </w:rPr>
      <w:instrText>PAGE</w:instrText>
    </w:r>
    <w:r>
      <w:rPr>
        <w:smallCaps/>
        <w:color w:val="000000"/>
      </w:rPr>
      <w:fldChar w:fldCharType="separate"/>
    </w:r>
    <w:r>
      <w:rPr>
        <w:smallCaps/>
        <w:noProof/>
        <w:color w:val="000000"/>
      </w:rPr>
      <w:t>2</w:t>
    </w:r>
    <w:r>
      <w:rPr>
        <w:smallCaps/>
        <w:color w:val="000000"/>
      </w:rPr>
      <w:fldChar w:fldCharType="end"/>
    </w:r>
    <w:r>
      <w:rPr>
        <w:smallCaps/>
        <w:color w:val="000000"/>
      </w:rPr>
      <w:t xml:space="preserve"> 9 -</w:t>
    </w:r>
  </w:p>
  <w:p w14:paraId="1E193D0C" w14:textId="77777777" w:rsidR="00852EBB" w:rsidRDefault="00852EBB">
    <w:pPr>
      <w:pBdr>
        <w:top w:val="nil"/>
        <w:left w:val="nil"/>
        <w:bottom w:val="nil"/>
        <w:right w:val="nil"/>
        <w:between w:val="nil"/>
      </w:pBdr>
      <w:tabs>
        <w:tab w:val="center" w:pos="4252"/>
        <w:tab w:val="right" w:pos="8504"/>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1BF4C8" w14:textId="77777777" w:rsidR="00852EBB" w:rsidRDefault="00852EBB">
    <w:pPr>
      <w:pBdr>
        <w:top w:val="nil"/>
        <w:left w:val="nil"/>
        <w:bottom w:val="nil"/>
        <w:right w:val="nil"/>
        <w:between w:val="nil"/>
      </w:pBdr>
      <w:tabs>
        <w:tab w:val="center" w:pos="4252"/>
        <w:tab w:val="right" w:pos="8504"/>
      </w:tabs>
      <w:jc w:val="center"/>
      <w:rPr>
        <w:smallCaps/>
        <w:color w:val="000000"/>
      </w:rPr>
    </w:pPr>
    <w:r>
      <w:rPr>
        <w:smallCaps/>
        <w:color w:val="000000"/>
      </w:rPr>
      <w:fldChar w:fldCharType="begin"/>
    </w:r>
    <w:r>
      <w:rPr>
        <w:smallCaps/>
        <w:color w:val="000000"/>
      </w:rPr>
      <w:instrText>PAGE</w:instrText>
    </w:r>
    <w:r>
      <w:rPr>
        <w:smallCaps/>
        <w:color w:val="000000"/>
      </w:rPr>
      <w:fldChar w:fldCharType="separate"/>
    </w:r>
    <w:r>
      <w:rPr>
        <w:smallCaps/>
        <w:noProof/>
        <w:color w:val="000000"/>
      </w:rPr>
      <w:t>3</w:t>
    </w:r>
    <w:r>
      <w:rPr>
        <w:smallCaps/>
        <w:color w:val="000000"/>
      </w:rPr>
      <w:fldChar w:fldCharType="end"/>
    </w:r>
  </w:p>
  <w:p w14:paraId="4E8A7DC3" w14:textId="77777777" w:rsidR="00852EBB" w:rsidRDefault="00852EBB">
    <w:pPr>
      <w:pBdr>
        <w:top w:val="nil"/>
        <w:left w:val="nil"/>
        <w:bottom w:val="nil"/>
        <w:right w:val="nil"/>
        <w:between w:val="nil"/>
      </w:pBdr>
      <w:tabs>
        <w:tab w:val="center" w:pos="4252"/>
        <w:tab w:val="right" w:pos="8504"/>
      </w:tabs>
      <w:jc w:val="center"/>
      <w:rPr>
        <w:smallCaps/>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7678FB" w14:textId="77777777" w:rsidR="00852EBB" w:rsidRDefault="00852EBB">
    <w:pPr>
      <w:pBdr>
        <w:top w:val="nil"/>
        <w:left w:val="nil"/>
        <w:bottom w:val="nil"/>
        <w:right w:val="nil"/>
        <w:between w:val="nil"/>
      </w:pBdr>
      <w:tabs>
        <w:tab w:val="center" w:pos="4252"/>
        <w:tab w:val="right" w:pos="8504"/>
      </w:tabs>
      <w:jc w:val="center"/>
      <w:rPr>
        <w:smallCaps/>
        <w:color w:val="000000"/>
      </w:rPr>
    </w:pPr>
    <w:r>
      <w:rPr>
        <w:smallCaps/>
        <w:color w:val="000000"/>
      </w:rPr>
      <w:fldChar w:fldCharType="begin"/>
    </w:r>
    <w:r>
      <w:rPr>
        <w:smallCaps/>
        <w:color w:val="000000"/>
      </w:rPr>
      <w:instrText>PAGE</w:instrText>
    </w:r>
    <w:r>
      <w:rPr>
        <w:smallCaps/>
        <w:color w:val="000000"/>
      </w:rPr>
      <w:fldChar w:fldCharType="separate"/>
    </w:r>
    <w:r>
      <w:rPr>
        <w:smallCaps/>
        <w:noProof/>
        <w:color w:val="000000"/>
      </w:rPr>
      <w:t>2</w:t>
    </w:r>
    <w:r>
      <w:rPr>
        <w:smallCaps/>
        <w:color w:val="000000"/>
      </w:rPr>
      <w:fldChar w:fldCharType="end"/>
    </w:r>
  </w:p>
  <w:p w14:paraId="6A0C27BF" w14:textId="77777777" w:rsidR="00852EBB" w:rsidRDefault="00852EBB">
    <w:pPr>
      <w:pBdr>
        <w:top w:val="nil"/>
        <w:left w:val="nil"/>
        <w:bottom w:val="nil"/>
        <w:right w:val="nil"/>
        <w:between w:val="nil"/>
      </w:pBdr>
      <w:tabs>
        <w:tab w:val="center" w:pos="4252"/>
        <w:tab w:val="right" w:pos="8504"/>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303865" w14:textId="77777777" w:rsidR="00AC3DEC" w:rsidRDefault="00AC3DEC" w:rsidP="0002107B">
      <w:r>
        <w:separator/>
      </w:r>
    </w:p>
  </w:footnote>
  <w:footnote w:type="continuationSeparator" w:id="0">
    <w:p w14:paraId="761894E0" w14:textId="77777777" w:rsidR="00AC3DEC" w:rsidRDefault="00AC3DEC" w:rsidP="0002107B">
      <w:r>
        <w:continuationSeparator/>
      </w:r>
    </w:p>
  </w:footnote>
  <w:footnote w:id="1">
    <w:p w14:paraId="2AFEA50B" w14:textId="4186EE2F" w:rsidR="00852EBB" w:rsidRDefault="00852EBB" w:rsidP="009F304A">
      <w:pPr>
        <w:pStyle w:val="Textonotapie"/>
      </w:pPr>
      <w:r>
        <w:rPr>
          <w:rStyle w:val="Refdenotaalpie"/>
        </w:rPr>
        <w:footnoteRef/>
      </w:r>
      <w:r w:rsidRPr="00CF4658">
        <w:rPr>
          <w:rFonts w:ascii="Times New Roman" w:hAnsi="Times New Roman" w:cs="Times New Roman"/>
        </w:rPr>
        <w:t xml:space="preserve">Ex officio: Dicho que la realización de un acto o un procedimiento: En el que la iniciativa parte del órgano administrativo o del tribunal, que obran en virtud de la potestad que les corresponde por derecho </w:t>
      </w:r>
      <w:sdt>
        <w:sdtPr>
          <w:rPr>
            <w:rFonts w:ascii="Times New Roman" w:hAnsi="Times New Roman" w:cs="Times New Roman"/>
          </w:rPr>
          <w:id w:val="-643512332"/>
          <w:citation/>
        </w:sdtPr>
        <w:sdtEndPr/>
        <w:sdtContent>
          <w:r w:rsidRPr="00CF4658">
            <w:rPr>
              <w:rFonts w:ascii="Times New Roman" w:hAnsi="Times New Roman" w:cs="Times New Roman"/>
            </w:rPr>
            <w:fldChar w:fldCharType="begin"/>
          </w:r>
          <w:r>
            <w:rPr>
              <w:rFonts w:ascii="Times New Roman" w:hAnsi="Times New Roman" w:cs="Times New Roman"/>
            </w:rPr>
            <w:instrText xml:space="preserve">CITATION Dic \l 12298 </w:instrText>
          </w:r>
          <w:r w:rsidRPr="00CF4658">
            <w:rPr>
              <w:rFonts w:ascii="Times New Roman" w:hAnsi="Times New Roman" w:cs="Times New Roman"/>
            </w:rPr>
            <w:fldChar w:fldCharType="separate"/>
          </w:r>
          <w:r w:rsidRPr="000048F8">
            <w:rPr>
              <w:rFonts w:ascii="Times New Roman" w:hAnsi="Times New Roman" w:cs="Times New Roman"/>
              <w:noProof/>
            </w:rPr>
            <w:t>(Diccionario panhispánico del español jurídico, 2020)</w:t>
          </w:r>
          <w:r w:rsidRPr="00CF4658">
            <w:rPr>
              <w:rFonts w:ascii="Times New Roman" w:hAnsi="Times New Roman" w:cs="Times New Roman"/>
            </w:rPr>
            <w:fldChar w:fldCharType="end"/>
          </w:r>
        </w:sdtContent>
      </w:sdt>
    </w:p>
  </w:footnote>
  <w:footnote w:id="2">
    <w:p w14:paraId="5D40E68C" w14:textId="77777777" w:rsidR="00852EBB" w:rsidRPr="009541CB" w:rsidRDefault="00852EBB" w:rsidP="009F112D">
      <w:pPr>
        <w:jc w:val="both"/>
      </w:pPr>
      <w:r>
        <w:rPr>
          <w:rStyle w:val="Refdenotaalpie"/>
        </w:rPr>
        <w:footnoteRef/>
      </w:r>
      <w:r>
        <w:t xml:space="preserve"> </w:t>
      </w:r>
      <w:r w:rsidRPr="00A7013F">
        <w:rPr>
          <w:sz w:val="21"/>
          <w:szCs w:val="21"/>
        </w:rPr>
        <w:t xml:space="preserve">5.1.3.4 Actuaciones Administrativas 1. Registros de: revenidos químicos, remarcaciones; vehículos retenidos; desaparición de personas; muertes no delictivas; medios de comunicación; vistas Fiscales; actos Fiscales administrativos; otros servicios. 2. Registros de laboratorio de ADN para clientes externos (pruebas de paternidad); 3. Registros de Actos urgentes de Fiscalía de Delincuencia Organizada. Transnacional e Internacional.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65524"/>
    <w:multiLevelType w:val="multilevel"/>
    <w:tmpl w:val="F65007D0"/>
    <w:lvl w:ilvl="0">
      <w:start w:val="1"/>
      <w:numFmt w:val="decimal"/>
      <w:pStyle w:val="Subttulo"/>
      <w:lvlText w:val="%1."/>
      <w:lvlJc w:val="left"/>
      <w:pPr>
        <w:tabs>
          <w:tab w:val="num" w:pos="1429"/>
        </w:tabs>
        <w:ind w:left="1429" w:hanging="720"/>
      </w:pPr>
    </w:lvl>
    <w:lvl w:ilvl="1">
      <w:start w:val="1"/>
      <w:numFmt w:val="decimal"/>
      <w:lvlText w:val="%2."/>
      <w:lvlJc w:val="left"/>
      <w:pPr>
        <w:tabs>
          <w:tab w:val="num" w:pos="2149"/>
        </w:tabs>
        <w:ind w:left="2149" w:hanging="720"/>
      </w:pPr>
    </w:lvl>
    <w:lvl w:ilvl="2">
      <w:start w:val="1"/>
      <w:numFmt w:val="decimal"/>
      <w:lvlText w:val="%3."/>
      <w:lvlJc w:val="left"/>
      <w:pPr>
        <w:tabs>
          <w:tab w:val="num" w:pos="2869"/>
        </w:tabs>
        <w:ind w:left="2869" w:hanging="720"/>
      </w:pPr>
    </w:lvl>
    <w:lvl w:ilvl="3">
      <w:start w:val="1"/>
      <w:numFmt w:val="decimal"/>
      <w:lvlText w:val="%4."/>
      <w:lvlJc w:val="left"/>
      <w:pPr>
        <w:tabs>
          <w:tab w:val="num" w:pos="3589"/>
        </w:tabs>
        <w:ind w:left="3589" w:hanging="720"/>
      </w:pPr>
    </w:lvl>
    <w:lvl w:ilvl="4">
      <w:start w:val="1"/>
      <w:numFmt w:val="decimal"/>
      <w:lvlText w:val="%5."/>
      <w:lvlJc w:val="left"/>
      <w:pPr>
        <w:tabs>
          <w:tab w:val="num" w:pos="4309"/>
        </w:tabs>
        <w:ind w:left="4309" w:hanging="720"/>
      </w:pPr>
    </w:lvl>
    <w:lvl w:ilvl="5">
      <w:start w:val="1"/>
      <w:numFmt w:val="decimal"/>
      <w:lvlText w:val="%6."/>
      <w:lvlJc w:val="left"/>
      <w:pPr>
        <w:tabs>
          <w:tab w:val="num" w:pos="5029"/>
        </w:tabs>
        <w:ind w:left="5029" w:hanging="720"/>
      </w:pPr>
    </w:lvl>
    <w:lvl w:ilvl="6">
      <w:start w:val="1"/>
      <w:numFmt w:val="decimal"/>
      <w:lvlText w:val="%7."/>
      <w:lvlJc w:val="left"/>
      <w:pPr>
        <w:tabs>
          <w:tab w:val="num" w:pos="5749"/>
        </w:tabs>
        <w:ind w:left="5749" w:hanging="720"/>
      </w:pPr>
    </w:lvl>
    <w:lvl w:ilvl="7">
      <w:start w:val="1"/>
      <w:numFmt w:val="decimal"/>
      <w:lvlText w:val="%8."/>
      <w:lvlJc w:val="left"/>
      <w:pPr>
        <w:tabs>
          <w:tab w:val="num" w:pos="6469"/>
        </w:tabs>
        <w:ind w:left="6469" w:hanging="720"/>
      </w:pPr>
    </w:lvl>
    <w:lvl w:ilvl="8">
      <w:start w:val="1"/>
      <w:numFmt w:val="decimal"/>
      <w:lvlText w:val="%9."/>
      <w:lvlJc w:val="left"/>
      <w:pPr>
        <w:tabs>
          <w:tab w:val="num" w:pos="7189"/>
        </w:tabs>
        <w:ind w:left="7189" w:hanging="720"/>
      </w:pPr>
    </w:lvl>
  </w:abstractNum>
  <w:abstractNum w:abstractNumId="1" w15:restartNumberingAfterBreak="0">
    <w:nsid w:val="059D0C9F"/>
    <w:multiLevelType w:val="multilevel"/>
    <w:tmpl w:val="ABBE13DA"/>
    <w:lvl w:ilvl="0">
      <w:start w:val="1"/>
      <w:numFmt w:val="decimal"/>
      <w:lvlText w:val="%1."/>
      <w:lvlJc w:val="left"/>
      <w:pPr>
        <w:ind w:left="720" w:hanging="720"/>
      </w:pPr>
      <w:rPr>
        <w:rFonts w:hint="default"/>
      </w:rPr>
    </w:lvl>
    <w:lvl w:ilvl="1">
      <w:start w:val="3"/>
      <w:numFmt w:val="decimal"/>
      <w:lvlText w:val="%1.%2."/>
      <w:lvlJc w:val="left"/>
      <w:pPr>
        <w:ind w:left="956" w:hanging="720"/>
      </w:pPr>
      <w:rPr>
        <w:rFonts w:hint="default"/>
      </w:rPr>
    </w:lvl>
    <w:lvl w:ilvl="2">
      <w:start w:val="2"/>
      <w:numFmt w:val="decimal"/>
      <w:lvlText w:val="%1.%2.%3."/>
      <w:lvlJc w:val="left"/>
      <w:pPr>
        <w:ind w:left="1192" w:hanging="720"/>
      </w:pPr>
      <w:rPr>
        <w:rFonts w:hint="default"/>
      </w:rPr>
    </w:lvl>
    <w:lvl w:ilvl="3">
      <w:start w:val="1"/>
      <w:numFmt w:val="decimal"/>
      <w:lvlText w:val="%1.%2.%3.%4."/>
      <w:lvlJc w:val="left"/>
      <w:pPr>
        <w:ind w:left="1428" w:hanging="72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688" w:hanging="1800"/>
      </w:pPr>
      <w:rPr>
        <w:rFonts w:hint="default"/>
      </w:rPr>
    </w:lvl>
  </w:abstractNum>
  <w:abstractNum w:abstractNumId="2" w15:restartNumberingAfterBreak="0">
    <w:nsid w:val="0AE474A9"/>
    <w:multiLevelType w:val="multilevel"/>
    <w:tmpl w:val="892A758E"/>
    <w:lvl w:ilvl="0">
      <w:start w:val="1"/>
      <w:numFmt w:val="decimal"/>
      <w:lvlText w:val="%1."/>
      <w:lvlJc w:val="left"/>
      <w:pPr>
        <w:ind w:left="1630" w:hanging="360"/>
      </w:pPr>
    </w:lvl>
    <w:lvl w:ilvl="1">
      <w:start w:val="2"/>
      <w:numFmt w:val="decimal"/>
      <w:lvlText w:val="%1.%2."/>
      <w:lvlJc w:val="left"/>
      <w:pPr>
        <w:ind w:left="1630" w:hanging="360"/>
      </w:pPr>
      <w:rPr>
        <w:b/>
        <w:sz w:val="24"/>
        <w:szCs w:val="24"/>
      </w:rPr>
    </w:lvl>
    <w:lvl w:ilvl="2">
      <w:start w:val="1"/>
      <w:numFmt w:val="decimal"/>
      <w:lvlText w:val="%1.%2.%3."/>
      <w:lvlJc w:val="left"/>
      <w:pPr>
        <w:ind w:left="1990" w:hanging="720"/>
      </w:pPr>
      <w:rPr>
        <w:b/>
      </w:rPr>
    </w:lvl>
    <w:lvl w:ilvl="3">
      <w:start w:val="1"/>
      <w:numFmt w:val="decimal"/>
      <w:lvlText w:val="%1.%2.%3.%4."/>
      <w:lvlJc w:val="left"/>
      <w:pPr>
        <w:ind w:left="1990" w:hanging="720"/>
      </w:pPr>
      <w:rPr>
        <w:b/>
      </w:rPr>
    </w:lvl>
    <w:lvl w:ilvl="4">
      <w:start w:val="1"/>
      <w:numFmt w:val="decimal"/>
      <w:lvlText w:val="%1.%2.%3.%4.%5."/>
      <w:lvlJc w:val="left"/>
      <w:pPr>
        <w:ind w:left="2350" w:hanging="1080"/>
      </w:pPr>
      <w:rPr>
        <w:b/>
      </w:rPr>
    </w:lvl>
    <w:lvl w:ilvl="5">
      <w:start w:val="1"/>
      <w:numFmt w:val="decimal"/>
      <w:lvlText w:val="%1.%2.%3.%4.%5.%6."/>
      <w:lvlJc w:val="left"/>
      <w:pPr>
        <w:ind w:left="2350" w:hanging="1080"/>
      </w:pPr>
      <w:rPr>
        <w:b/>
      </w:rPr>
    </w:lvl>
    <w:lvl w:ilvl="6">
      <w:start w:val="1"/>
      <w:numFmt w:val="decimal"/>
      <w:lvlText w:val="%1.%2.%3.%4.%5.%6.%7."/>
      <w:lvlJc w:val="left"/>
      <w:pPr>
        <w:ind w:left="2710" w:hanging="1440"/>
      </w:pPr>
      <w:rPr>
        <w:b/>
      </w:rPr>
    </w:lvl>
    <w:lvl w:ilvl="7">
      <w:start w:val="1"/>
      <w:numFmt w:val="decimal"/>
      <w:lvlText w:val="%1.%2.%3.%4.%5.%6.%7.%8."/>
      <w:lvlJc w:val="left"/>
      <w:pPr>
        <w:ind w:left="2710" w:hanging="1440"/>
      </w:pPr>
      <w:rPr>
        <w:b/>
      </w:rPr>
    </w:lvl>
    <w:lvl w:ilvl="8">
      <w:start w:val="1"/>
      <w:numFmt w:val="decimal"/>
      <w:lvlText w:val="%1.%2.%3.%4.%5.%6.%7.%8.%9."/>
      <w:lvlJc w:val="left"/>
      <w:pPr>
        <w:ind w:left="3070" w:hanging="1800"/>
      </w:pPr>
      <w:rPr>
        <w:b/>
      </w:rPr>
    </w:lvl>
  </w:abstractNum>
  <w:abstractNum w:abstractNumId="3" w15:restartNumberingAfterBreak="0">
    <w:nsid w:val="0F5B4E0D"/>
    <w:multiLevelType w:val="hybridMultilevel"/>
    <w:tmpl w:val="33F4A5F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4" w15:restartNumberingAfterBreak="0">
    <w:nsid w:val="14CB6F93"/>
    <w:multiLevelType w:val="hybridMultilevel"/>
    <w:tmpl w:val="36AE3524"/>
    <w:lvl w:ilvl="0" w:tplc="F4F8724C">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5" w15:restartNumberingAfterBreak="0">
    <w:nsid w:val="19DA78CE"/>
    <w:multiLevelType w:val="hybridMultilevel"/>
    <w:tmpl w:val="207EC62E"/>
    <w:lvl w:ilvl="0" w:tplc="4B845ECC">
      <w:start w:val="1"/>
      <w:numFmt w:val="upperLetter"/>
      <w:lvlText w:val="%1)"/>
      <w:lvlJc w:val="left"/>
      <w:pPr>
        <w:ind w:left="502" w:hanging="360"/>
      </w:pPr>
      <w:rPr>
        <w:rFonts w:hint="default"/>
        <w:b/>
        <w:bCs/>
      </w:rPr>
    </w:lvl>
    <w:lvl w:ilvl="1" w:tplc="300A0019" w:tentative="1">
      <w:start w:val="1"/>
      <w:numFmt w:val="lowerLetter"/>
      <w:lvlText w:val="%2."/>
      <w:lvlJc w:val="left"/>
      <w:pPr>
        <w:ind w:left="1437" w:hanging="360"/>
      </w:pPr>
    </w:lvl>
    <w:lvl w:ilvl="2" w:tplc="300A001B" w:tentative="1">
      <w:start w:val="1"/>
      <w:numFmt w:val="lowerRoman"/>
      <w:lvlText w:val="%3."/>
      <w:lvlJc w:val="right"/>
      <w:pPr>
        <w:ind w:left="2157" w:hanging="180"/>
      </w:pPr>
    </w:lvl>
    <w:lvl w:ilvl="3" w:tplc="300A000F" w:tentative="1">
      <w:start w:val="1"/>
      <w:numFmt w:val="decimal"/>
      <w:lvlText w:val="%4."/>
      <w:lvlJc w:val="left"/>
      <w:pPr>
        <w:ind w:left="2877" w:hanging="360"/>
      </w:pPr>
    </w:lvl>
    <w:lvl w:ilvl="4" w:tplc="300A0019" w:tentative="1">
      <w:start w:val="1"/>
      <w:numFmt w:val="lowerLetter"/>
      <w:lvlText w:val="%5."/>
      <w:lvlJc w:val="left"/>
      <w:pPr>
        <w:ind w:left="3597" w:hanging="360"/>
      </w:pPr>
    </w:lvl>
    <w:lvl w:ilvl="5" w:tplc="300A001B" w:tentative="1">
      <w:start w:val="1"/>
      <w:numFmt w:val="lowerRoman"/>
      <w:lvlText w:val="%6."/>
      <w:lvlJc w:val="right"/>
      <w:pPr>
        <w:ind w:left="4317" w:hanging="180"/>
      </w:pPr>
    </w:lvl>
    <w:lvl w:ilvl="6" w:tplc="300A000F" w:tentative="1">
      <w:start w:val="1"/>
      <w:numFmt w:val="decimal"/>
      <w:lvlText w:val="%7."/>
      <w:lvlJc w:val="left"/>
      <w:pPr>
        <w:ind w:left="5037" w:hanging="360"/>
      </w:pPr>
    </w:lvl>
    <w:lvl w:ilvl="7" w:tplc="300A0019" w:tentative="1">
      <w:start w:val="1"/>
      <w:numFmt w:val="lowerLetter"/>
      <w:lvlText w:val="%8."/>
      <w:lvlJc w:val="left"/>
      <w:pPr>
        <w:ind w:left="5757" w:hanging="360"/>
      </w:pPr>
    </w:lvl>
    <w:lvl w:ilvl="8" w:tplc="300A001B" w:tentative="1">
      <w:start w:val="1"/>
      <w:numFmt w:val="lowerRoman"/>
      <w:lvlText w:val="%9."/>
      <w:lvlJc w:val="right"/>
      <w:pPr>
        <w:ind w:left="6477" w:hanging="180"/>
      </w:pPr>
    </w:lvl>
  </w:abstractNum>
  <w:abstractNum w:abstractNumId="6" w15:restartNumberingAfterBreak="0">
    <w:nsid w:val="1CCE3297"/>
    <w:multiLevelType w:val="hybridMultilevel"/>
    <w:tmpl w:val="1DE069C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1E100655"/>
    <w:multiLevelType w:val="multilevel"/>
    <w:tmpl w:val="14207094"/>
    <w:lvl w:ilvl="0">
      <w:start w:val="2"/>
      <w:numFmt w:val="decimal"/>
      <w:lvlText w:val="%1."/>
      <w:lvlJc w:val="left"/>
      <w:pPr>
        <w:ind w:left="360" w:hanging="360"/>
      </w:pPr>
      <w:rPr>
        <w:rFonts w:hint="default"/>
        <w:b/>
      </w:rPr>
    </w:lvl>
    <w:lvl w:ilvl="1">
      <w:start w:val="1"/>
      <w:numFmt w:val="decimal"/>
      <w:lvlText w:val="%1.%2."/>
      <w:lvlJc w:val="left"/>
      <w:pPr>
        <w:ind w:left="502" w:hanging="360"/>
      </w:pPr>
      <w:rPr>
        <w:rFonts w:hint="default"/>
        <w:b/>
      </w:rPr>
    </w:lvl>
    <w:lvl w:ilvl="2">
      <w:start w:val="1"/>
      <w:numFmt w:val="decimal"/>
      <w:lvlText w:val="%1.%2.%3."/>
      <w:lvlJc w:val="left"/>
      <w:pPr>
        <w:ind w:left="1004" w:hanging="720"/>
      </w:pPr>
      <w:rPr>
        <w:rFonts w:hint="default"/>
        <w:b/>
      </w:rPr>
    </w:lvl>
    <w:lvl w:ilvl="3">
      <w:start w:val="1"/>
      <w:numFmt w:val="decimal"/>
      <w:lvlText w:val="%1.%2.%3.%4."/>
      <w:lvlJc w:val="left"/>
      <w:pPr>
        <w:ind w:left="1146" w:hanging="720"/>
      </w:pPr>
      <w:rPr>
        <w:rFonts w:hint="default"/>
        <w:b/>
      </w:rPr>
    </w:lvl>
    <w:lvl w:ilvl="4">
      <w:start w:val="1"/>
      <w:numFmt w:val="decimal"/>
      <w:lvlText w:val="%1.%2.%3.%4.%5."/>
      <w:lvlJc w:val="left"/>
      <w:pPr>
        <w:ind w:left="1648" w:hanging="1080"/>
      </w:pPr>
      <w:rPr>
        <w:rFonts w:hint="default"/>
        <w:b/>
      </w:rPr>
    </w:lvl>
    <w:lvl w:ilvl="5">
      <w:start w:val="1"/>
      <w:numFmt w:val="decimal"/>
      <w:lvlText w:val="%1.%2.%3.%4.%5.%6."/>
      <w:lvlJc w:val="left"/>
      <w:pPr>
        <w:ind w:left="1790" w:hanging="1080"/>
      </w:pPr>
      <w:rPr>
        <w:rFonts w:hint="default"/>
        <w:b/>
      </w:rPr>
    </w:lvl>
    <w:lvl w:ilvl="6">
      <w:start w:val="1"/>
      <w:numFmt w:val="decimal"/>
      <w:lvlText w:val="%1.%2.%3.%4.%5.%6.%7."/>
      <w:lvlJc w:val="left"/>
      <w:pPr>
        <w:ind w:left="2292" w:hanging="1440"/>
      </w:pPr>
      <w:rPr>
        <w:rFonts w:hint="default"/>
        <w:b/>
      </w:rPr>
    </w:lvl>
    <w:lvl w:ilvl="7">
      <w:start w:val="1"/>
      <w:numFmt w:val="decimal"/>
      <w:lvlText w:val="%1.%2.%3.%4.%5.%6.%7.%8."/>
      <w:lvlJc w:val="left"/>
      <w:pPr>
        <w:ind w:left="2434" w:hanging="1440"/>
      </w:pPr>
      <w:rPr>
        <w:rFonts w:hint="default"/>
        <w:b/>
      </w:rPr>
    </w:lvl>
    <w:lvl w:ilvl="8">
      <w:start w:val="1"/>
      <w:numFmt w:val="decimal"/>
      <w:lvlText w:val="%1.%2.%3.%4.%5.%6.%7.%8.%9."/>
      <w:lvlJc w:val="left"/>
      <w:pPr>
        <w:ind w:left="2936" w:hanging="1800"/>
      </w:pPr>
      <w:rPr>
        <w:rFonts w:hint="default"/>
        <w:b/>
      </w:rPr>
    </w:lvl>
  </w:abstractNum>
  <w:abstractNum w:abstractNumId="8" w15:restartNumberingAfterBreak="0">
    <w:nsid w:val="1E195725"/>
    <w:multiLevelType w:val="multilevel"/>
    <w:tmpl w:val="C6703A0A"/>
    <w:lvl w:ilvl="0">
      <w:start w:val="2"/>
      <w:numFmt w:val="decimal"/>
      <w:lvlText w:val="%1."/>
      <w:lvlJc w:val="left"/>
      <w:pPr>
        <w:ind w:left="560" w:hanging="560"/>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9364236"/>
    <w:multiLevelType w:val="multilevel"/>
    <w:tmpl w:val="B1F81AD2"/>
    <w:lvl w:ilvl="0">
      <w:start w:val="1"/>
      <w:numFmt w:val="decimal"/>
      <w:lvlText w:val="%1."/>
      <w:lvlJc w:val="left"/>
      <w:pPr>
        <w:ind w:left="720" w:hanging="720"/>
      </w:pPr>
      <w:rPr>
        <w:rFonts w:hint="default"/>
      </w:rPr>
    </w:lvl>
    <w:lvl w:ilvl="1">
      <w:start w:val="3"/>
      <w:numFmt w:val="decimal"/>
      <w:lvlText w:val="%1.%2."/>
      <w:lvlJc w:val="left"/>
      <w:pPr>
        <w:ind w:left="840" w:hanging="720"/>
      </w:pPr>
      <w:rPr>
        <w:rFonts w:hint="default"/>
      </w:rPr>
    </w:lvl>
    <w:lvl w:ilvl="2">
      <w:start w:val="2"/>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10" w15:restartNumberingAfterBreak="0">
    <w:nsid w:val="2A2B6828"/>
    <w:multiLevelType w:val="multilevel"/>
    <w:tmpl w:val="49E09E1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2C894A71"/>
    <w:multiLevelType w:val="hybridMultilevel"/>
    <w:tmpl w:val="10FE20E2"/>
    <w:lvl w:ilvl="0" w:tplc="A832372C">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15:restartNumberingAfterBreak="0">
    <w:nsid w:val="36593630"/>
    <w:multiLevelType w:val="multilevel"/>
    <w:tmpl w:val="D4124E4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ascii="Times New Roman" w:hAnsi="Times New Roman" w:cs="Times New Roman" w:hint="default"/>
      </w:rPr>
    </w:lvl>
    <w:lvl w:ilvl="3">
      <w:start w:val="1"/>
      <w:numFmt w:val="decimal"/>
      <w:isLgl/>
      <w:lvlText w:val="%1.%2.%3.%4."/>
      <w:lvlJc w:val="left"/>
      <w:pPr>
        <w:ind w:left="720" w:hanging="720"/>
      </w:pPr>
      <w:rPr>
        <w:rFonts w:hint="default"/>
        <w:i w:val="0"/>
        <w:i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38A72848"/>
    <w:multiLevelType w:val="multilevel"/>
    <w:tmpl w:val="3132AB30"/>
    <w:lvl w:ilvl="0">
      <w:start w:val="1"/>
      <w:numFmt w:val="decimal"/>
      <w:lvlText w:val="%1."/>
      <w:lvlJc w:val="left"/>
      <w:pPr>
        <w:ind w:left="360" w:hanging="360"/>
      </w:pPr>
      <w:rPr>
        <w:rFonts w:hint="default"/>
      </w:rPr>
    </w:lvl>
    <w:lvl w:ilvl="1">
      <w:start w:val="3"/>
      <w:numFmt w:val="decimal"/>
      <w:lvlText w:val="%1.%2."/>
      <w:lvlJc w:val="left"/>
      <w:pPr>
        <w:ind w:left="927"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137" w:hanging="720"/>
      </w:pPr>
      <w:rPr>
        <w:rFonts w:hint="default"/>
      </w:rPr>
    </w:lvl>
    <w:lvl w:ilvl="4">
      <w:start w:val="1"/>
      <w:numFmt w:val="decimal"/>
      <w:lvlText w:val="%1.%2.%3.%4.%5."/>
      <w:lvlJc w:val="left"/>
      <w:pPr>
        <w:ind w:left="2781" w:hanging="1080"/>
      </w:pPr>
      <w:rPr>
        <w:rFonts w:hint="default"/>
      </w:rPr>
    </w:lvl>
    <w:lvl w:ilvl="5">
      <w:start w:val="1"/>
      <w:numFmt w:val="decimal"/>
      <w:lvlText w:val="%1.%2.%3.%4.%5.%6."/>
      <w:lvlJc w:val="left"/>
      <w:pPr>
        <w:ind w:left="3348"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4" w15:restartNumberingAfterBreak="0">
    <w:nsid w:val="398F5B2B"/>
    <w:multiLevelType w:val="hybridMultilevel"/>
    <w:tmpl w:val="CD769D0A"/>
    <w:lvl w:ilvl="0" w:tplc="6DCCAA1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15:restartNumberingAfterBreak="0">
    <w:nsid w:val="39BF1114"/>
    <w:multiLevelType w:val="hybridMultilevel"/>
    <w:tmpl w:val="74F0B45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3D5A61D3"/>
    <w:multiLevelType w:val="hybridMultilevel"/>
    <w:tmpl w:val="763C3DE8"/>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15:restartNumberingAfterBreak="0">
    <w:nsid w:val="3F624819"/>
    <w:multiLevelType w:val="multilevel"/>
    <w:tmpl w:val="50C6541A"/>
    <w:lvl w:ilvl="0">
      <w:start w:val="2"/>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8" w15:restartNumberingAfterBreak="0">
    <w:nsid w:val="42796721"/>
    <w:multiLevelType w:val="hybridMultilevel"/>
    <w:tmpl w:val="4B6497E4"/>
    <w:lvl w:ilvl="0" w:tplc="84623C58">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15:restartNumberingAfterBreak="0">
    <w:nsid w:val="45E81EBD"/>
    <w:multiLevelType w:val="hybridMultilevel"/>
    <w:tmpl w:val="B3EE426E"/>
    <w:lvl w:ilvl="0" w:tplc="F4028CD0">
      <w:start w:val="1"/>
      <w:numFmt w:val="decimal"/>
      <w:lvlText w:val="%1.1"/>
      <w:lvlJc w:val="left"/>
      <w:pPr>
        <w:ind w:left="1649" w:hanging="360"/>
      </w:pPr>
      <w:rPr>
        <w:rFonts w:hint="default"/>
      </w:rPr>
    </w:lvl>
    <w:lvl w:ilvl="1" w:tplc="300A0019" w:tentative="1">
      <w:start w:val="1"/>
      <w:numFmt w:val="lowerLetter"/>
      <w:lvlText w:val="%2."/>
      <w:lvlJc w:val="left"/>
      <w:pPr>
        <w:ind w:left="2369" w:hanging="360"/>
      </w:pPr>
    </w:lvl>
    <w:lvl w:ilvl="2" w:tplc="300A001B" w:tentative="1">
      <w:start w:val="1"/>
      <w:numFmt w:val="lowerRoman"/>
      <w:lvlText w:val="%3."/>
      <w:lvlJc w:val="right"/>
      <w:pPr>
        <w:ind w:left="3089" w:hanging="180"/>
      </w:pPr>
    </w:lvl>
    <w:lvl w:ilvl="3" w:tplc="300A000F" w:tentative="1">
      <w:start w:val="1"/>
      <w:numFmt w:val="decimal"/>
      <w:lvlText w:val="%4."/>
      <w:lvlJc w:val="left"/>
      <w:pPr>
        <w:ind w:left="3809" w:hanging="360"/>
      </w:pPr>
    </w:lvl>
    <w:lvl w:ilvl="4" w:tplc="300A0019" w:tentative="1">
      <w:start w:val="1"/>
      <w:numFmt w:val="lowerLetter"/>
      <w:lvlText w:val="%5."/>
      <w:lvlJc w:val="left"/>
      <w:pPr>
        <w:ind w:left="4529" w:hanging="360"/>
      </w:pPr>
    </w:lvl>
    <w:lvl w:ilvl="5" w:tplc="300A001B" w:tentative="1">
      <w:start w:val="1"/>
      <w:numFmt w:val="lowerRoman"/>
      <w:lvlText w:val="%6."/>
      <w:lvlJc w:val="right"/>
      <w:pPr>
        <w:ind w:left="5249" w:hanging="180"/>
      </w:pPr>
    </w:lvl>
    <w:lvl w:ilvl="6" w:tplc="300A000F" w:tentative="1">
      <w:start w:val="1"/>
      <w:numFmt w:val="decimal"/>
      <w:lvlText w:val="%7."/>
      <w:lvlJc w:val="left"/>
      <w:pPr>
        <w:ind w:left="5969" w:hanging="360"/>
      </w:pPr>
    </w:lvl>
    <w:lvl w:ilvl="7" w:tplc="300A0019" w:tentative="1">
      <w:start w:val="1"/>
      <w:numFmt w:val="lowerLetter"/>
      <w:lvlText w:val="%8."/>
      <w:lvlJc w:val="left"/>
      <w:pPr>
        <w:ind w:left="6689" w:hanging="360"/>
      </w:pPr>
    </w:lvl>
    <w:lvl w:ilvl="8" w:tplc="300A001B" w:tentative="1">
      <w:start w:val="1"/>
      <w:numFmt w:val="lowerRoman"/>
      <w:lvlText w:val="%9."/>
      <w:lvlJc w:val="right"/>
      <w:pPr>
        <w:ind w:left="7409" w:hanging="180"/>
      </w:pPr>
    </w:lvl>
  </w:abstractNum>
  <w:abstractNum w:abstractNumId="20" w15:restartNumberingAfterBreak="0">
    <w:nsid w:val="4E584B62"/>
    <w:multiLevelType w:val="multilevel"/>
    <w:tmpl w:val="85325C12"/>
    <w:lvl w:ilvl="0">
      <w:start w:val="1"/>
      <w:numFmt w:val="decimal"/>
      <w:lvlText w:val="%1."/>
      <w:lvlJc w:val="left"/>
      <w:pPr>
        <w:ind w:left="900" w:hanging="900"/>
      </w:pPr>
      <w:rPr>
        <w:rFonts w:hint="default"/>
      </w:rPr>
    </w:lvl>
    <w:lvl w:ilvl="1">
      <w:start w:val="3"/>
      <w:numFmt w:val="decimal"/>
      <w:lvlText w:val="%1.%2."/>
      <w:lvlJc w:val="left"/>
      <w:pPr>
        <w:ind w:left="1112" w:hanging="900"/>
      </w:pPr>
      <w:rPr>
        <w:rFonts w:hint="default"/>
      </w:rPr>
    </w:lvl>
    <w:lvl w:ilvl="2">
      <w:start w:val="2"/>
      <w:numFmt w:val="decimal"/>
      <w:lvlText w:val="%1.%2.%3."/>
      <w:lvlJc w:val="left"/>
      <w:pPr>
        <w:ind w:left="1324" w:hanging="900"/>
      </w:pPr>
      <w:rPr>
        <w:rFonts w:hint="default"/>
      </w:rPr>
    </w:lvl>
    <w:lvl w:ilvl="3">
      <w:start w:val="1"/>
      <w:numFmt w:val="decimal"/>
      <w:lvlText w:val="%1.%2.%3.%4."/>
      <w:lvlJc w:val="left"/>
      <w:pPr>
        <w:ind w:left="1536" w:hanging="900"/>
      </w:pPr>
      <w:rPr>
        <w:rFonts w:hint="default"/>
      </w:rPr>
    </w:lvl>
    <w:lvl w:ilvl="4">
      <w:start w:val="1"/>
      <w:numFmt w:val="decimal"/>
      <w:lvlText w:val="%1.%2.%3.%4.%5."/>
      <w:lvlJc w:val="left"/>
      <w:pPr>
        <w:ind w:left="1928" w:hanging="1080"/>
      </w:pPr>
      <w:rPr>
        <w:rFonts w:hint="default"/>
      </w:rPr>
    </w:lvl>
    <w:lvl w:ilvl="5">
      <w:start w:val="1"/>
      <w:numFmt w:val="decimal"/>
      <w:lvlText w:val="%1.%2.%3.%4.%5.%6."/>
      <w:lvlJc w:val="left"/>
      <w:pPr>
        <w:ind w:left="2140" w:hanging="1080"/>
      </w:pPr>
      <w:rPr>
        <w:rFonts w:hint="default"/>
      </w:rPr>
    </w:lvl>
    <w:lvl w:ilvl="6">
      <w:start w:val="1"/>
      <w:numFmt w:val="decimal"/>
      <w:lvlText w:val="%1.%2.%3.%4.%5.%6.%7."/>
      <w:lvlJc w:val="left"/>
      <w:pPr>
        <w:ind w:left="2712" w:hanging="1440"/>
      </w:pPr>
      <w:rPr>
        <w:rFonts w:hint="default"/>
      </w:rPr>
    </w:lvl>
    <w:lvl w:ilvl="7">
      <w:start w:val="1"/>
      <w:numFmt w:val="decimal"/>
      <w:lvlText w:val="%1.%2.%3.%4.%5.%6.%7.%8."/>
      <w:lvlJc w:val="left"/>
      <w:pPr>
        <w:ind w:left="2924" w:hanging="1440"/>
      </w:pPr>
      <w:rPr>
        <w:rFonts w:hint="default"/>
      </w:rPr>
    </w:lvl>
    <w:lvl w:ilvl="8">
      <w:start w:val="1"/>
      <w:numFmt w:val="decimal"/>
      <w:lvlText w:val="%1.%2.%3.%4.%5.%6.%7.%8.%9."/>
      <w:lvlJc w:val="left"/>
      <w:pPr>
        <w:ind w:left="3496" w:hanging="1800"/>
      </w:pPr>
      <w:rPr>
        <w:rFonts w:hint="default"/>
      </w:rPr>
    </w:lvl>
  </w:abstractNum>
  <w:abstractNum w:abstractNumId="21" w15:restartNumberingAfterBreak="0">
    <w:nsid w:val="5043533F"/>
    <w:multiLevelType w:val="hybridMultilevel"/>
    <w:tmpl w:val="A1223E94"/>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2" w15:restartNumberingAfterBreak="0">
    <w:nsid w:val="52CD5A17"/>
    <w:multiLevelType w:val="hybridMultilevel"/>
    <w:tmpl w:val="9C42180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558F1360"/>
    <w:multiLevelType w:val="multilevel"/>
    <w:tmpl w:val="DF14B66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26B7AF3"/>
    <w:multiLevelType w:val="multilevel"/>
    <w:tmpl w:val="BF5CD968"/>
    <w:lvl w:ilvl="0">
      <w:start w:val="1"/>
      <w:numFmt w:val="decimal"/>
      <w:pStyle w:val="Ttulo1"/>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ascii="Times New Roman" w:hAnsi="Times New Roman" w:cs="Times New Roman" w:hint="default"/>
        <w:b/>
        <w:bCs/>
        <w:sz w:val="24"/>
        <w:szCs w:val="24"/>
      </w:rPr>
    </w:lvl>
    <w:lvl w:ilvl="3">
      <w:start w:val="1"/>
      <w:numFmt w:val="decimal"/>
      <w:isLgl/>
      <w:lvlText w:val="%1.%2.%3.%4."/>
      <w:lvlJc w:val="left"/>
      <w:pPr>
        <w:ind w:left="1080" w:hanging="720"/>
      </w:pPr>
      <w:rPr>
        <w:rFonts w:hint="default"/>
        <w:b/>
        <w:bCs/>
      </w:rPr>
    </w:lvl>
    <w:lvl w:ilvl="4">
      <w:start w:val="1"/>
      <w:numFmt w:val="decimal"/>
      <w:isLgl/>
      <w:lvlText w:val="%1.%2.%3.%4.%5."/>
      <w:lvlJc w:val="left"/>
      <w:pPr>
        <w:ind w:left="1440" w:hanging="1080"/>
      </w:pPr>
      <w:rPr>
        <w:rFonts w:ascii="Times New Roman" w:hAnsi="Times New Roman" w:cs="Times New Roman" w:hint="default"/>
        <w:b/>
        <w:bCs/>
        <w:sz w:val="24"/>
        <w:szCs w:val="24"/>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792117A"/>
    <w:multiLevelType w:val="hybridMultilevel"/>
    <w:tmpl w:val="5A168BA4"/>
    <w:lvl w:ilvl="0" w:tplc="300A000F">
      <w:start w:val="1"/>
      <w:numFmt w:val="decimal"/>
      <w:lvlText w:val="%1."/>
      <w:lvlJc w:val="left"/>
      <w:pPr>
        <w:ind w:left="1392" w:hanging="360"/>
      </w:pPr>
      <w:rPr>
        <w:rFonts w:hint="default"/>
      </w:rPr>
    </w:lvl>
    <w:lvl w:ilvl="1" w:tplc="300A0019">
      <w:start w:val="1"/>
      <w:numFmt w:val="lowerLetter"/>
      <w:lvlText w:val="%2."/>
      <w:lvlJc w:val="left"/>
      <w:pPr>
        <w:ind w:left="2112" w:hanging="360"/>
      </w:pPr>
    </w:lvl>
    <w:lvl w:ilvl="2" w:tplc="300A001B">
      <w:start w:val="1"/>
      <w:numFmt w:val="lowerRoman"/>
      <w:lvlText w:val="%3."/>
      <w:lvlJc w:val="right"/>
      <w:pPr>
        <w:ind w:left="2832" w:hanging="180"/>
      </w:pPr>
    </w:lvl>
    <w:lvl w:ilvl="3" w:tplc="300A000F" w:tentative="1">
      <w:start w:val="1"/>
      <w:numFmt w:val="decimal"/>
      <w:lvlText w:val="%4."/>
      <w:lvlJc w:val="left"/>
      <w:pPr>
        <w:ind w:left="3552" w:hanging="360"/>
      </w:pPr>
    </w:lvl>
    <w:lvl w:ilvl="4" w:tplc="300A0019" w:tentative="1">
      <w:start w:val="1"/>
      <w:numFmt w:val="lowerLetter"/>
      <w:lvlText w:val="%5."/>
      <w:lvlJc w:val="left"/>
      <w:pPr>
        <w:ind w:left="4272" w:hanging="360"/>
      </w:pPr>
    </w:lvl>
    <w:lvl w:ilvl="5" w:tplc="300A001B" w:tentative="1">
      <w:start w:val="1"/>
      <w:numFmt w:val="lowerRoman"/>
      <w:lvlText w:val="%6."/>
      <w:lvlJc w:val="right"/>
      <w:pPr>
        <w:ind w:left="4992" w:hanging="180"/>
      </w:pPr>
    </w:lvl>
    <w:lvl w:ilvl="6" w:tplc="300A000F" w:tentative="1">
      <w:start w:val="1"/>
      <w:numFmt w:val="decimal"/>
      <w:lvlText w:val="%7."/>
      <w:lvlJc w:val="left"/>
      <w:pPr>
        <w:ind w:left="5712" w:hanging="360"/>
      </w:pPr>
    </w:lvl>
    <w:lvl w:ilvl="7" w:tplc="300A0019" w:tentative="1">
      <w:start w:val="1"/>
      <w:numFmt w:val="lowerLetter"/>
      <w:lvlText w:val="%8."/>
      <w:lvlJc w:val="left"/>
      <w:pPr>
        <w:ind w:left="6432" w:hanging="360"/>
      </w:pPr>
    </w:lvl>
    <w:lvl w:ilvl="8" w:tplc="300A001B" w:tentative="1">
      <w:start w:val="1"/>
      <w:numFmt w:val="lowerRoman"/>
      <w:lvlText w:val="%9."/>
      <w:lvlJc w:val="right"/>
      <w:pPr>
        <w:ind w:left="7152" w:hanging="180"/>
      </w:pPr>
    </w:lvl>
  </w:abstractNum>
  <w:abstractNum w:abstractNumId="26" w15:restartNumberingAfterBreak="0">
    <w:nsid w:val="6B24015D"/>
    <w:multiLevelType w:val="hybridMultilevel"/>
    <w:tmpl w:val="D3B2E084"/>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 w15:restartNumberingAfterBreak="0">
    <w:nsid w:val="6B252AEF"/>
    <w:multiLevelType w:val="hybridMultilevel"/>
    <w:tmpl w:val="AAE45626"/>
    <w:lvl w:ilvl="0" w:tplc="5240EF3E">
      <w:start w:val="1"/>
      <w:numFmt w:val="decimal"/>
      <w:lvlText w:val="1.1.%1"/>
      <w:lvlJc w:val="left"/>
      <w:pPr>
        <w:ind w:left="1869" w:hanging="360"/>
      </w:pPr>
      <w:rPr>
        <w:rFonts w:hint="default"/>
      </w:rPr>
    </w:lvl>
    <w:lvl w:ilvl="1" w:tplc="300A0019" w:tentative="1">
      <w:start w:val="1"/>
      <w:numFmt w:val="lowerLetter"/>
      <w:lvlText w:val="%2."/>
      <w:lvlJc w:val="left"/>
      <w:pPr>
        <w:ind w:left="2589" w:hanging="360"/>
      </w:pPr>
    </w:lvl>
    <w:lvl w:ilvl="2" w:tplc="300A001B" w:tentative="1">
      <w:start w:val="1"/>
      <w:numFmt w:val="lowerRoman"/>
      <w:lvlText w:val="%3."/>
      <w:lvlJc w:val="right"/>
      <w:pPr>
        <w:ind w:left="3309" w:hanging="180"/>
      </w:pPr>
    </w:lvl>
    <w:lvl w:ilvl="3" w:tplc="300A000F" w:tentative="1">
      <w:start w:val="1"/>
      <w:numFmt w:val="decimal"/>
      <w:lvlText w:val="%4."/>
      <w:lvlJc w:val="left"/>
      <w:pPr>
        <w:ind w:left="4029" w:hanging="360"/>
      </w:pPr>
    </w:lvl>
    <w:lvl w:ilvl="4" w:tplc="300A0019" w:tentative="1">
      <w:start w:val="1"/>
      <w:numFmt w:val="lowerLetter"/>
      <w:lvlText w:val="%5."/>
      <w:lvlJc w:val="left"/>
      <w:pPr>
        <w:ind w:left="4749" w:hanging="360"/>
      </w:pPr>
    </w:lvl>
    <w:lvl w:ilvl="5" w:tplc="300A001B" w:tentative="1">
      <w:start w:val="1"/>
      <w:numFmt w:val="lowerRoman"/>
      <w:lvlText w:val="%6."/>
      <w:lvlJc w:val="right"/>
      <w:pPr>
        <w:ind w:left="5469" w:hanging="180"/>
      </w:pPr>
    </w:lvl>
    <w:lvl w:ilvl="6" w:tplc="300A000F" w:tentative="1">
      <w:start w:val="1"/>
      <w:numFmt w:val="decimal"/>
      <w:lvlText w:val="%7."/>
      <w:lvlJc w:val="left"/>
      <w:pPr>
        <w:ind w:left="6189" w:hanging="360"/>
      </w:pPr>
    </w:lvl>
    <w:lvl w:ilvl="7" w:tplc="300A0019" w:tentative="1">
      <w:start w:val="1"/>
      <w:numFmt w:val="lowerLetter"/>
      <w:lvlText w:val="%8."/>
      <w:lvlJc w:val="left"/>
      <w:pPr>
        <w:ind w:left="6909" w:hanging="360"/>
      </w:pPr>
    </w:lvl>
    <w:lvl w:ilvl="8" w:tplc="300A001B" w:tentative="1">
      <w:start w:val="1"/>
      <w:numFmt w:val="lowerRoman"/>
      <w:lvlText w:val="%9."/>
      <w:lvlJc w:val="right"/>
      <w:pPr>
        <w:ind w:left="7629" w:hanging="180"/>
      </w:pPr>
    </w:lvl>
  </w:abstractNum>
  <w:abstractNum w:abstractNumId="28" w15:restartNumberingAfterBreak="0">
    <w:nsid w:val="6BBC6144"/>
    <w:multiLevelType w:val="hybridMultilevel"/>
    <w:tmpl w:val="4F18B4E2"/>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9" w15:restartNumberingAfterBreak="0">
    <w:nsid w:val="6C1410BA"/>
    <w:multiLevelType w:val="hybridMultilevel"/>
    <w:tmpl w:val="95BE18C4"/>
    <w:lvl w:ilvl="0" w:tplc="DC203312">
      <w:start w:val="1"/>
      <w:numFmt w:val="upp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0" w15:restartNumberingAfterBreak="0">
    <w:nsid w:val="6E0F0336"/>
    <w:multiLevelType w:val="multilevel"/>
    <w:tmpl w:val="A094C2AC"/>
    <w:lvl w:ilvl="0">
      <w:start w:val="3"/>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70EA1F9E"/>
    <w:multiLevelType w:val="hybridMultilevel"/>
    <w:tmpl w:val="61D8F3B4"/>
    <w:lvl w:ilvl="0" w:tplc="B38EDBA8">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2" w15:restartNumberingAfterBreak="0">
    <w:nsid w:val="71D37180"/>
    <w:multiLevelType w:val="multilevel"/>
    <w:tmpl w:val="30E298D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97D1323"/>
    <w:multiLevelType w:val="multilevel"/>
    <w:tmpl w:val="A790C966"/>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B1E03E4"/>
    <w:multiLevelType w:val="hybridMultilevel"/>
    <w:tmpl w:val="CC00D9F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 w:numId="2">
    <w:abstractNumId w:val="2"/>
  </w:num>
  <w:num w:numId="3">
    <w:abstractNumId w:val="11"/>
  </w:num>
  <w:num w:numId="4">
    <w:abstractNumId w:val="18"/>
  </w:num>
  <w:num w:numId="5">
    <w:abstractNumId w:val="5"/>
  </w:num>
  <w:num w:numId="6">
    <w:abstractNumId w:val="25"/>
  </w:num>
  <w:num w:numId="7">
    <w:abstractNumId w:val="4"/>
  </w:num>
  <w:num w:numId="8">
    <w:abstractNumId w:val="16"/>
  </w:num>
  <w:num w:numId="9">
    <w:abstractNumId w:val="26"/>
  </w:num>
  <w:num w:numId="10">
    <w:abstractNumId w:val="24"/>
  </w:num>
  <w:num w:numId="11">
    <w:abstractNumId w:val="19"/>
  </w:num>
  <w:num w:numId="12">
    <w:abstractNumId w:val="27"/>
  </w:num>
  <w:num w:numId="13">
    <w:abstractNumId w:val="7"/>
  </w:num>
  <w:num w:numId="14">
    <w:abstractNumId w:val="31"/>
  </w:num>
  <w:num w:numId="1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8"/>
  </w:num>
  <w:num w:numId="17">
    <w:abstractNumId w:val="12"/>
  </w:num>
  <w:num w:numId="18">
    <w:abstractNumId w:val="6"/>
  </w:num>
  <w:num w:numId="19">
    <w:abstractNumId w:val="9"/>
  </w:num>
  <w:num w:numId="20">
    <w:abstractNumId w:val="13"/>
  </w:num>
  <w:num w:numId="21">
    <w:abstractNumId w:val="21"/>
  </w:num>
  <w:num w:numId="22">
    <w:abstractNumId w:val="29"/>
  </w:num>
  <w:num w:numId="23">
    <w:abstractNumId w:val="20"/>
  </w:num>
  <w:num w:numId="24">
    <w:abstractNumId w:val="1"/>
  </w:num>
  <w:num w:numId="25">
    <w:abstractNumId w:val="23"/>
  </w:num>
  <w:num w:numId="26">
    <w:abstractNumId w:val="8"/>
  </w:num>
  <w:num w:numId="27">
    <w:abstractNumId w:val="17"/>
  </w:num>
  <w:num w:numId="28">
    <w:abstractNumId w:val="33"/>
  </w:num>
  <w:num w:numId="29">
    <w:abstractNumId w:val="30"/>
  </w:num>
  <w:num w:numId="30">
    <w:abstractNumId w:val="10"/>
  </w:num>
  <w:num w:numId="31">
    <w:abstractNumId w:val="14"/>
  </w:num>
  <w:num w:numId="32">
    <w:abstractNumId w:val="32"/>
  </w:num>
  <w:num w:numId="33">
    <w:abstractNumId w:val="34"/>
  </w:num>
  <w:num w:numId="34">
    <w:abstractNumId w:val="22"/>
  </w:num>
  <w:num w:numId="35">
    <w:abstractNumId w:val="15"/>
  </w:num>
  <w:num w:numId="36">
    <w:abstractNumId w:val="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ES_tradnl" w:vendorID="64" w:dllVersion="409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0" w:nlCheck="1" w:checkStyle="0"/>
  <w:activeWritingStyle w:appName="MSWord" w:lang="en-US" w:vendorID="64" w:dllVersion="0" w:nlCheck="1" w:checkStyle="0"/>
  <w:activeWritingStyle w:appName="MSWord" w:lang="es-EC" w:vendorID="64" w:dllVersion="0" w:nlCheck="1" w:checkStyle="0"/>
  <w:activeWritingStyle w:appName="MSWord" w:lang="es-ES" w:vendorID="64" w:dllVersion="0" w:nlCheck="1" w:checkStyle="0"/>
  <w:proofState w:spelling="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07B"/>
    <w:rsid w:val="000048F8"/>
    <w:rsid w:val="000143A4"/>
    <w:rsid w:val="0002107B"/>
    <w:rsid w:val="0002203C"/>
    <w:rsid w:val="00022FB6"/>
    <w:rsid w:val="00024406"/>
    <w:rsid w:val="000456D5"/>
    <w:rsid w:val="00045F94"/>
    <w:rsid w:val="00060CC3"/>
    <w:rsid w:val="00066AEC"/>
    <w:rsid w:val="000672EE"/>
    <w:rsid w:val="00067F74"/>
    <w:rsid w:val="00073248"/>
    <w:rsid w:val="000803B2"/>
    <w:rsid w:val="000A02F9"/>
    <w:rsid w:val="000A344A"/>
    <w:rsid w:val="000B0429"/>
    <w:rsid w:val="000D6E51"/>
    <w:rsid w:val="001129B6"/>
    <w:rsid w:val="00115B70"/>
    <w:rsid w:val="001172C6"/>
    <w:rsid w:val="00124E9D"/>
    <w:rsid w:val="00133FFD"/>
    <w:rsid w:val="00134A1D"/>
    <w:rsid w:val="00142FDC"/>
    <w:rsid w:val="00144CF9"/>
    <w:rsid w:val="0015095F"/>
    <w:rsid w:val="00163BF5"/>
    <w:rsid w:val="00172FF0"/>
    <w:rsid w:val="00177FBE"/>
    <w:rsid w:val="001904AF"/>
    <w:rsid w:val="00193B95"/>
    <w:rsid w:val="001A5988"/>
    <w:rsid w:val="001C3394"/>
    <w:rsid w:val="001C3DD5"/>
    <w:rsid w:val="001D18B1"/>
    <w:rsid w:val="001D49B9"/>
    <w:rsid w:val="001E72E1"/>
    <w:rsid w:val="001F455D"/>
    <w:rsid w:val="0021136D"/>
    <w:rsid w:val="00214770"/>
    <w:rsid w:val="002258A5"/>
    <w:rsid w:val="0024391C"/>
    <w:rsid w:val="0024743C"/>
    <w:rsid w:val="0025053C"/>
    <w:rsid w:val="002675BC"/>
    <w:rsid w:val="00282214"/>
    <w:rsid w:val="0028724E"/>
    <w:rsid w:val="002959E1"/>
    <w:rsid w:val="002968C5"/>
    <w:rsid w:val="002B6100"/>
    <w:rsid w:val="002C5260"/>
    <w:rsid w:val="002D5852"/>
    <w:rsid w:val="002E0243"/>
    <w:rsid w:val="002E65AE"/>
    <w:rsid w:val="00304691"/>
    <w:rsid w:val="00312D90"/>
    <w:rsid w:val="00313E47"/>
    <w:rsid w:val="0033409D"/>
    <w:rsid w:val="003669CE"/>
    <w:rsid w:val="00373CB4"/>
    <w:rsid w:val="00374E84"/>
    <w:rsid w:val="00381E14"/>
    <w:rsid w:val="00386703"/>
    <w:rsid w:val="003870E0"/>
    <w:rsid w:val="003A6E3D"/>
    <w:rsid w:val="003B4618"/>
    <w:rsid w:val="003C21D9"/>
    <w:rsid w:val="003C682E"/>
    <w:rsid w:val="003E3BBC"/>
    <w:rsid w:val="004013AB"/>
    <w:rsid w:val="00402EA8"/>
    <w:rsid w:val="00411FD9"/>
    <w:rsid w:val="004140D5"/>
    <w:rsid w:val="0041603E"/>
    <w:rsid w:val="004434B4"/>
    <w:rsid w:val="0044597D"/>
    <w:rsid w:val="0044743A"/>
    <w:rsid w:val="00453C0D"/>
    <w:rsid w:val="004645ED"/>
    <w:rsid w:val="004657B2"/>
    <w:rsid w:val="004657D4"/>
    <w:rsid w:val="00465DEB"/>
    <w:rsid w:val="00470198"/>
    <w:rsid w:val="00476B36"/>
    <w:rsid w:val="0048338D"/>
    <w:rsid w:val="00485867"/>
    <w:rsid w:val="00487A61"/>
    <w:rsid w:val="00491148"/>
    <w:rsid w:val="004A5077"/>
    <w:rsid w:val="004C7C5B"/>
    <w:rsid w:val="004D5B6D"/>
    <w:rsid w:val="004E1D73"/>
    <w:rsid w:val="0050170F"/>
    <w:rsid w:val="00521E0A"/>
    <w:rsid w:val="00523543"/>
    <w:rsid w:val="00526C3C"/>
    <w:rsid w:val="005343D0"/>
    <w:rsid w:val="00540F87"/>
    <w:rsid w:val="00560841"/>
    <w:rsid w:val="005732D8"/>
    <w:rsid w:val="00575EE6"/>
    <w:rsid w:val="00597B72"/>
    <w:rsid w:val="005B74C6"/>
    <w:rsid w:val="005C5F52"/>
    <w:rsid w:val="005D6616"/>
    <w:rsid w:val="005E19CA"/>
    <w:rsid w:val="005F4D7F"/>
    <w:rsid w:val="006236E0"/>
    <w:rsid w:val="006257E1"/>
    <w:rsid w:val="00625A09"/>
    <w:rsid w:val="0063750F"/>
    <w:rsid w:val="00651EBA"/>
    <w:rsid w:val="00653733"/>
    <w:rsid w:val="00656CF6"/>
    <w:rsid w:val="00664439"/>
    <w:rsid w:val="00673743"/>
    <w:rsid w:val="0067583F"/>
    <w:rsid w:val="00681EB6"/>
    <w:rsid w:val="00691D4D"/>
    <w:rsid w:val="006972DE"/>
    <w:rsid w:val="006A66B9"/>
    <w:rsid w:val="006A76C0"/>
    <w:rsid w:val="006B620B"/>
    <w:rsid w:val="006E4F46"/>
    <w:rsid w:val="0070544D"/>
    <w:rsid w:val="00713493"/>
    <w:rsid w:val="00791D6D"/>
    <w:rsid w:val="0079398E"/>
    <w:rsid w:val="007A1153"/>
    <w:rsid w:val="007B113D"/>
    <w:rsid w:val="007B6622"/>
    <w:rsid w:val="007C6992"/>
    <w:rsid w:val="007D4053"/>
    <w:rsid w:val="007D7402"/>
    <w:rsid w:val="007E276B"/>
    <w:rsid w:val="007E4BCD"/>
    <w:rsid w:val="007F19B4"/>
    <w:rsid w:val="007F45F4"/>
    <w:rsid w:val="008026DA"/>
    <w:rsid w:val="00816F3E"/>
    <w:rsid w:val="00817390"/>
    <w:rsid w:val="00817A84"/>
    <w:rsid w:val="0083135C"/>
    <w:rsid w:val="0083186B"/>
    <w:rsid w:val="008344AF"/>
    <w:rsid w:val="00842BC6"/>
    <w:rsid w:val="00852EBB"/>
    <w:rsid w:val="008579F6"/>
    <w:rsid w:val="00872F05"/>
    <w:rsid w:val="008730CF"/>
    <w:rsid w:val="008C2CDE"/>
    <w:rsid w:val="008C7202"/>
    <w:rsid w:val="008C79B1"/>
    <w:rsid w:val="008D008B"/>
    <w:rsid w:val="008D4171"/>
    <w:rsid w:val="008E0BA4"/>
    <w:rsid w:val="008E723A"/>
    <w:rsid w:val="008F55C9"/>
    <w:rsid w:val="009025F0"/>
    <w:rsid w:val="00904B2B"/>
    <w:rsid w:val="0091204F"/>
    <w:rsid w:val="00915C6B"/>
    <w:rsid w:val="00923A57"/>
    <w:rsid w:val="00927714"/>
    <w:rsid w:val="00931CA6"/>
    <w:rsid w:val="00935050"/>
    <w:rsid w:val="009361BC"/>
    <w:rsid w:val="00951A8D"/>
    <w:rsid w:val="00953F53"/>
    <w:rsid w:val="00957EA0"/>
    <w:rsid w:val="00966443"/>
    <w:rsid w:val="00976446"/>
    <w:rsid w:val="00982273"/>
    <w:rsid w:val="00990F54"/>
    <w:rsid w:val="00992B65"/>
    <w:rsid w:val="009A27C4"/>
    <w:rsid w:val="009A2D2A"/>
    <w:rsid w:val="009A3AAE"/>
    <w:rsid w:val="009A56CF"/>
    <w:rsid w:val="009A6130"/>
    <w:rsid w:val="009D6066"/>
    <w:rsid w:val="009E071F"/>
    <w:rsid w:val="009E68B4"/>
    <w:rsid w:val="009F112D"/>
    <w:rsid w:val="009F2234"/>
    <w:rsid w:val="009F304A"/>
    <w:rsid w:val="009F5901"/>
    <w:rsid w:val="00A017D7"/>
    <w:rsid w:val="00A02DD6"/>
    <w:rsid w:val="00A03D52"/>
    <w:rsid w:val="00A078BE"/>
    <w:rsid w:val="00A10C2F"/>
    <w:rsid w:val="00A11A4F"/>
    <w:rsid w:val="00A136DD"/>
    <w:rsid w:val="00A14F18"/>
    <w:rsid w:val="00A33ACE"/>
    <w:rsid w:val="00A43751"/>
    <w:rsid w:val="00A521AA"/>
    <w:rsid w:val="00A60F5C"/>
    <w:rsid w:val="00A62393"/>
    <w:rsid w:val="00A7013F"/>
    <w:rsid w:val="00A70A30"/>
    <w:rsid w:val="00A70F07"/>
    <w:rsid w:val="00A8612C"/>
    <w:rsid w:val="00AA0F30"/>
    <w:rsid w:val="00AC35CF"/>
    <w:rsid w:val="00AC3DEC"/>
    <w:rsid w:val="00AD462A"/>
    <w:rsid w:val="00AD546A"/>
    <w:rsid w:val="00AE1455"/>
    <w:rsid w:val="00AE14F4"/>
    <w:rsid w:val="00B04668"/>
    <w:rsid w:val="00B256E1"/>
    <w:rsid w:val="00B7628E"/>
    <w:rsid w:val="00B82C21"/>
    <w:rsid w:val="00B83DAE"/>
    <w:rsid w:val="00B84B2C"/>
    <w:rsid w:val="00BA5F87"/>
    <w:rsid w:val="00BB3FD1"/>
    <w:rsid w:val="00BB696D"/>
    <w:rsid w:val="00BC5461"/>
    <w:rsid w:val="00BD3A07"/>
    <w:rsid w:val="00BE16CE"/>
    <w:rsid w:val="00BF1F4D"/>
    <w:rsid w:val="00C0681A"/>
    <w:rsid w:val="00C26471"/>
    <w:rsid w:val="00C3337A"/>
    <w:rsid w:val="00C41453"/>
    <w:rsid w:val="00C53B64"/>
    <w:rsid w:val="00C62DB3"/>
    <w:rsid w:val="00C650C9"/>
    <w:rsid w:val="00C712B9"/>
    <w:rsid w:val="00C82E8F"/>
    <w:rsid w:val="00C86B1E"/>
    <w:rsid w:val="00C95EDE"/>
    <w:rsid w:val="00CC7B6E"/>
    <w:rsid w:val="00CF2E3C"/>
    <w:rsid w:val="00CF4658"/>
    <w:rsid w:val="00D03B23"/>
    <w:rsid w:val="00D0579A"/>
    <w:rsid w:val="00D076A9"/>
    <w:rsid w:val="00D11CDE"/>
    <w:rsid w:val="00D37496"/>
    <w:rsid w:val="00D50090"/>
    <w:rsid w:val="00D53EC2"/>
    <w:rsid w:val="00D636EF"/>
    <w:rsid w:val="00D637D1"/>
    <w:rsid w:val="00D64D22"/>
    <w:rsid w:val="00D707EB"/>
    <w:rsid w:val="00D71391"/>
    <w:rsid w:val="00D72F68"/>
    <w:rsid w:val="00D80D5C"/>
    <w:rsid w:val="00D81FF0"/>
    <w:rsid w:val="00D933BD"/>
    <w:rsid w:val="00DA7A4F"/>
    <w:rsid w:val="00DB4634"/>
    <w:rsid w:val="00DB4A87"/>
    <w:rsid w:val="00DC3A12"/>
    <w:rsid w:val="00E15453"/>
    <w:rsid w:val="00E334E2"/>
    <w:rsid w:val="00E358B3"/>
    <w:rsid w:val="00E51BB9"/>
    <w:rsid w:val="00E63628"/>
    <w:rsid w:val="00E72E00"/>
    <w:rsid w:val="00E759A7"/>
    <w:rsid w:val="00E77BC0"/>
    <w:rsid w:val="00E93A76"/>
    <w:rsid w:val="00E9522E"/>
    <w:rsid w:val="00EA232E"/>
    <w:rsid w:val="00EB302C"/>
    <w:rsid w:val="00EC61D4"/>
    <w:rsid w:val="00EC7B7B"/>
    <w:rsid w:val="00ED3411"/>
    <w:rsid w:val="00EF1E67"/>
    <w:rsid w:val="00EF2246"/>
    <w:rsid w:val="00EF3900"/>
    <w:rsid w:val="00F07097"/>
    <w:rsid w:val="00F24FF8"/>
    <w:rsid w:val="00F34AED"/>
    <w:rsid w:val="00F4622F"/>
    <w:rsid w:val="00F718C7"/>
    <w:rsid w:val="00F8503F"/>
    <w:rsid w:val="00F92151"/>
    <w:rsid w:val="00FB0B73"/>
    <w:rsid w:val="00FC2DFF"/>
    <w:rsid w:val="00FD2635"/>
    <w:rsid w:val="00FE0B38"/>
    <w:rsid w:val="00FE4266"/>
    <w:rsid w:val="00FE525E"/>
    <w:rsid w:val="00FE7A87"/>
    <w:rsid w:val="00FF578D"/>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5C6874"/>
  <w15:chartTrackingRefBased/>
  <w15:docId w15:val="{FA7CEF68-039E-43EF-9BEF-1F2B80B879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1148"/>
    <w:pPr>
      <w:spacing w:after="0" w:line="240" w:lineRule="auto"/>
    </w:pPr>
    <w:rPr>
      <w:rFonts w:ascii="Times New Roman" w:eastAsia="Times New Roman" w:hAnsi="Times New Roman" w:cs="Times New Roman"/>
      <w:sz w:val="24"/>
      <w:szCs w:val="24"/>
      <w:lang w:eastAsia="es-MX"/>
    </w:rPr>
  </w:style>
  <w:style w:type="paragraph" w:styleId="Ttulo1">
    <w:name w:val="heading 1"/>
    <w:basedOn w:val="Normal"/>
    <w:next w:val="Normal"/>
    <w:link w:val="Ttulo1Car"/>
    <w:uiPriority w:val="9"/>
    <w:qFormat/>
    <w:rsid w:val="005D6616"/>
    <w:pPr>
      <w:keepNext/>
      <w:keepLines/>
      <w:numPr>
        <w:numId w:val="10"/>
      </w:numPr>
      <w:spacing w:before="240" w:line="480" w:lineRule="auto"/>
      <w:jc w:val="both"/>
      <w:outlineLvl w:val="0"/>
    </w:pPr>
    <w:rPr>
      <w:rFonts w:eastAsiaTheme="majorEastAsia" w:cstheme="majorBidi"/>
      <w:b/>
      <w:color w:val="000000" w:themeColor="text1"/>
      <w:szCs w:val="32"/>
      <w:lang w:eastAsia="en-US"/>
    </w:rPr>
  </w:style>
  <w:style w:type="paragraph" w:styleId="Ttulo2">
    <w:name w:val="heading 2"/>
    <w:basedOn w:val="Normal"/>
    <w:next w:val="Normal"/>
    <w:link w:val="Ttulo2Car"/>
    <w:uiPriority w:val="9"/>
    <w:unhideWhenUsed/>
    <w:qFormat/>
    <w:rsid w:val="005D6616"/>
    <w:pPr>
      <w:keepNext/>
      <w:keepLines/>
      <w:spacing w:before="40" w:line="480" w:lineRule="auto"/>
      <w:jc w:val="both"/>
      <w:outlineLvl w:val="1"/>
    </w:pPr>
    <w:rPr>
      <w:rFonts w:eastAsiaTheme="majorEastAsia" w:cstheme="majorBidi"/>
      <w:b/>
      <w:color w:val="000000" w:themeColor="text1"/>
      <w:szCs w:val="26"/>
      <w:lang w:eastAsia="en-US"/>
    </w:rPr>
  </w:style>
  <w:style w:type="paragraph" w:styleId="Ttulo3">
    <w:name w:val="heading 3"/>
    <w:basedOn w:val="Normal"/>
    <w:next w:val="Normal"/>
    <w:link w:val="Ttulo3Car"/>
    <w:uiPriority w:val="9"/>
    <w:unhideWhenUsed/>
    <w:qFormat/>
    <w:rsid w:val="005D6616"/>
    <w:pPr>
      <w:keepNext/>
      <w:keepLines/>
      <w:spacing w:before="40" w:line="480" w:lineRule="auto"/>
      <w:outlineLvl w:val="2"/>
    </w:pPr>
    <w:rPr>
      <w:rFonts w:eastAsiaTheme="majorEastAsia" w:cstheme="majorBidi"/>
      <w:b/>
      <w:color w:val="000000" w:themeColor="text1"/>
      <w:lang w:eastAsia="en-US"/>
    </w:rPr>
  </w:style>
  <w:style w:type="paragraph" w:styleId="Ttulo4">
    <w:name w:val="heading 4"/>
    <w:basedOn w:val="Normal"/>
    <w:next w:val="Normal"/>
    <w:link w:val="Ttulo4Car"/>
    <w:uiPriority w:val="9"/>
    <w:unhideWhenUsed/>
    <w:qFormat/>
    <w:rsid w:val="0002107B"/>
    <w:pPr>
      <w:keepNext/>
      <w:keepLines/>
      <w:spacing w:before="240" w:after="40" w:line="480" w:lineRule="auto"/>
      <w:ind w:firstLine="709"/>
      <w:jc w:val="both"/>
      <w:outlineLvl w:val="3"/>
    </w:pPr>
    <w:rPr>
      <w:rFonts w:ascii="Calibri" w:eastAsia="Calibri" w:hAnsi="Calibri" w:cs="Calibri"/>
      <w:b/>
      <w:lang w:val="es-ES_tradnl" w:eastAsia="es-ES_tradnl"/>
    </w:rPr>
  </w:style>
  <w:style w:type="paragraph" w:styleId="Ttulo5">
    <w:name w:val="heading 5"/>
    <w:basedOn w:val="Normal"/>
    <w:next w:val="Normal"/>
    <w:link w:val="Ttulo5Car"/>
    <w:uiPriority w:val="9"/>
    <w:unhideWhenUsed/>
    <w:qFormat/>
    <w:rsid w:val="0002107B"/>
    <w:pPr>
      <w:keepNext/>
      <w:keepLines/>
      <w:spacing w:before="220" w:after="40" w:line="480" w:lineRule="auto"/>
      <w:ind w:firstLine="709"/>
      <w:jc w:val="both"/>
      <w:outlineLvl w:val="4"/>
    </w:pPr>
    <w:rPr>
      <w:rFonts w:ascii="Calibri" w:eastAsia="Calibri" w:hAnsi="Calibri" w:cs="Calibri"/>
      <w:b/>
      <w:sz w:val="22"/>
      <w:szCs w:val="22"/>
      <w:lang w:val="es-ES_tradnl" w:eastAsia="es-ES_tradnl"/>
    </w:rPr>
  </w:style>
  <w:style w:type="paragraph" w:styleId="Ttulo6">
    <w:name w:val="heading 6"/>
    <w:basedOn w:val="Normal"/>
    <w:next w:val="Normal"/>
    <w:link w:val="Ttulo6Car"/>
    <w:uiPriority w:val="9"/>
    <w:unhideWhenUsed/>
    <w:qFormat/>
    <w:rsid w:val="0002107B"/>
    <w:pPr>
      <w:keepNext/>
      <w:keepLines/>
      <w:spacing w:before="200" w:after="40" w:line="480" w:lineRule="auto"/>
      <w:ind w:firstLine="709"/>
      <w:jc w:val="both"/>
      <w:outlineLvl w:val="5"/>
    </w:pPr>
    <w:rPr>
      <w:rFonts w:ascii="Calibri" w:eastAsia="Calibri" w:hAnsi="Calibri" w:cs="Calibri"/>
      <w:b/>
      <w:sz w:val="20"/>
      <w:szCs w:val="20"/>
      <w:lang w:val="es-ES_tradnl" w:eastAsia="es-ES_tradnl"/>
    </w:rPr>
  </w:style>
  <w:style w:type="paragraph" w:styleId="Ttulo7">
    <w:name w:val="heading 7"/>
    <w:basedOn w:val="Normal"/>
    <w:next w:val="Normal"/>
    <w:link w:val="Ttulo7Car"/>
    <w:uiPriority w:val="9"/>
    <w:unhideWhenUsed/>
    <w:qFormat/>
    <w:rsid w:val="0041603E"/>
    <w:pPr>
      <w:keepNext/>
      <w:keepLines/>
      <w:spacing w:before="40" w:line="259" w:lineRule="auto"/>
      <w:outlineLvl w:val="6"/>
    </w:pPr>
    <w:rPr>
      <w:rFonts w:asciiTheme="majorHAnsi" w:eastAsiaTheme="majorEastAsia" w:hAnsiTheme="majorHAnsi" w:cstheme="majorBidi"/>
      <w:i/>
      <w:iCs/>
      <w:color w:val="1F3763" w:themeColor="accent1" w:themeShade="7F"/>
      <w:sz w:val="22"/>
      <w:szCs w:val="22"/>
      <w:lang w:eastAsia="en-US"/>
    </w:rPr>
  </w:style>
  <w:style w:type="paragraph" w:styleId="Ttulo8">
    <w:name w:val="heading 8"/>
    <w:basedOn w:val="Normal"/>
    <w:next w:val="Normal"/>
    <w:link w:val="Ttulo8Car"/>
    <w:uiPriority w:val="9"/>
    <w:unhideWhenUsed/>
    <w:qFormat/>
    <w:rsid w:val="003B4618"/>
    <w:pPr>
      <w:keepNext/>
      <w:keepLines/>
      <w:spacing w:before="40" w:line="259" w:lineRule="auto"/>
      <w:outlineLvl w:val="7"/>
    </w:pPr>
    <w:rPr>
      <w:rFonts w:asciiTheme="majorHAnsi" w:eastAsiaTheme="majorEastAsia" w:hAnsiTheme="majorHAnsi" w:cstheme="majorBidi"/>
      <w:color w:val="272727" w:themeColor="text1" w:themeTint="D8"/>
      <w:sz w:val="21"/>
      <w:szCs w:val="21"/>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D6616"/>
    <w:rPr>
      <w:rFonts w:ascii="Times New Roman" w:eastAsiaTheme="majorEastAsia" w:hAnsi="Times New Roman" w:cstheme="majorBidi"/>
      <w:b/>
      <w:color w:val="000000" w:themeColor="text1"/>
      <w:sz w:val="24"/>
      <w:szCs w:val="32"/>
    </w:rPr>
  </w:style>
  <w:style w:type="character" w:customStyle="1" w:styleId="Ttulo2Car">
    <w:name w:val="Título 2 Car"/>
    <w:basedOn w:val="Fuentedeprrafopredeter"/>
    <w:link w:val="Ttulo2"/>
    <w:uiPriority w:val="9"/>
    <w:rsid w:val="005D6616"/>
    <w:rPr>
      <w:rFonts w:ascii="Times New Roman" w:eastAsiaTheme="majorEastAsia" w:hAnsi="Times New Roman" w:cstheme="majorBidi"/>
      <w:b/>
      <w:color w:val="000000" w:themeColor="text1"/>
      <w:sz w:val="24"/>
      <w:szCs w:val="26"/>
    </w:rPr>
  </w:style>
  <w:style w:type="paragraph" w:styleId="Subttulo">
    <w:name w:val="Subtitle"/>
    <w:basedOn w:val="Normal"/>
    <w:next w:val="Normal"/>
    <w:link w:val="SubttuloCar"/>
    <w:uiPriority w:val="11"/>
    <w:qFormat/>
    <w:rsid w:val="005D6616"/>
    <w:pPr>
      <w:numPr>
        <w:numId w:val="1"/>
      </w:numPr>
      <w:spacing w:after="160" w:line="480" w:lineRule="auto"/>
      <w:ind w:hanging="360"/>
      <w:jc w:val="both"/>
    </w:pPr>
    <w:rPr>
      <w:rFonts w:eastAsiaTheme="minorEastAsia" w:cstheme="minorBidi"/>
      <w:b/>
      <w:color w:val="000000" w:themeColor="text1"/>
      <w:spacing w:val="15"/>
      <w:szCs w:val="22"/>
      <w:lang w:eastAsia="en-US"/>
    </w:rPr>
  </w:style>
  <w:style w:type="character" w:customStyle="1" w:styleId="SubttuloCar">
    <w:name w:val="Subtítulo Car"/>
    <w:basedOn w:val="Fuentedeprrafopredeter"/>
    <w:link w:val="Subttulo"/>
    <w:uiPriority w:val="11"/>
    <w:rsid w:val="005D6616"/>
    <w:rPr>
      <w:rFonts w:ascii="Times New Roman" w:eastAsiaTheme="minorEastAsia" w:hAnsi="Times New Roman"/>
      <w:b/>
      <w:color w:val="000000" w:themeColor="text1"/>
      <w:spacing w:val="15"/>
      <w:sz w:val="24"/>
    </w:rPr>
  </w:style>
  <w:style w:type="character" w:customStyle="1" w:styleId="Ttulo3Car">
    <w:name w:val="Título 3 Car"/>
    <w:basedOn w:val="Fuentedeprrafopredeter"/>
    <w:link w:val="Ttulo3"/>
    <w:uiPriority w:val="9"/>
    <w:rsid w:val="005D6616"/>
    <w:rPr>
      <w:rFonts w:ascii="Times New Roman" w:eastAsiaTheme="majorEastAsia" w:hAnsi="Times New Roman" w:cstheme="majorBidi"/>
      <w:b/>
      <w:color w:val="000000" w:themeColor="text1"/>
      <w:sz w:val="24"/>
      <w:szCs w:val="24"/>
    </w:rPr>
  </w:style>
  <w:style w:type="character" w:customStyle="1" w:styleId="Ttulo4Car">
    <w:name w:val="Título 4 Car"/>
    <w:basedOn w:val="Fuentedeprrafopredeter"/>
    <w:link w:val="Ttulo4"/>
    <w:uiPriority w:val="9"/>
    <w:rsid w:val="0002107B"/>
    <w:rPr>
      <w:rFonts w:ascii="Calibri" w:eastAsia="Calibri" w:hAnsi="Calibri" w:cs="Calibri"/>
      <w:b/>
      <w:sz w:val="24"/>
      <w:szCs w:val="24"/>
      <w:lang w:val="es-ES_tradnl" w:eastAsia="es-ES_tradnl"/>
    </w:rPr>
  </w:style>
  <w:style w:type="character" w:customStyle="1" w:styleId="Ttulo5Car">
    <w:name w:val="Título 5 Car"/>
    <w:basedOn w:val="Fuentedeprrafopredeter"/>
    <w:link w:val="Ttulo5"/>
    <w:uiPriority w:val="9"/>
    <w:rsid w:val="0002107B"/>
    <w:rPr>
      <w:rFonts w:ascii="Calibri" w:eastAsia="Calibri" w:hAnsi="Calibri" w:cs="Calibri"/>
      <w:b/>
      <w:lang w:val="es-ES_tradnl" w:eastAsia="es-ES_tradnl"/>
    </w:rPr>
  </w:style>
  <w:style w:type="character" w:customStyle="1" w:styleId="Ttulo6Car">
    <w:name w:val="Título 6 Car"/>
    <w:basedOn w:val="Fuentedeprrafopredeter"/>
    <w:link w:val="Ttulo6"/>
    <w:uiPriority w:val="9"/>
    <w:rsid w:val="0002107B"/>
    <w:rPr>
      <w:rFonts w:ascii="Calibri" w:eastAsia="Calibri" w:hAnsi="Calibri" w:cs="Calibri"/>
      <w:b/>
      <w:sz w:val="20"/>
      <w:szCs w:val="20"/>
      <w:lang w:val="es-ES_tradnl" w:eastAsia="es-ES_tradnl"/>
    </w:rPr>
  </w:style>
  <w:style w:type="numbering" w:customStyle="1" w:styleId="Sinlista1">
    <w:name w:val="Sin lista1"/>
    <w:next w:val="Sinlista"/>
    <w:uiPriority w:val="99"/>
    <w:semiHidden/>
    <w:unhideWhenUsed/>
    <w:rsid w:val="0002107B"/>
  </w:style>
  <w:style w:type="table" w:customStyle="1" w:styleId="TableNormal">
    <w:name w:val="Table Normal"/>
    <w:rsid w:val="0002107B"/>
    <w:pPr>
      <w:spacing w:after="0" w:line="480" w:lineRule="auto"/>
      <w:ind w:firstLine="709"/>
      <w:jc w:val="both"/>
    </w:pPr>
    <w:rPr>
      <w:rFonts w:ascii="Calibri" w:eastAsia="Calibri" w:hAnsi="Calibri" w:cs="Calibri"/>
      <w:lang w:eastAsia="es-ES_tradnl"/>
    </w:rPr>
    <w:tblPr>
      <w:tblCellMar>
        <w:top w:w="0" w:type="dxa"/>
        <w:left w:w="0" w:type="dxa"/>
        <w:bottom w:w="0" w:type="dxa"/>
        <w:right w:w="0" w:type="dxa"/>
      </w:tblCellMar>
    </w:tblPr>
  </w:style>
  <w:style w:type="paragraph" w:styleId="Ttulo">
    <w:name w:val="Title"/>
    <w:basedOn w:val="Normal"/>
    <w:next w:val="Normal"/>
    <w:link w:val="TtuloCar"/>
    <w:uiPriority w:val="10"/>
    <w:qFormat/>
    <w:rsid w:val="0002107B"/>
    <w:pPr>
      <w:keepNext/>
      <w:keepLines/>
      <w:spacing w:before="480" w:after="120" w:line="480" w:lineRule="auto"/>
      <w:ind w:firstLine="709"/>
      <w:jc w:val="both"/>
    </w:pPr>
    <w:rPr>
      <w:rFonts w:ascii="Calibri" w:eastAsia="Calibri" w:hAnsi="Calibri" w:cs="Calibri"/>
      <w:b/>
      <w:sz w:val="72"/>
      <w:szCs w:val="72"/>
      <w:lang w:val="es-ES_tradnl" w:eastAsia="es-ES_tradnl"/>
    </w:rPr>
  </w:style>
  <w:style w:type="character" w:customStyle="1" w:styleId="TtuloCar">
    <w:name w:val="Título Car"/>
    <w:basedOn w:val="Fuentedeprrafopredeter"/>
    <w:link w:val="Ttulo"/>
    <w:uiPriority w:val="10"/>
    <w:rsid w:val="0002107B"/>
    <w:rPr>
      <w:rFonts w:ascii="Calibri" w:eastAsia="Calibri" w:hAnsi="Calibri" w:cs="Calibri"/>
      <w:b/>
      <w:sz w:val="72"/>
      <w:szCs w:val="72"/>
      <w:lang w:val="es-ES_tradnl" w:eastAsia="es-ES_tradnl"/>
    </w:rPr>
  </w:style>
  <w:style w:type="paragraph" w:styleId="Prrafodelista">
    <w:name w:val="List Paragraph"/>
    <w:basedOn w:val="Normal"/>
    <w:uiPriority w:val="34"/>
    <w:qFormat/>
    <w:rsid w:val="0002107B"/>
    <w:pPr>
      <w:spacing w:line="480" w:lineRule="auto"/>
      <w:ind w:left="720" w:firstLine="709"/>
      <w:contextualSpacing/>
      <w:jc w:val="both"/>
    </w:pPr>
    <w:rPr>
      <w:rFonts w:ascii="Calibri" w:eastAsia="Calibri" w:hAnsi="Calibri" w:cs="Calibri"/>
      <w:sz w:val="22"/>
      <w:szCs w:val="22"/>
      <w:lang w:val="es-ES_tradnl" w:eastAsia="es-ES_tradnl"/>
    </w:rPr>
  </w:style>
  <w:style w:type="paragraph" w:styleId="TtuloTDC">
    <w:name w:val="TOC Heading"/>
    <w:basedOn w:val="Ttulo1"/>
    <w:next w:val="Normal"/>
    <w:uiPriority w:val="39"/>
    <w:unhideWhenUsed/>
    <w:qFormat/>
    <w:rsid w:val="0002107B"/>
    <w:pPr>
      <w:spacing w:line="259" w:lineRule="auto"/>
      <w:jc w:val="left"/>
      <w:outlineLvl w:val="9"/>
    </w:pPr>
    <w:rPr>
      <w:rFonts w:asciiTheme="majorHAnsi" w:hAnsiTheme="majorHAnsi"/>
      <w:b w:val="0"/>
      <w:color w:val="2F5496" w:themeColor="accent1" w:themeShade="BF"/>
      <w:sz w:val="32"/>
      <w:lang w:val="es-ES_tradnl" w:eastAsia="es-EC"/>
    </w:rPr>
  </w:style>
  <w:style w:type="paragraph" w:styleId="TDC1">
    <w:name w:val="toc 1"/>
    <w:basedOn w:val="Normal"/>
    <w:next w:val="Normal"/>
    <w:autoRedefine/>
    <w:uiPriority w:val="39"/>
    <w:unhideWhenUsed/>
    <w:rsid w:val="0002107B"/>
    <w:pPr>
      <w:spacing w:before="120" w:line="259" w:lineRule="auto"/>
    </w:pPr>
    <w:rPr>
      <w:rFonts w:asciiTheme="minorHAnsi" w:eastAsiaTheme="minorHAnsi" w:hAnsiTheme="minorHAnsi" w:cstheme="minorHAnsi"/>
      <w:b/>
      <w:bCs/>
      <w:i/>
      <w:iCs/>
      <w:lang w:eastAsia="en-US"/>
    </w:rPr>
  </w:style>
  <w:style w:type="character" w:styleId="Hipervnculo">
    <w:name w:val="Hyperlink"/>
    <w:basedOn w:val="Fuentedeprrafopredeter"/>
    <w:uiPriority w:val="99"/>
    <w:unhideWhenUsed/>
    <w:rsid w:val="0002107B"/>
    <w:rPr>
      <w:color w:val="0563C1" w:themeColor="hyperlink"/>
      <w:u w:val="single"/>
    </w:rPr>
  </w:style>
  <w:style w:type="paragraph" w:styleId="TDC2">
    <w:name w:val="toc 2"/>
    <w:basedOn w:val="Normal"/>
    <w:next w:val="Normal"/>
    <w:autoRedefine/>
    <w:uiPriority w:val="39"/>
    <w:unhideWhenUsed/>
    <w:rsid w:val="00C62DB3"/>
    <w:pPr>
      <w:spacing w:before="120" w:line="259" w:lineRule="auto"/>
      <w:ind w:left="220"/>
    </w:pPr>
    <w:rPr>
      <w:rFonts w:asciiTheme="minorHAnsi" w:eastAsiaTheme="minorHAnsi" w:hAnsiTheme="minorHAnsi" w:cstheme="minorHAnsi"/>
      <w:b/>
      <w:bCs/>
      <w:sz w:val="22"/>
      <w:szCs w:val="22"/>
      <w:lang w:eastAsia="en-US"/>
    </w:rPr>
  </w:style>
  <w:style w:type="paragraph" w:styleId="TDC3">
    <w:name w:val="toc 3"/>
    <w:basedOn w:val="Normal"/>
    <w:next w:val="Normal"/>
    <w:autoRedefine/>
    <w:uiPriority w:val="39"/>
    <w:unhideWhenUsed/>
    <w:rsid w:val="00C62DB3"/>
    <w:pPr>
      <w:spacing w:line="259" w:lineRule="auto"/>
      <w:ind w:left="440"/>
    </w:pPr>
    <w:rPr>
      <w:rFonts w:asciiTheme="minorHAnsi" w:eastAsiaTheme="minorHAnsi" w:hAnsiTheme="minorHAnsi" w:cstheme="minorHAnsi"/>
      <w:sz w:val="20"/>
      <w:szCs w:val="20"/>
      <w:lang w:eastAsia="en-US"/>
    </w:rPr>
  </w:style>
  <w:style w:type="paragraph" w:styleId="Encabezado">
    <w:name w:val="header"/>
    <w:basedOn w:val="Normal"/>
    <w:link w:val="EncabezadoCar"/>
    <w:uiPriority w:val="99"/>
    <w:unhideWhenUsed/>
    <w:rsid w:val="0002107B"/>
    <w:pPr>
      <w:tabs>
        <w:tab w:val="center" w:pos="4252"/>
        <w:tab w:val="right" w:pos="8504"/>
      </w:tabs>
      <w:ind w:firstLine="709"/>
      <w:jc w:val="both"/>
    </w:pPr>
    <w:rPr>
      <w:rFonts w:ascii="Calibri" w:eastAsia="Calibri" w:hAnsi="Calibri" w:cs="Calibri"/>
      <w:sz w:val="22"/>
      <w:szCs w:val="22"/>
      <w:lang w:val="es-ES_tradnl" w:eastAsia="es-ES_tradnl"/>
    </w:rPr>
  </w:style>
  <w:style w:type="character" w:customStyle="1" w:styleId="EncabezadoCar">
    <w:name w:val="Encabezado Car"/>
    <w:basedOn w:val="Fuentedeprrafopredeter"/>
    <w:link w:val="Encabezado"/>
    <w:uiPriority w:val="99"/>
    <w:rsid w:val="0002107B"/>
    <w:rPr>
      <w:rFonts w:ascii="Calibri" w:eastAsia="Calibri" w:hAnsi="Calibri" w:cs="Calibri"/>
      <w:lang w:val="es-ES_tradnl" w:eastAsia="es-ES_tradnl"/>
    </w:rPr>
  </w:style>
  <w:style w:type="paragraph" w:styleId="Piedepgina">
    <w:name w:val="footer"/>
    <w:basedOn w:val="Normal"/>
    <w:link w:val="PiedepginaCar"/>
    <w:uiPriority w:val="99"/>
    <w:unhideWhenUsed/>
    <w:rsid w:val="0002107B"/>
    <w:pPr>
      <w:tabs>
        <w:tab w:val="center" w:pos="4252"/>
        <w:tab w:val="right" w:pos="8504"/>
      </w:tabs>
      <w:ind w:firstLine="709"/>
      <w:jc w:val="both"/>
    </w:pPr>
    <w:rPr>
      <w:rFonts w:ascii="Calibri" w:eastAsia="Calibri" w:hAnsi="Calibri" w:cs="Calibri"/>
      <w:sz w:val="22"/>
      <w:szCs w:val="22"/>
      <w:lang w:val="es-ES_tradnl" w:eastAsia="es-ES_tradnl"/>
    </w:rPr>
  </w:style>
  <w:style w:type="character" w:customStyle="1" w:styleId="PiedepginaCar">
    <w:name w:val="Pie de página Car"/>
    <w:basedOn w:val="Fuentedeprrafopredeter"/>
    <w:link w:val="Piedepgina"/>
    <w:uiPriority w:val="99"/>
    <w:rsid w:val="0002107B"/>
    <w:rPr>
      <w:rFonts w:ascii="Calibri" w:eastAsia="Calibri" w:hAnsi="Calibri" w:cs="Calibri"/>
      <w:lang w:val="es-ES_tradnl" w:eastAsia="es-ES_tradnl"/>
    </w:rPr>
  </w:style>
  <w:style w:type="paragraph" w:styleId="Bibliografa">
    <w:name w:val="Bibliography"/>
    <w:basedOn w:val="Normal"/>
    <w:next w:val="Normal"/>
    <w:uiPriority w:val="37"/>
    <w:unhideWhenUsed/>
    <w:rsid w:val="0002107B"/>
    <w:pPr>
      <w:spacing w:line="480" w:lineRule="auto"/>
      <w:ind w:firstLine="709"/>
      <w:jc w:val="both"/>
    </w:pPr>
    <w:rPr>
      <w:rFonts w:ascii="Calibri" w:eastAsia="Calibri" w:hAnsi="Calibri" w:cs="Calibri"/>
      <w:sz w:val="22"/>
      <w:szCs w:val="22"/>
      <w:lang w:val="es-ES_tradnl" w:eastAsia="es-ES_tradnl"/>
    </w:rPr>
  </w:style>
  <w:style w:type="character" w:styleId="Mencinsinresolver">
    <w:name w:val="Unresolved Mention"/>
    <w:basedOn w:val="Fuentedeprrafopredeter"/>
    <w:uiPriority w:val="99"/>
    <w:semiHidden/>
    <w:unhideWhenUsed/>
    <w:rsid w:val="0002107B"/>
    <w:rPr>
      <w:color w:val="605E5C"/>
      <w:shd w:val="clear" w:color="auto" w:fill="E1DFDD"/>
    </w:rPr>
  </w:style>
  <w:style w:type="character" w:styleId="Refdecomentario">
    <w:name w:val="annotation reference"/>
    <w:basedOn w:val="Fuentedeprrafopredeter"/>
    <w:uiPriority w:val="99"/>
    <w:semiHidden/>
    <w:unhideWhenUsed/>
    <w:rsid w:val="0002107B"/>
    <w:rPr>
      <w:sz w:val="16"/>
      <w:szCs w:val="16"/>
    </w:rPr>
  </w:style>
  <w:style w:type="paragraph" w:styleId="Textocomentario">
    <w:name w:val="annotation text"/>
    <w:basedOn w:val="Normal"/>
    <w:link w:val="TextocomentarioCar"/>
    <w:uiPriority w:val="99"/>
    <w:semiHidden/>
    <w:unhideWhenUsed/>
    <w:rsid w:val="0002107B"/>
    <w:pPr>
      <w:ind w:firstLine="709"/>
      <w:jc w:val="both"/>
    </w:pPr>
    <w:rPr>
      <w:rFonts w:ascii="Calibri" w:eastAsia="Calibri" w:hAnsi="Calibri" w:cs="Calibri"/>
      <w:sz w:val="20"/>
      <w:szCs w:val="20"/>
      <w:lang w:val="es-ES_tradnl" w:eastAsia="es-ES_tradnl"/>
    </w:rPr>
  </w:style>
  <w:style w:type="character" w:customStyle="1" w:styleId="TextocomentarioCar">
    <w:name w:val="Texto comentario Car"/>
    <w:basedOn w:val="Fuentedeprrafopredeter"/>
    <w:link w:val="Textocomentario"/>
    <w:uiPriority w:val="99"/>
    <w:semiHidden/>
    <w:rsid w:val="0002107B"/>
    <w:rPr>
      <w:rFonts w:ascii="Calibri" w:eastAsia="Calibri" w:hAnsi="Calibri" w:cs="Calibri"/>
      <w:sz w:val="20"/>
      <w:szCs w:val="20"/>
      <w:lang w:val="es-ES_tradnl" w:eastAsia="es-ES_tradnl"/>
    </w:rPr>
  </w:style>
  <w:style w:type="paragraph" w:styleId="Asuntodelcomentario">
    <w:name w:val="annotation subject"/>
    <w:basedOn w:val="Textocomentario"/>
    <w:next w:val="Textocomentario"/>
    <w:link w:val="AsuntodelcomentarioCar"/>
    <w:uiPriority w:val="99"/>
    <w:semiHidden/>
    <w:unhideWhenUsed/>
    <w:rsid w:val="0002107B"/>
    <w:rPr>
      <w:b/>
      <w:bCs/>
    </w:rPr>
  </w:style>
  <w:style w:type="character" w:customStyle="1" w:styleId="AsuntodelcomentarioCar">
    <w:name w:val="Asunto del comentario Car"/>
    <w:basedOn w:val="TextocomentarioCar"/>
    <w:link w:val="Asuntodelcomentario"/>
    <w:uiPriority w:val="99"/>
    <w:semiHidden/>
    <w:rsid w:val="0002107B"/>
    <w:rPr>
      <w:rFonts w:ascii="Calibri" w:eastAsia="Calibri" w:hAnsi="Calibri" w:cs="Calibri"/>
      <w:b/>
      <w:bCs/>
      <w:sz w:val="20"/>
      <w:szCs w:val="20"/>
      <w:lang w:val="es-ES_tradnl" w:eastAsia="es-ES_tradnl"/>
    </w:rPr>
  </w:style>
  <w:style w:type="paragraph" w:styleId="Textodeglobo">
    <w:name w:val="Balloon Text"/>
    <w:basedOn w:val="Normal"/>
    <w:link w:val="TextodegloboCar"/>
    <w:uiPriority w:val="99"/>
    <w:semiHidden/>
    <w:unhideWhenUsed/>
    <w:rsid w:val="0002107B"/>
    <w:pPr>
      <w:ind w:firstLine="709"/>
      <w:jc w:val="both"/>
    </w:pPr>
    <w:rPr>
      <w:rFonts w:ascii="Segoe UI" w:eastAsia="Calibri" w:hAnsi="Segoe UI" w:cs="Segoe UI"/>
      <w:sz w:val="18"/>
      <w:szCs w:val="18"/>
      <w:lang w:val="es-ES_tradnl" w:eastAsia="es-ES_tradnl"/>
    </w:rPr>
  </w:style>
  <w:style w:type="character" w:customStyle="1" w:styleId="TextodegloboCar">
    <w:name w:val="Texto de globo Car"/>
    <w:basedOn w:val="Fuentedeprrafopredeter"/>
    <w:link w:val="Textodeglobo"/>
    <w:uiPriority w:val="99"/>
    <w:semiHidden/>
    <w:rsid w:val="0002107B"/>
    <w:rPr>
      <w:rFonts w:ascii="Segoe UI" w:eastAsia="Calibri" w:hAnsi="Segoe UI" w:cs="Segoe UI"/>
      <w:sz w:val="18"/>
      <w:szCs w:val="18"/>
      <w:lang w:val="es-ES_tradnl" w:eastAsia="es-ES_tradnl"/>
    </w:rPr>
  </w:style>
  <w:style w:type="paragraph" w:styleId="Textonotapie">
    <w:name w:val="footnote text"/>
    <w:basedOn w:val="Normal"/>
    <w:link w:val="TextonotapieCar"/>
    <w:uiPriority w:val="99"/>
    <w:semiHidden/>
    <w:unhideWhenUsed/>
    <w:rsid w:val="0002107B"/>
    <w:pPr>
      <w:ind w:firstLine="709"/>
      <w:jc w:val="both"/>
    </w:pPr>
    <w:rPr>
      <w:rFonts w:ascii="Calibri" w:eastAsia="Calibri" w:hAnsi="Calibri" w:cs="Calibri"/>
      <w:sz w:val="20"/>
      <w:szCs w:val="20"/>
      <w:lang w:val="es-ES_tradnl" w:eastAsia="es-ES_tradnl"/>
    </w:rPr>
  </w:style>
  <w:style w:type="character" w:customStyle="1" w:styleId="TextonotapieCar">
    <w:name w:val="Texto nota pie Car"/>
    <w:basedOn w:val="Fuentedeprrafopredeter"/>
    <w:link w:val="Textonotapie"/>
    <w:uiPriority w:val="99"/>
    <w:semiHidden/>
    <w:rsid w:val="0002107B"/>
    <w:rPr>
      <w:rFonts w:ascii="Calibri" w:eastAsia="Calibri" w:hAnsi="Calibri" w:cs="Calibri"/>
      <w:sz w:val="20"/>
      <w:szCs w:val="20"/>
      <w:lang w:val="es-ES_tradnl" w:eastAsia="es-ES_tradnl"/>
    </w:rPr>
  </w:style>
  <w:style w:type="character" w:styleId="Refdenotaalpie">
    <w:name w:val="footnote reference"/>
    <w:basedOn w:val="Fuentedeprrafopredeter"/>
    <w:uiPriority w:val="99"/>
    <w:semiHidden/>
    <w:unhideWhenUsed/>
    <w:rsid w:val="0002107B"/>
    <w:rPr>
      <w:vertAlign w:val="superscript"/>
    </w:rPr>
  </w:style>
  <w:style w:type="paragraph" w:styleId="Revisin">
    <w:name w:val="Revision"/>
    <w:hidden/>
    <w:uiPriority w:val="99"/>
    <w:semiHidden/>
    <w:rsid w:val="0002107B"/>
    <w:pPr>
      <w:spacing w:after="0" w:line="240" w:lineRule="auto"/>
    </w:pPr>
    <w:rPr>
      <w:rFonts w:ascii="Calibri" w:eastAsia="Calibri" w:hAnsi="Calibri" w:cs="Calibri"/>
      <w:lang w:val="es-ES_tradnl" w:eastAsia="es-ES_tradnl"/>
    </w:rPr>
  </w:style>
  <w:style w:type="character" w:customStyle="1" w:styleId="elsevierstylesup">
    <w:name w:val="elsevierstylesup"/>
    <w:basedOn w:val="Fuentedeprrafopredeter"/>
    <w:rsid w:val="0002107B"/>
  </w:style>
  <w:style w:type="paragraph" w:styleId="NormalWeb">
    <w:name w:val="Normal (Web)"/>
    <w:basedOn w:val="Normal"/>
    <w:uiPriority w:val="99"/>
    <w:unhideWhenUsed/>
    <w:rsid w:val="0002107B"/>
    <w:pPr>
      <w:spacing w:before="100" w:beforeAutospacing="1" w:after="100" w:afterAutospacing="1"/>
    </w:pPr>
    <w:rPr>
      <w:lang w:eastAsia="es-EC"/>
    </w:rPr>
  </w:style>
  <w:style w:type="table" w:styleId="Tablaconcuadrcula">
    <w:name w:val="Table Grid"/>
    <w:basedOn w:val="Tablanormal"/>
    <w:uiPriority w:val="39"/>
    <w:rsid w:val="000210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AE14F4"/>
  </w:style>
  <w:style w:type="character" w:styleId="Hipervnculovisitado">
    <w:name w:val="FollowedHyperlink"/>
    <w:basedOn w:val="Fuentedeprrafopredeter"/>
    <w:uiPriority w:val="99"/>
    <w:semiHidden/>
    <w:unhideWhenUsed/>
    <w:rsid w:val="00AE14F4"/>
    <w:rPr>
      <w:color w:val="954F72" w:themeColor="followedHyperlink"/>
      <w:u w:val="single"/>
    </w:rPr>
  </w:style>
  <w:style w:type="paragraph" w:styleId="TDC4">
    <w:name w:val="toc 4"/>
    <w:basedOn w:val="Normal"/>
    <w:next w:val="Normal"/>
    <w:autoRedefine/>
    <w:uiPriority w:val="39"/>
    <w:unhideWhenUsed/>
    <w:rsid w:val="002E65AE"/>
    <w:pPr>
      <w:spacing w:line="259" w:lineRule="auto"/>
      <w:ind w:left="660"/>
    </w:pPr>
    <w:rPr>
      <w:rFonts w:asciiTheme="minorHAnsi" w:eastAsiaTheme="minorHAnsi" w:hAnsiTheme="minorHAnsi" w:cstheme="minorHAnsi"/>
      <w:sz w:val="20"/>
      <w:szCs w:val="20"/>
      <w:lang w:eastAsia="en-US"/>
    </w:rPr>
  </w:style>
  <w:style w:type="paragraph" w:styleId="TDC5">
    <w:name w:val="toc 5"/>
    <w:basedOn w:val="Normal"/>
    <w:next w:val="Normal"/>
    <w:autoRedefine/>
    <w:uiPriority w:val="39"/>
    <w:unhideWhenUsed/>
    <w:rsid w:val="002E65AE"/>
    <w:pPr>
      <w:spacing w:line="259" w:lineRule="auto"/>
      <w:ind w:left="880"/>
    </w:pPr>
    <w:rPr>
      <w:rFonts w:asciiTheme="minorHAnsi" w:eastAsiaTheme="minorHAnsi" w:hAnsiTheme="minorHAnsi" w:cstheme="minorHAnsi"/>
      <w:sz w:val="20"/>
      <w:szCs w:val="20"/>
      <w:lang w:eastAsia="en-US"/>
    </w:rPr>
  </w:style>
  <w:style w:type="paragraph" w:styleId="TDC6">
    <w:name w:val="toc 6"/>
    <w:basedOn w:val="Normal"/>
    <w:next w:val="Normal"/>
    <w:autoRedefine/>
    <w:uiPriority w:val="39"/>
    <w:unhideWhenUsed/>
    <w:rsid w:val="002E65AE"/>
    <w:pPr>
      <w:spacing w:line="259" w:lineRule="auto"/>
      <w:ind w:left="1100"/>
    </w:pPr>
    <w:rPr>
      <w:rFonts w:asciiTheme="minorHAnsi" w:eastAsiaTheme="minorHAnsi" w:hAnsiTheme="minorHAnsi" w:cstheme="minorHAnsi"/>
      <w:sz w:val="20"/>
      <w:szCs w:val="20"/>
      <w:lang w:eastAsia="en-US"/>
    </w:rPr>
  </w:style>
  <w:style w:type="paragraph" w:styleId="TDC7">
    <w:name w:val="toc 7"/>
    <w:basedOn w:val="Normal"/>
    <w:next w:val="Normal"/>
    <w:autoRedefine/>
    <w:uiPriority w:val="39"/>
    <w:unhideWhenUsed/>
    <w:rsid w:val="002E65AE"/>
    <w:pPr>
      <w:spacing w:line="259" w:lineRule="auto"/>
      <w:ind w:left="1320"/>
    </w:pPr>
    <w:rPr>
      <w:rFonts w:asciiTheme="minorHAnsi" w:eastAsiaTheme="minorHAnsi" w:hAnsiTheme="minorHAnsi" w:cstheme="minorHAnsi"/>
      <w:sz w:val="20"/>
      <w:szCs w:val="20"/>
      <w:lang w:eastAsia="en-US"/>
    </w:rPr>
  </w:style>
  <w:style w:type="paragraph" w:styleId="TDC8">
    <w:name w:val="toc 8"/>
    <w:basedOn w:val="Normal"/>
    <w:next w:val="Normal"/>
    <w:autoRedefine/>
    <w:uiPriority w:val="39"/>
    <w:unhideWhenUsed/>
    <w:rsid w:val="002E65AE"/>
    <w:pPr>
      <w:spacing w:line="259" w:lineRule="auto"/>
      <w:ind w:left="1540"/>
    </w:pPr>
    <w:rPr>
      <w:rFonts w:asciiTheme="minorHAnsi" w:eastAsiaTheme="minorHAnsi" w:hAnsiTheme="minorHAnsi" w:cstheme="minorHAnsi"/>
      <w:sz w:val="20"/>
      <w:szCs w:val="20"/>
      <w:lang w:eastAsia="en-US"/>
    </w:rPr>
  </w:style>
  <w:style w:type="paragraph" w:styleId="TDC9">
    <w:name w:val="toc 9"/>
    <w:basedOn w:val="Normal"/>
    <w:next w:val="Normal"/>
    <w:autoRedefine/>
    <w:uiPriority w:val="39"/>
    <w:unhideWhenUsed/>
    <w:rsid w:val="002E65AE"/>
    <w:pPr>
      <w:spacing w:line="259" w:lineRule="auto"/>
      <w:ind w:left="1760"/>
    </w:pPr>
    <w:rPr>
      <w:rFonts w:asciiTheme="minorHAnsi" w:eastAsiaTheme="minorHAnsi" w:hAnsiTheme="minorHAnsi" w:cstheme="minorHAnsi"/>
      <w:sz w:val="20"/>
      <w:szCs w:val="20"/>
      <w:lang w:eastAsia="en-US"/>
    </w:rPr>
  </w:style>
  <w:style w:type="character" w:customStyle="1" w:styleId="Ttulo7Car">
    <w:name w:val="Título 7 Car"/>
    <w:basedOn w:val="Fuentedeprrafopredeter"/>
    <w:link w:val="Ttulo7"/>
    <w:uiPriority w:val="9"/>
    <w:rsid w:val="0041603E"/>
    <w:rPr>
      <w:rFonts w:asciiTheme="majorHAnsi" w:eastAsiaTheme="majorEastAsia" w:hAnsiTheme="majorHAnsi" w:cstheme="majorBidi"/>
      <w:i/>
      <w:iCs/>
      <w:color w:val="1F3763" w:themeColor="accent1" w:themeShade="7F"/>
    </w:rPr>
  </w:style>
  <w:style w:type="character" w:customStyle="1" w:styleId="Ttulo8Car">
    <w:name w:val="Título 8 Car"/>
    <w:basedOn w:val="Fuentedeprrafopredeter"/>
    <w:link w:val="Ttulo8"/>
    <w:uiPriority w:val="9"/>
    <w:rsid w:val="003B4618"/>
    <w:rPr>
      <w:rFonts w:asciiTheme="majorHAnsi" w:eastAsiaTheme="majorEastAsia" w:hAnsiTheme="majorHAnsi" w:cstheme="majorBidi"/>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9785">
      <w:bodyDiv w:val="1"/>
      <w:marLeft w:val="0"/>
      <w:marRight w:val="0"/>
      <w:marTop w:val="0"/>
      <w:marBottom w:val="0"/>
      <w:divBdr>
        <w:top w:val="none" w:sz="0" w:space="0" w:color="auto"/>
        <w:left w:val="none" w:sz="0" w:space="0" w:color="auto"/>
        <w:bottom w:val="none" w:sz="0" w:space="0" w:color="auto"/>
        <w:right w:val="none" w:sz="0" w:space="0" w:color="auto"/>
      </w:divBdr>
      <w:divsChild>
        <w:div w:id="1245065366">
          <w:marLeft w:val="0"/>
          <w:marRight w:val="0"/>
          <w:marTop w:val="0"/>
          <w:marBottom w:val="0"/>
          <w:divBdr>
            <w:top w:val="none" w:sz="0" w:space="0" w:color="auto"/>
            <w:left w:val="none" w:sz="0" w:space="0" w:color="auto"/>
            <w:bottom w:val="none" w:sz="0" w:space="0" w:color="auto"/>
            <w:right w:val="none" w:sz="0" w:space="0" w:color="auto"/>
          </w:divBdr>
          <w:divsChild>
            <w:div w:id="1013455032">
              <w:marLeft w:val="0"/>
              <w:marRight w:val="0"/>
              <w:marTop w:val="0"/>
              <w:marBottom w:val="0"/>
              <w:divBdr>
                <w:top w:val="none" w:sz="0" w:space="0" w:color="auto"/>
                <w:left w:val="none" w:sz="0" w:space="0" w:color="auto"/>
                <w:bottom w:val="none" w:sz="0" w:space="0" w:color="auto"/>
                <w:right w:val="none" w:sz="0" w:space="0" w:color="auto"/>
              </w:divBdr>
              <w:divsChild>
                <w:div w:id="1398893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2095">
      <w:bodyDiv w:val="1"/>
      <w:marLeft w:val="0"/>
      <w:marRight w:val="0"/>
      <w:marTop w:val="0"/>
      <w:marBottom w:val="0"/>
      <w:divBdr>
        <w:top w:val="none" w:sz="0" w:space="0" w:color="auto"/>
        <w:left w:val="none" w:sz="0" w:space="0" w:color="auto"/>
        <w:bottom w:val="none" w:sz="0" w:space="0" w:color="auto"/>
        <w:right w:val="none" w:sz="0" w:space="0" w:color="auto"/>
      </w:divBdr>
    </w:div>
    <w:div w:id="31926327">
      <w:bodyDiv w:val="1"/>
      <w:marLeft w:val="0"/>
      <w:marRight w:val="0"/>
      <w:marTop w:val="0"/>
      <w:marBottom w:val="0"/>
      <w:divBdr>
        <w:top w:val="none" w:sz="0" w:space="0" w:color="auto"/>
        <w:left w:val="none" w:sz="0" w:space="0" w:color="auto"/>
        <w:bottom w:val="none" w:sz="0" w:space="0" w:color="auto"/>
        <w:right w:val="none" w:sz="0" w:space="0" w:color="auto"/>
      </w:divBdr>
    </w:div>
    <w:div w:id="55708043">
      <w:bodyDiv w:val="1"/>
      <w:marLeft w:val="0"/>
      <w:marRight w:val="0"/>
      <w:marTop w:val="0"/>
      <w:marBottom w:val="0"/>
      <w:divBdr>
        <w:top w:val="none" w:sz="0" w:space="0" w:color="auto"/>
        <w:left w:val="none" w:sz="0" w:space="0" w:color="auto"/>
        <w:bottom w:val="none" w:sz="0" w:space="0" w:color="auto"/>
        <w:right w:val="none" w:sz="0" w:space="0" w:color="auto"/>
      </w:divBdr>
    </w:div>
    <w:div w:id="62797162">
      <w:bodyDiv w:val="1"/>
      <w:marLeft w:val="0"/>
      <w:marRight w:val="0"/>
      <w:marTop w:val="0"/>
      <w:marBottom w:val="0"/>
      <w:divBdr>
        <w:top w:val="none" w:sz="0" w:space="0" w:color="auto"/>
        <w:left w:val="none" w:sz="0" w:space="0" w:color="auto"/>
        <w:bottom w:val="none" w:sz="0" w:space="0" w:color="auto"/>
        <w:right w:val="none" w:sz="0" w:space="0" w:color="auto"/>
      </w:divBdr>
    </w:div>
    <w:div w:id="71858808">
      <w:bodyDiv w:val="1"/>
      <w:marLeft w:val="0"/>
      <w:marRight w:val="0"/>
      <w:marTop w:val="0"/>
      <w:marBottom w:val="0"/>
      <w:divBdr>
        <w:top w:val="none" w:sz="0" w:space="0" w:color="auto"/>
        <w:left w:val="none" w:sz="0" w:space="0" w:color="auto"/>
        <w:bottom w:val="none" w:sz="0" w:space="0" w:color="auto"/>
        <w:right w:val="none" w:sz="0" w:space="0" w:color="auto"/>
      </w:divBdr>
    </w:div>
    <w:div w:id="75175809">
      <w:bodyDiv w:val="1"/>
      <w:marLeft w:val="0"/>
      <w:marRight w:val="0"/>
      <w:marTop w:val="0"/>
      <w:marBottom w:val="0"/>
      <w:divBdr>
        <w:top w:val="none" w:sz="0" w:space="0" w:color="auto"/>
        <w:left w:val="none" w:sz="0" w:space="0" w:color="auto"/>
        <w:bottom w:val="none" w:sz="0" w:space="0" w:color="auto"/>
        <w:right w:val="none" w:sz="0" w:space="0" w:color="auto"/>
      </w:divBdr>
    </w:div>
    <w:div w:id="98725394">
      <w:bodyDiv w:val="1"/>
      <w:marLeft w:val="0"/>
      <w:marRight w:val="0"/>
      <w:marTop w:val="0"/>
      <w:marBottom w:val="0"/>
      <w:divBdr>
        <w:top w:val="none" w:sz="0" w:space="0" w:color="auto"/>
        <w:left w:val="none" w:sz="0" w:space="0" w:color="auto"/>
        <w:bottom w:val="none" w:sz="0" w:space="0" w:color="auto"/>
        <w:right w:val="none" w:sz="0" w:space="0" w:color="auto"/>
      </w:divBdr>
    </w:div>
    <w:div w:id="120924336">
      <w:bodyDiv w:val="1"/>
      <w:marLeft w:val="0"/>
      <w:marRight w:val="0"/>
      <w:marTop w:val="0"/>
      <w:marBottom w:val="0"/>
      <w:divBdr>
        <w:top w:val="none" w:sz="0" w:space="0" w:color="auto"/>
        <w:left w:val="none" w:sz="0" w:space="0" w:color="auto"/>
        <w:bottom w:val="none" w:sz="0" w:space="0" w:color="auto"/>
        <w:right w:val="none" w:sz="0" w:space="0" w:color="auto"/>
      </w:divBdr>
      <w:divsChild>
        <w:div w:id="1968853348">
          <w:marLeft w:val="0"/>
          <w:marRight w:val="0"/>
          <w:marTop w:val="0"/>
          <w:marBottom w:val="0"/>
          <w:divBdr>
            <w:top w:val="none" w:sz="0" w:space="0" w:color="auto"/>
            <w:left w:val="none" w:sz="0" w:space="0" w:color="auto"/>
            <w:bottom w:val="none" w:sz="0" w:space="0" w:color="auto"/>
            <w:right w:val="none" w:sz="0" w:space="0" w:color="auto"/>
          </w:divBdr>
          <w:divsChild>
            <w:div w:id="1231427545">
              <w:marLeft w:val="0"/>
              <w:marRight w:val="0"/>
              <w:marTop w:val="0"/>
              <w:marBottom w:val="0"/>
              <w:divBdr>
                <w:top w:val="none" w:sz="0" w:space="0" w:color="auto"/>
                <w:left w:val="none" w:sz="0" w:space="0" w:color="auto"/>
                <w:bottom w:val="none" w:sz="0" w:space="0" w:color="auto"/>
                <w:right w:val="none" w:sz="0" w:space="0" w:color="auto"/>
              </w:divBdr>
              <w:divsChild>
                <w:div w:id="208896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674403">
      <w:bodyDiv w:val="1"/>
      <w:marLeft w:val="0"/>
      <w:marRight w:val="0"/>
      <w:marTop w:val="0"/>
      <w:marBottom w:val="0"/>
      <w:divBdr>
        <w:top w:val="none" w:sz="0" w:space="0" w:color="auto"/>
        <w:left w:val="none" w:sz="0" w:space="0" w:color="auto"/>
        <w:bottom w:val="none" w:sz="0" w:space="0" w:color="auto"/>
        <w:right w:val="none" w:sz="0" w:space="0" w:color="auto"/>
      </w:divBdr>
    </w:div>
    <w:div w:id="135726317">
      <w:bodyDiv w:val="1"/>
      <w:marLeft w:val="0"/>
      <w:marRight w:val="0"/>
      <w:marTop w:val="0"/>
      <w:marBottom w:val="0"/>
      <w:divBdr>
        <w:top w:val="none" w:sz="0" w:space="0" w:color="auto"/>
        <w:left w:val="none" w:sz="0" w:space="0" w:color="auto"/>
        <w:bottom w:val="none" w:sz="0" w:space="0" w:color="auto"/>
        <w:right w:val="none" w:sz="0" w:space="0" w:color="auto"/>
      </w:divBdr>
    </w:div>
    <w:div w:id="177621168">
      <w:bodyDiv w:val="1"/>
      <w:marLeft w:val="0"/>
      <w:marRight w:val="0"/>
      <w:marTop w:val="0"/>
      <w:marBottom w:val="0"/>
      <w:divBdr>
        <w:top w:val="none" w:sz="0" w:space="0" w:color="auto"/>
        <w:left w:val="none" w:sz="0" w:space="0" w:color="auto"/>
        <w:bottom w:val="none" w:sz="0" w:space="0" w:color="auto"/>
        <w:right w:val="none" w:sz="0" w:space="0" w:color="auto"/>
      </w:divBdr>
    </w:div>
    <w:div w:id="223419061">
      <w:bodyDiv w:val="1"/>
      <w:marLeft w:val="0"/>
      <w:marRight w:val="0"/>
      <w:marTop w:val="0"/>
      <w:marBottom w:val="0"/>
      <w:divBdr>
        <w:top w:val="none" w:sz="0" w:space="0" w:color="auto"/>
        <w:left w:val="none" w:sz="0" w:space="0" w:color="auto"/>
        <w:bottom w:val="none" w:sz="0" w:space="0" w:color="auto"/>
        <w:right w:val="none" w:sz="0" w:space="0" w:color="auto"/>
      </w:divBdr>
      <w:divsChild>
        <w:div w:id="2054688748">
          <w:marLeft w:val="0"/>
          <w:marRight w:val="0"/>
          <w:marTop w:val="0"/>
          <w:marBottom w:val="0"/>
          <w:divBdr>
            <w:top w:val="none" w:sz="0" w:space="0" w:color="auto"/>
            <w:left w:val="none" w:sz="0" w:space="0" w:color="auto"/>
            <w:bottom w:val="none" w:sz="0" w:space="0" w:color="auto"/>
            <w:right w:val="none" w:sz="0" w:space="0" w:color="auto"/>
          </w:divBdr>
        </w:div>
        <w:div w:id="1730879605">
          <w:marLeft w:val="0"/>
          <w:marRight w:val="0"/>
          <w:marTop w:val="0"/>
          <w:marBottom w:val="0"/>
          <w:divBdr>
            <w:top w:val="none" w:sz="0" w:space="0" w:color="auto"/>
            <w:left w:val="none" w:sz="0" w:space="0" w:color="auto"/>
            <w:bottom w:val="none" w:sz="0" w:space="0" w:color="auto"/>
            <w:right w:val="none" w:sz="0" w:space="0" w:color="auto"/>
          </w:divBdr>
        </w:div>
        <w:div w:id="1071779195">
          <w:marLeft w:val="0"/>
          <w:marRight w:val="0"/>
          <w:marTop w:val="0"/>
          <w:marBottom w:val="0"/>
          <w:divBdr>
            <w:top w:val="none" w:sz="0" w:space="0" w:color="auto"/>
            <w:left w:val="none" w:sz="0" w:space="0" w:color="auto"/>
            <w:bottom w:val="none" w:sz="0" w:space="0" w:color="auto"/>
            <w:right w:val="none" w:sz="0" w:space="0" w:color="auto"/>
          </w:divBdr>
        </w:div>
        <w:div w:id="848758358">
          <w:marLeft w:val="0"/>
          <w:marRight w:val="0"/>
          <w:marTop w:val="0"/>
          <w:marBottom w:val="0"/>
          <w:divBdr>
            <w:top w:val="none" w:sz="0" w:space="0" w:color="auto"/>
            <w:left w:val="none" w:sz="0" w:space="0" w:color="auto"/>
            <w:bottom w:val="none" w:sz="0" w:space="0" w:color="auto"/>
            <w:right w:val="none" w:sz="0" w:space="0" w:color="auto"/>
          </w:divBdr>
        </w:div>
      </w:divsChild>
    </w:div>
    <w:div w:id="244731378">
      <w:bodyDiv w:val="1"/>
      <w:marLeft w:val="0"/>
      <w:marRight w:val="0"/>
      <w:marTop w:val="0"/>
      <w:marBottom w:val="0"/>
      <w:divBdr>
        <w:top w:val="none" w:sz="0" w:space="0" w:color="auto"/>
        <w:left w:val="none" w:sz="0" w:space="0" w:color="auto"/>
        <w:bottom w:val="none" w:sz="0" w:space="0" w:color="auto"/>
        <w:right w:val="none" w:sz="0" w:space="0" w:color="auto"/>
      </w:divBdr>
    </w:div>
    <w:div w:id="284427867">
      <w:bodyDiv w:val="1"/>
      <w:marLeft w:val="0"/>
      <w:marRight w:val="0"/>
      <w:marTop w:val="0"/>
      <w:marBottom w:val="0"/>
      <w:divBdr>
        <w:top w:val="none" w:sz="0" w:space="0" w:color="auto"/>
        <w:left w:val="none" w:sz="0" w:space="0" w:color="auto"/>
        <w:bottom w:val="none" w:sz="0" w:space="0" w:color="auto"/>
        <w:right w:val="none" w:sz="0" w:space="0" w:color="auto"/>
      </w:divBdr>
      <w:divsChild>
        <w:div w:id="972560393">
          <w:marLeft w:val="0"/>
          <w:marRight w:val="0"/>
          <w:marTop w:val="0"/>
          <w:marBottom w:val="0"/>
          <w:divBdr>
            <w:top w:val="none" w:sz="0" w:space="0" w:color="auto"/>
            <w:left w:val="none" w:sz="0" w:space="0" w:color="auto"/>
            <w:bottom w:val="none" w:sz="0" w:space="0" w:color="auto"/>
            <w:right w:val="none" w:sz="0" w:space="0" w:color="auto"/>
          </w:divBdr>
          <w:divsChild>
            <w:div w:id="784732696">
              <w:marLeft w:val="0"/>
              <w:marRight w:val="0"/>
              <w:marTop w:val="0"/>
              <w:marBottom w:val="0"/>
              <w:divBdr>
                <w:top w:val="none" w:sz="0" w:space="0" w:color="auto"/>
                <w:left w:val="none" w:sz="0" w:space="0" w:color="auto"/>
                <w:bottom w:val="none" w:sz="0" w:space="0" w:color="auto"/>
                <w:right w:val="none" w:sz="0" w:space="0" w:color="auto"/>
              </w:divBdr>
              <w:divsChild>
                <w:div w:id="573586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4549076">
      <w:bodyDiv w:val="1"/>
      <w:marLeft w:val="0"/>
      <w:marRight w:val="0"/>
      <w:marTop w:val="0"/>
      <w:marBottom w:val="0"/>
      <w:divBdr>
        <w:top w:val="none" w:sz="0" w:space="0" w:color="auto"/>
        <w:left w:val="none" w:sz="0" w:space="0" w:color="auto"/>
        <w:bottom w:val="none" w:sz="0" w:space="0" w:color="auto"/>
        <w:right w:val="none" w:sz="0" w:space="0" w:color="auto"/>
      </w:divBdr>
    </w:div>
    <w:div w:id="316108561">
      <w:bodyDiv w:val="1"/>
      <w:marLeft w:val="0"/>
      <w:marRight w:val="0"/>
      <w:marTop w:val="0"/>
      <w:marBottom w:val="0"/>
      <w:divBdr>
        <w:top w:val="none" w:sz="0" w:space="0" w:color="auto"/>
        <w:left w:val="none" w:sz="0" w:space="0" w:color="auto"/>
        <w:bottom w:val="none" w:sz="0" w:space="0" w:color="auto"/>
        <w:right w:val="none" w:sz="0" w:space="0" w:color="auto"/>
      </w:divBdr>
    </w:div>
    <w:div w:id="322507602">
      <w:bodyDiv w:val="1"/>
      <w:marLeft w:val="0"/>
      <w:marRight w:val="0"/>
      <w:marTop w:val="0"/>
      <w:marBottom w:val="0"/>
      <w:divBdr>
        <w:top w:val="none" w:sz="0" w:space="0" w:color="auto"/>
        <w:left w:val="none" w:sz="0" w:space="0" w:color="auto"/>
        <w:bottom w:val="none" w:sz="0" w:space="0" w:color="auto"/>
        <w:right w:val="none" w:sz="0" w:space="0" w:color="auto"/>
      </w:divBdr>
    </w:div>
    <w:div w:id="326440373">
      <w:bodyDiv w:val="1"/>
      <w:marLeft w:val="0"/>
      <w:marRight w:val="0"/>
      <w:marTop w:val="0"/>
      <w:marBottom w:val="0"/>
      <w:divBdr>
        <w:top w:val="none" w:sz="0" w:space="0" w:color="auto"/>
        <w:left w:val="none" w:sz="0" w:space="0" w:color="auto"/>
        <w:bottom w:val="none" w:sz="0" w:space="0" w:color="auto"/>
        <w:right w:val="none" w:sz="0" w:space="0" w:color="auto"/>
      </w:divBdr>
    </w:div>
    <w:div w:id="358549335">
      <w:bodyDiv w:val="1"/>
      <w:marLeft w:val="0"/>
      <w:marRight w:val="0"/>
      <w:marTop w:val="0"/>
      <w:marBottom w:val="0"/>
      <w:divBdr>
        <w:top w:val="none" w:sz="0" w:space="0" w:color="auto"/>
        <w:left w:val="none" w:sz="0" w:space="0" w:color="auto"/>
        <w:bottom w:val="none" w:sz="0" w:space="0" w:color="auto"/>
        <w:right w:val="none" w:sz="0" w:space="0" w:color="auto"/>
      </w:divBdr>
      <w:divsChild>
        <w:div w:id="855465237">
          <w:marLeft w:val="0"/>
          <w:marRight w:val="0"/>
          <w:marTop w:val="0"/>
          <w:marBottom w:val="0"/>
          <w:divBdr>
            <w:top w:val="none" w:sz="0" w:space="0" w:color="auto"/>
            <w:left w:val="none" w:sz="0" w:space="0" w:color="auto"/>
            <w:bottom w:val="none" w:sz="0" w:space="0" w:color="auto"/>
            <w:right w:val="none" w:sz="0" w:space="0" w:color="auto"/>
          </w:divBdr>
          <w:divsChild>
            <w:div w:id="1793354043">
              <w:marLeft w:val="0"/>
              <w:marRight w:val="0"/>
              <w:marTop w:val="0"/>
              <w:marBottom w:val="0"/>
              <w:divBdr>
                <w:top w:val="none" w:sz="0" w:space="0" w:color="auto"/>
                <w:left w:val="none" w:sz="0" w:space="0" w:color="auto"/>
                <w:bottom w:val="none" w:sz="0" w:space="0" w:color="auto"/>
                <w:right w:val="none" w:sz="0" w:space="0" w:color="auto"/>
              </w:divBdr>
              <w:divsChild>
                <w:div w:id="676271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6106180">
      <w:bodyDiv w:val="1"/>
      <w:marLeft w:val="0"/>
      <w:marRight w:val="0"/>
      <w:marTop w:val="0"/>
      <w:marBottom w:val="0"/>
      <w:divBdr>
        <w:top w:val="none" w:sz="0" w:space="0" w:color="auto"/>
        <w:left w:val="none" w:sz="0" w:space="0" w:color="auto"/>
        <w:bottom w:val="none" w:sz="0" w:space="0" w:color="auto"/>
        <w:right w:val="none" w:sz="0" w:space="0" w:color="auto"/>
      </w:divBdr>
    </w:div>
    <w:div w:id="402024300">
      <w:bodyDiv w:val="1"/>
      <w:marLeft w:val="0"/>
      <w:marRight w:val="0"/>
      <w:marTop w:val="0"/>
      <w:marBottom w:val="0"/>
      <w:divBdr>
        <w:top w:val="none" w:sz="0" w:space="0" w:color="auto"/>
        <w:left w:val="none" w:sz="0" w:space="0" w:color="auto"/>
        <w:bottom w:val="none" w:sz="0" w:space="0" w:color="auto"/>
        <w:right w:val="none" w:sz="0" w:space="0" w:color="auto"/>
      </w:divBdr>
    </w:div>
    <w:div w:id="411390963">
      <w:bodyDiv w:val="1"/>
      <w:marLeft w:val="0"/>
      <w:marRight w:val="0"/>
      <w:marTop w:val="0"/>
      <w:marBottom w:val="0"/>
      <w:divBdr>
        <w:top w:val="none" w:sz="0" w:space="0" w:color="auto"/>
        <w:left w:val="none" w:sz="0" w:space="0" w:color="auto"/>
        <w:bottom w:val="none" w:sz="0" w:space="0" w:color="auto"/>
        <w:right w:val="none" w:sz="0" w:space="0" w:color="auto"/>
      </w:divBdr>
    </w:div>
    <w:div w:id="481047933">
      <w:bodyDiv w:val="1"/>
      <w:marLeft w:val="0"/>
      <w:marRight w:val="0"/>
      <w:marTop w:val="0"/>
      <w:marBottom w:val="0"/>
      <w:divBdr>
        <w:top w:val="none" w:sz="0" w:space="0" w:color="auto"/>
        <w:left w:val="none" w:sz="0" w:space="0" w:color="auto"/>
        <w:bottom w:val="none" w:sz="0" w:space="0" w:color="auto"/>
        <w:right w:val="none" w:sz="0" w:space="0" w:color="auto"/>
      </w:divBdr>
    </w:div>
    <w:div w:id="498423187">
      <w:bodyDiv w:val="1"/>
      <w:marLeft w:val="0"/>
      <w:marRight w:val="0"/>
      <w:marTop w:val="0"/>
      <w:marBottom w:val="0"/>
      <w:divBdr>
        <w:top w:val="none" w:sz="0" w:space="0" w:color="auto"/>
        <w:left w:val="none" w:sz="0" w:space="0" w:color="auto"/>
        <w:bottom w:val="none" w:sz="0" w:space="0" w:color="auto"/>
        <w:right w:val="none" w:sz="0" w:space="0" w:color="auto"/>
      </w:divBdr>
    </w:div>
    <w:div w:id="508518925">
      <w:bodyDiv w:val="1"/>
      <w:marLeft w:val="0"/>
      <w:marRight w:val="0"/>
      <w:marTop w:val="0"/>
      <w:marBottom w:val="0"/>
      <w:divBdr>
        <w:top w:val="none" w:sz="0" w:space="0" w:color="auto"/>
        <w:left w:val="none" w:sz="0" w:space="0" w:color="auto"/>
        <w:bottom w:val="none" w:sz="0" w:space="0" w:color="auto"/>
        <w:right w:val="none" w:sz="0" w:space="0" w:color="auto"/>
      </w:divBdr>
    </w:div>
    <w:div w:id="510072436">
      <w:bodyDiv w:val="1"/>
      <w:marLeft w:val="0"/>
      <w:marRight w:val="0"/>
      <w:marTop w:val="0"/>
      <w:marBottom w:val="0"/>
      <w:divBdr>
        <w:top w:val="none" w:sz="0" w:space="0" w:color="auto"/>
        <w:left w:val="none" w:sz="0" w:space="0" w:color="auto"/>
        <w:bottom w:val="none" w:sz="0" w:space="0" w:color="auto"/>
        <w:right w:val="none" w:sz="0" w:space="0" w:color="auto"/>
      </w:divBdr>
    </w:div>
    <w:div w:id="510949049">
      <w:bodyDiv w:val="1"/>
      <w:marLeft w:val="0"/>
      <w:marRight w:val="0"/>
      <w:marTop w:val="0"/>
      <w:marBottom w:val="0"/>
      <w:divBdr>
        <w:top w:val="none" w:sz="0" w:space="0" w:color="auto"/>
        <w:left w:val="none" w:sz="0" w:space="0" w:color="auto"/>
        <w:bottom w:val="none" w:sz="0" w:space="0" w:color="auto"/>
        <w:right w:val="none" w:sz="0" w:space="0" w:color="auto"/>
      </w:divBdr>
    </w:div>
    <w:div w:id="525951976">
      <w:bodyDiv w:val="1"/>
      <w:marLeft w:val="0"/>
      <w:marRight w:val="0"/>
      <w:marTop w:val="0"/>
      <w:marBottom w:val="0"/>
      <w:divBdr>
        <w:top w:val="none" w:sz="0" w:space="0" w:color="auto"/>
        <w:left w:val="none" w:sz="0" w:space="0" w:color="auto"/>
        <w:bottom w:val="none" w:sz="0" w:space="0" w:color="auto"/>
        <w:right w:val="none" w:sz="0" w:space="0" w:color="auto"/>
      </w:divBdr>
      <w:divsChild>
        <w:div w:id="1070272480">
          <w:marLeft w:val="0"/>
          <w:marRight w:val="0"/>
          <w:marTop w:val="0"/>
          <w:marBottom w:val="0"/>
          <w:divBdr>
            <w:top w:val="none" w:sz="0" w:space="0" w:color="auto"/>
            <w:left w:val="none" w:sz="0" w:space="0" w:color="auto"/>
            <w:bottom w:val="none" w:sz="0" w:space="0" w:color="auto"/>
            <w:right w:val="none" w:sz="0" w:space="0" w:color="auto"/>
          </w:divBdr>
          <w:divsChild>
            <w:div w:id="915286621">
              <w:marLeft w:val="0"/>
              <w:marRight w:val="0"/>
              <w:marTop w:val="0"/>
              <w:marBottom w:val="0"/>
              <w:divBdr>
                <w:top w:val="none" w:sz="0" w:space="0" w:color="auto"/>
                <w:left w:val="none" w:sz="0" w:space="0" w:color="auto"/>
                <w:bottom w:val="none" w:sz="0" w:space="0" w:color="auto"/>
                <w:right w:val="none" w:sz="0" w:space="0" w:color="auto"/>
              </w:divBdr>
              <w:divsChild>
                <w:div w:id="533929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2495164">
      <w:bodyDiv w:val="1"/>
      <w:marLeft w:val="0"/>
      <w:marRight w:val="0"/>
      <w:marTop w:val="0"/>
      <w:marBottom w:val="0"/>
      <w:divBdr>
        <w:top w:val="none" w:sz="0" w:space="0" w:color="auto"/>
        <w:left w:val="none" w:sz="0" w:space="0" w:color="auto"/>
        <w:bottom w:val="none" w:sz="0" w:space="0" w:color="auto"/>
        <w:right w:val="none" w:sz="0" w:space="0" w:color="auto"/>
      </w:divBdr>
    </w:div>
    <w:div w:id="551111967">
      <w:bodyDiv w:val="1"/>
      <w:marLeft w:val="0"/>
      <w:marRight w:val="0"/>
      <w:marTop w:val="0"/>
      <w:marBottom w:val="0"/>
      <w:divBdr>
        <w:top w:val="none" w:sz="0" w:space="0" w:color="auto"/>
        <w:left w:val="none" w:sz="0" w:space="0" w:color="auto"/>
        <w:bottom w:val="none" w:sz="0" w:space="0" w:color="auto"/>
        <w:right w:val="none" w:sz="0" w:space="0" w:color="auto"/>
      </w:divBdr>
      <w:divsChild>
        <w:div w:id="219951125">
          <w:marLeft w:val="0"/>
          <w:marRight w:val="0"/>
          <w:marTop w:val="0"/>
          <w:marBottom w:val="0"/>
          <w:divBdr>
            <w:top w:val="none" w:sz="0" w:space="0" w:color="auto"/>
            <w:left w:val="none" w:sz="0" w:space="0" w:color="auto"/>
            <w:bottom w:val="none" w:sz="0" w:space="0" w:color="auto"/>
            <w:right w:val="none" w:sz="0" w:space="0" w:color="auto"/>
          </w:divBdr>
        </w:div>
        <w:div w:id="634678965">
          <w:marLeft w:val="0"/>
          <w:marRight w:val="0"/>
          <w:marTop w:val="0"/>
          <w:marBottom w:val="0"/>
          <w:divBdr>
            <w:top w:val="none" w:sz="0" w:space="0" w:color="auto"/>
            <w:left w:val="none" w:sz="0" w:space="0" w:color="auto"/>
            <w:bottom w:val="none" w:sz="0" w:space="0" w:color="auto"/>
            <w:right w:val="none" w:sz="0" w:space="0" w:color="auto"/>
          </w:divBdr>
        </w:div>
        <w:div w:id="1080561011">
          <w:marLeft w:val="0"/>
          <w:marRight w:val="0"/>
          <w:marTop w:val="0"/>
          <w:marBottom w:val="0"/>
          <w:divBdr>
            <w:top w:val="none" w:sz="0" w:space="0" w:color="auto"/>
            <w:left w:val="none" w:sz="0" w:space="0" w:color="auto"/>
            <w:bottom w:val="none" w:sz="0" w:space="0" w:color="auto"/>
            <w:right w:val="none" w:sz="0" w:space="0" w:color="auto"/>
          </w:divBdr>
        </w:div>
        <w:div w:id="1938711273">
          <w:marLeft w:val="0"/>
          <w:marRight w:val="0"/>
          <w:marTop w:val="0"/>
          <w:marBottom w:val="0"/>
          <w:divBdr>
            <w:top w:val="none" w:sz="0" w:space="0" w:color="auto"/>
            <w:left w:val="none" w:sz="0" w:space="0" w:color="auto"/>
            <w:bottom w:val="none" w:sz="0" w:space="0" w:color="auto"/>
            <w:right w:val="none" w:sz="0" w:space="0" w:color="auto"/>
          </w:divBdr>
        </w:div>
        <w:div w:id="959800492">
          <w:marLeft w:val="0"/>
          <w:marRight w:val="0"/>
          <w:marTop w:val="0"/>
          <w:marBottom w:val="0"/>
          <w:divBdr>
            <w:top w:val="none" w:sz="0" w:space="0" w:color="auto"/>
            <w:left w:val="none" w:sz="0" w:space="0" w:color="auto"/>
            <w:bottom w:val="none" w:sz="0" w:space="0" w:color="auto"/>
            <w:right w:val="none" w:sz="0" w:space="0" w:color="auto"/>
          </w:divBdr>
        </w:div>
        <w:div w:id="927956939">
          <w:marLeft w:val="0"/>
          <w:marRight w:val="0"/>
          <w:marTop w:val="0"/>
          <w:marBottom w:val="0"/>
          <w:divBdr>
            <w:top w:val="none" w:sz="0" w:space="0" w:color="auto"/>
            <w:left w:val="none" w:sz="0" w:space="0" w:color="auto"/>
            <w:bottom w:val="none" w:sz="0" w:space="0" w:color="auto"/>
            <w:right w:val="none" w:sz="0" w:space="0" w:color="auto"/>
          </w:divBdr>
        </w:div>
        <w:div w:id="961376160">
          <w:marLeft w:val="0"/>
          <w:marRight w:val="0"/>
          <w:marTop w:val="0"/>
          <w:marBottom w:val="0"/>
          <w:divBdr>
            <w:top w:val="none" w:sz="0" w:space="0" w:color="auto"/>
            <w:left w:val="none" w:sz="0" w:space="0" w:color="auto"/>
            <w:bottom w:val="none" w:sz="0" w:space="0" w:color="auto"/>
            <w:right w:val="none" w:sz="0" w:space="0" w:color="auto"/>
          </w:divBdr>
        </w:div>
        <w:div w:id="1854489079">
          <w:marLeft w:val="0"/>
          <w:marRight w:val="0"/>
          <w:marTop w:val="0"/>
          <w:marBottom w:val="0"/>
          <w:divBdr>
            <w:top w:val="none" w:sz="0" w:space="0" w:color="auto"/>
            <w:left w:val="none" w:sz="0" w:space="0" w:color="auto"/>
            <w:bottom w:val="none" w:sz="0" w:space="0" w:color="auto"/>
            <w:right w:val="none" w:sz="0" w:space="0" w:color="auto"/>
          </w:divBdr>
        </w:div>
        <w:div w:id="981691354">
          <w:marLeft w:val="0"/>
          <w:marRight w:val="0"/>
          <w:marTop w:val="0"/>
          <w:marBottom w:val="0"/>
          <w:divBdr>
            <w:top w:val="none" w:sz="0" w:space="0" w:color="auto"/>
            <w:left w:val="none" w:sz="0" w:space="0" w:color="auto"/>
            <w:bottom w:val="none" w:sz="0" w:space="0" w:color="auto"/>
            <w:right w:val="none" w:sz="0" w:space="0" w:color="auto"/>
          </w:divBdr>
        </w:div>
        <w:div w:id="1105618802">
          <w:marLeft w:val="0"/>
          <w:marRight w:val="0"/>
          <w:marTop w:val="0"/>
          <w:marBottom w:val="0"/>
          <w:divBdr>
            <w:top w:val="none" w:sz="0" w:space="0" w:color="auto"/>
            <w:left w:val="none" w:sz="0" w:space="0" w:color="auto"/>
            <w:bottom w:val="none" w:sz="0" w:space="0" w:color="auto"/>
            <w:right w:val="none" w:sz="0" w:space="0" w:color="auto"/>
          </w:divBdr>
        </w:div>
        <w:div w:id="573514971">
          <w:marLeft w:val="0"/>
          <w:marRight w:val="0"/>
          <w:marTop w:val="0"/>
          <w:marBottom w:val="0"/>
          <w:divBdr>
            <w:top w:val="none" w:sz="0" w:space="0" w:color="auto"/>
            <w:left w:val="none" w:sz="0" w:space="0" w:color="auto"/>
            <w:bottom w:val="none" w:sz="0" w:space="0" w:color="auto"/>
            <w:right w:val="none" w:sz="0" w:space="0" w:color="auto"/>
          </w:divBdr>
        </w:div>
        <w:div w:id="1915312406">
          <w:marLeft w:val="0"/>
          <w:marRight w:val="0"/>
          <w:marTop w:val="0"/>
          <w:marBottom w:val="0"/>
          <w:divBdr>
            <w:top w:val="none" w:sz="0" w:space="0" w:color="auto"/>
            <w:left w:val="none" w:sz="0" w:space="0" w:color="auto"/>
            <w:bottom w:val="none" w:sz="0" w:space="0" w:color="auto"/>
            <w:right w:val="none" w:sz="0" w:space="0" w:color="auto"/>
          </w:divBdr>
        </w:div>
        <w:div w:id="1054701052">
          <w:marLeft w:val="0"/>
          <w:marRight w:val="0"/>
          <w:marTop w:val="0"/>
          <w:marBottom w:val="0"/>
          <w:divBdr>
            <w:top w:val="none" w:sz="0" w:space="0" w:color="auto"/>
            <w:left w:val="none" w:sz="0" w:space="0" w:color="auto"/>
            <w:bottom w:val="none" w:sz="0" w:space="0" w:color="auto"/>
            <w:right w:val="none" w:sz="0" w:space="0" w:color="auto"/>
          </w:divBdr>
        </w:div>
        <w:div w:id="2077194061">
          <w:marLeft w:val="0"/>
          <w:marRight w:val="0"/>
          <w:marTop w:val="0"/>
          <w:marBottom w:val="0"/>
          <w:divBdr>
            <w:top w:val="none" w:sz="0" w:space="0" w:color="auto"/>
            <w:left w:val="none" w:sz="0" w:space="0" w:color="auto"/>
            <w:bottom w:val="none" w:sz="0" w:space="0" w:color="auto"/>
            <w:right w:val="none" w:sz="0" w:space="0" w:color="auto"/>
          </w:divBdr>
        </w:div>
        <w:div w:id="1722291893">
          <w:marLeft w:val="0"/>
          <w:marRight w:val="0"/>
          <w:marTop w:val="0"/>
          <w:marBottom w:val="0"/>
          <w:divBdr>
            <w:top w:val="none" w:sz="0" w:space="0" w:color="auto"/>
            <w:left w:val="none" w:sz="0" w:space="0" w:color="auto"/>
            <w:bottom w:val="none" w:sz="0" w:space="0" w:color="auto"/>
            <w:right w:val="none" w:sz="0" w:space="0" w:color="auto"/>
          </w:divBdr>
        </w:div>
        <w:div w:id="609122569">
          <w:marLeft w:val="0"/>
          <w:marRight w:val="0"/>
          <w:marTop w:val="0"/>
          <w:marBottom w:val="0"/>
          <w:divBdr>
            <w:top w:val="none" w:sz="0" w:space="0" w:color="auto"/>
            <w:left w:val="none" w:sz="0" w:space="0" w:color="auto"/>
            <w:bottom w:val="none" w:sz="0" w:space="0" w:color="auto"/>
            <w:right w:val="none" w:sz="0" w:space="0" w:color="auto"/>
          </w:divBdr>
        </w:div>
        <w:div w:id="1835993077">
          <w:marLeft w:val="0"/>
          <w:marRight w:val="0"/>
          <w:marTop w:val="0"/>
          <w:marBottom w:val="0"/>
          <w:divBdr>
            <w:top w:val="none" w:sz="0" w:space="0" w:color="auto"/>
            <w:left w:val="none" w:sz="0" w:space="0" w:color="auto"/>
            <w:bottom w:val="none" w:sz="0" w:space="0" w:color="auto"/>
            <w:right w:val="none" w:sz="0" w:space="0" w:color="auto"/>
          </w:divBdr>
        </w:div>
        <w:div w:id="1100417638">
          <w:marLeft w:val="0"/>
          <w:marRight w:val="0"/>
          <w:marTop w:val="0"/>
          <w:marBottom w:val="0"/>
          <w:divBdr>
            <w:top w:val="none" w:sz="0" w:space="0" w:color="auto"/>
            <w:left w:val="none" w:sz="0" w:space="0" w:color="auto"/>
            <w:bottom w:val="none" w:sz="0" w:space="0" w:color="auto"/>
            <w:right w:val="none" w:sz="0" w:space="0" w:color="auto"/>
          </w:divBdr>
        </w:div>
        <w:div w:id="11878249">
          <w:marLeft w:val="0"/>
          <w:marRight w:val="0"/>
          <w:marTop w:val="0"/>
          <w:marBottom w:val="0"/>
          <w:divBdr>
            <w:top w:val="none" w:sz="0" w:space="0" w:color="auto"/>
            <w:left w:val="none" w:sz="0" w:space="0" w:color="auto"/>
            <w:bottom w:val="none" w:sz="0" w:space="0" w:color="auto"/>
            <w:right w:val="none" w:sz="0" w:space="0" w:color="auto"/>
          </w:divBdr>
        </w:div>
        <w:div w:id="1285965244">
          <w:marLeft w:val="0"/>
          <w:marRight w:val="0"/>
          <w:marTop w:val="0"/>
          <w:marBottom w:val="0"/>
          <w:divBdr>
            <w:top w:val="none" w:sz="0" w:space="0" w:color="auto"/>
            <w:left w:val="none" w:sz="0" w:space="0" w:color="auto"/>
            <w:bottom w:val="none" w:sz="0" w:space="0" w:color="auto"/>
            <w:right w:val="none" w:sz="0" w:space="0" w:color="auto"/>
          </w:divBdr>
        </w:div>
        <w:div w:id="1784106842">
          <w:marLeft w:val="0"/>
          <w:marRight w:val="0"/>
          <w:marTop w:val="0"/>
          <w:marBottom w:val="0"/>
          <w:divBdr>
            <w:top w:val="none" w:sz="0" w:space="0" w:color="auto"/>
            <w:left w:val="none" w:sz="0" w:space="0" w:color="auto"/>
            <w:bottom w:val="none" w:sz="0" w:space="0" w:color="auto"/>
            <w:right w:val="none" w:sz="0" w:space="0" w:color="auto"/>
          </w:divBdr>
        </w:div>
        <w:div w:id="1558083323">
          <w:marLeft w:val="0"/>
          <w:marRight w:val="0"/>
          <w:marTop w:val="0"/>
          <w:marBottom w:val="0"/>
          <w:divBdr>
            <w:top w:val="none" w:sz="0" w:space="0" w:color="auto"/>
            <w:left w:val="none" w:sz="0" w:space="0" w:color="auto"/>
            <w:bottom w:val="none" w:sz="0" w:space="0" w:color="auto"/>
            <w:right w:val="none" w:sz="0" w:space="0" w:color="auto"/>
          </w:divBdr>
        </w:div>
        <w:div w:id="468477844">
          <w:marLeft w:val="0"/>
          <w:marRight w:val="0"/>
          <w:marTop w:val="0"/>
          <w:marBottom w:val="0"/>
          <w:divBdr>
            <w:top w:val="none" w:sz="0" w:space="0" w:color="auto"/>
            <w:left w:val="none" w:sz="0" w:space="0" w:color="auto"/>
            <w:bottom w:val="none" w:sz="0" w:space="0" w:color="auto"/>
            <w:right w:val="none" w:sz="0" w:space="0" w:color="auto"/>
          </w:divBdr>
        </w:div>
        <w:div w:id="1035890322">
          <w:marLeft w:val="0"/>
          <w:marRight w:val="0"/>
          <w:marTop w:val="0"/>
          <w:marBottom w:val="0"/>
          <w:divBdr>
            <w:top w:val="none" w:sz="0" w:space="0" w:color="auto"/>
            <w:left w:val="none" w:sz="0" w:space="0" w:color="auto"/>
            <w:bottom w:val="none" w:sz="0" w:space="0" w:color="auto"/>
            <w:right w:val="none" w:sz="0" w:space="0" w:color="auto"/>
          </w:divBdr>
        </w:div>
        <w:div w:id="2079328142">
          <w:marLeft w:val="0"/>
          <w:marRight w:val="0"/>
          <w:marTop w:val="0"/>
          <w:marBottom w:val="0"/>
          <w:divBdr>
            <w:top w:val="none" w:sz="0" w:space="0" w:color="auto"/>
            <w:left w:val="none" w:sz="0" w:space="0" w:color="auto"/>
            <w:bottom w:val="none" w:sz="0" w:space="0" w:color="auto"/>
            <w:right w:val="none" w:sz="0" w:space="0" w:color="auto"/>
          </w:divBdr>
        </w:div>
        <w:div w:id="1575582699">
          <w:marLeft w:val="0"/>
          <w:marRight w:val="0"/>
          <w:marTop w:val="0"/>
          <w:marBottom w:val="0"/>
          <w:divBdr>
            <w:top w:val="none" w:sz="0" w:space="0" w:color="auto"/>
            <w:left w:val="none" w:sz="0" w:space="0" w:color="auto"/>
            <w:bottom w:val="none" w:sz="0" w:space="0" w:color="auto"/>
            <w:right w:val="none" w:sz="0" w:space="0" w:color="auto"/>
          </w:divBdr>
        </w:div>
        <w:div w:id="304046800">
          <w:marLeft w:val="0"/>
          <w:marRight w:val="0"/>
          <w:marTop w:val="0"/>
          <w:marBottom w:val="0"/>
          <w:divBdr>
            <w:top w:val="none" w:sz="0" w:space="0" w:color="auto"/>
            <w:left w:val="none" w:sz="0" w:space="0" w:color="auto"/>
            <w:bottom w:val="none" w:sz="0" w:space="0" w:color="auto"/>
            <w:right w:val="none" w:sz="0" w:space="0" w:color="auto"/>
          </w:divBdr>
        </w:div>
        <w:div w:id="2026859348">
          <w:marLeft w:val="0"/>
          <w:marRight w:val="0"/>
          <w:marTop w:val="0"/>
          <w:marBottom w:val="0"/>
          <w:divBdr>
            <w:top w:val="none" w:sz="0" w:space="0" w:color="auto"/>
            <w:left w:val="none" w:sz="0" w:space="0" w:color="auto"/>
            <w:bottom w:val="none" w:sz="0" w:space="0" w:color="auto"/>
            <w:right w:val="none" w:sz="0" w:space="0" w:color="auto"/>
          </w:divBdr>
        </w:div>
        <w:div w:id="519126853">
          <w:marLeft w:val="0"/>
          <w:marRight w:val="0"/>
          <w:marTop w:val="0"/>
          <w:marBottom w:val="0"/>
          <w:divBdr>
            <w:top w:val="none" w:sz="0" w:space="0" w:color="auto"/>
            <w:left w:val="none" w:sz="0" w:space="0" w:color="auto"/>
            <w:bottom w:val="none" w:sz="0" w:space="0" w:color="auto"/>
            <w:right w:val="none" w:sz="0" w:space="0" w:color="auto"/>
          </w:divBdr>
        </w:div>
        <w:div w:id="1415514005">
          <w:marLeft w:val="0"/>
          <w:marRight w:val="0"/>
          <w:marTop w:val="0"/>
          <w:marBottom w:val="0"/>
          <w:divBdr>
            <w:top w:val="none" w:sz="0" w:space="0" w:color="auto"/>
            <w:left w:val="none" w:sz="0" w:space="0" w:color="auto"/>
            <w:bottom w:val="none" w:sz="0" w:space="0" w:color="auto"/>
            <w:right w:val="none" w:sz="0" w:space="0" w:color="auto"/>
          </w:divBdr>
        </w:div>
        <w:div w:id="1999917338">
          <w:marLeft w:val="0"/>
          <w:marRight w:val="0"/>
          <w:marTop w:val="0"/>
          <w:marBottom w:val="0"/>
          <w:divBdr>
            <w:top w:val="none" w:sz="0" w:space="0" w:color="auto"/>
            <w:left w:val="none" w:sz="0" w:space="0" w:color="auto"/>
            <w:bottom w:val="none" w:sz="0" w:space="0" w:color="auto"/>
            <w:right w:val="none" w:sz="0" w:space="0" w:color="auto"/>
          </w:divBdr>
        </w:div>
        <w:div w:id="1855994814">
          <w:marLeft w:val="0"/>
          <w:marRight w:val="0"/>
          <w:marTop w:val="0"/>
          <w:marBottom w:val="0"/>
          <w:divBdr>
            <w:top w:val="none" w:sz="0" w:space="0" w:color="auto"/>
            <w:left w:val="none" w:sz="0" w:space="0" w:color="auto"/>
            <w:bottom w:val="none" w:sz="0" w:space="0" w:color="auto"/>
            <w:right w:val="none" w:sz="0" w:space="0" w:color="auto"/>
          </w:divBdr>
        </w:div>
        <w:div w:id="1951355708">
          <w:marLeft w:val="0"/>
          <w:marRight w:val="0"/>
          <w:marTop w:val="0"/>
          <w:marBottom w:val="0"/>
          <w:divBdr>
            <w:top w:val="none" w:sz="0" w:space="0" w:color="auto"/>
            <w:left w:val="none" w:sz="0" w:space="0" w:color="auto"/>
            <w:bottom w:val="none" w:sz="0" w:space="0" w:color="auto"/>
            <w:right w:val="none" w:sz="0" w:space="0" w:color="auto"/>
          </w:divBdr>
        </w:div>
        <w:div w:id="1462965489">
          <w:marLeft w:val="0"/>
          <w:marRight w:val="0"/>
          <w:marTop w:val="0"/>
          <w:marBottom w:val="0"/>
          <w:divBdr>
            <w:top w:val="none" w:sz="0" w:space="0" w:color="auto"/>
            <w:left w:val="none" w:sz="0" w:space="0" w:color="auto"/>
            <w:bottom w:val="none" w:sz="0" w:space="0" w:color="auto"/>
            <w:right w:val="none" w:sz="0" w:space="0" w:color="auto"/>
          </w:divBdr>
        </w:div>
        <w:div w:id="2082093352">
          <w:marLeft w:val="0"/>
          <w:marRight w:val="0"/>
          <w:marTop w:val="0"/>
          <w:marBottom w:val="0"/>
          <w:divBdr>
            <w:top w:val="none" w:sz="0" w:space="0" w:color="auto"/>
            <w:left w:val="none" w:sz="0" w:space="0" w:color="auto"/>
            <w:bottom w:val="none" w:sz="0" w:space="0" w:color="auto"/>
            <w:right w:val="none" w:sz="0" w:space="0" w:color="auto"/>
          </w:divBdr>
        </w:div>
        <w:div w:id="1499152663">
          <w:marLeft w:val="0"/>
          <w:marRight w:val="0"/>
          <w:marTop w:val="0"/>
          <w:marBottom w:val="0"/>
          <w:divBdr>
            <w:top w:val="none" w:sz="0" w:space="0" w:color="auto"/>
            <w:left w:val="none" w:sz="0" w:space="0" w:color="auto"/>
            <w:bottom w:val="none" w:sz="0" w:space="0" w:color="auto"/>
            <w:right w:val="none" w:sz="0" w:space="0" w:color="auto"/>
          </w:divBdr>
        </w:div>
        <w:div w:id="549996063">
          <w:marLeft w:val="0"/>
          <w:marRight w:val="0"/>
          <w:marTop w:val="0"/>
          <w:marBottom w:val="0"/>
          <w:divBdr>
            <w:top w:val="none" w:sz="0" w:space="0" w:color="auto"/>
            <w:left w:val="none" w:sz="0" w:space="0" w:color="auto"/>
            <w:bottom w:val="none" w:sz="0" w:space="0" w:color="auto"/>
            <w:right w:val="none" w:sz="0" w:space="0" w:color="auto"/>
          </w:divBdr>
        </w:div>
        <w:div w:id="704208280">
          <w:marLeft w:val="0"/>
          <w:marRight w:val="0"/>
          <w:marTop w:val="0"/>
          <w:marBottom w:val="0"/>
          <w:divBdr>
            <w:top w:val="none" w:sz="0" w:space="0" w:color="auto"/>
            <w:left w:val="none" w:sz="0" w:space="0" w:color="auto"/>
            <w:bottom w:val="none" w:sz="0" w:space="0" w:color="auto"/>
            <w:right w:val="none" w:sz="0" w:space="0" w:color="auto"/>
          </w:divBdr>
        </w:div>
        <w:div w:id="1115175735">
          <w:marLeft w:val="0"/>
          <w:marRight w:val="0"/>
          <w:marTop w:val="0"/>
          <w:marBottom w:val="0"/>
          <w:divBdr>
            <w:top w:val="none" w:sz="0" w:space="0" w:color="auto"/>
            <w:left w:val="none" w:sz="0" w:space="0" w:color="auto"/>
            <w:bottom w:val="none" w:sz="0" w:space="0" w:color="auto"/>
            <w:right w:val="none" w:sz="0" w:space="0" w:color="auto"/>
          </w:divBdr>
        </w:div>
        <w:div w:id="1054960658">
          <w:marLeft w:val="0"/>
          <w:marRight w:val="0"/>
          <w:marTop w:val="0"/>
          <w:marBottom w:val="0"/>
          <w:divBdr>
            <w:top w:val="none" w:sz="0" w:space="0" w:color="auto"/>
            <w:left w:val="none" w:sz="0" w:space="0" w:color="auto"/>
            <w:bottom w:val="none" w:sz="0" w:space="0" w:color="auto"/>
            <w:right w:val="none" w:sz="0" w:space="0" w:color="auto"/>
          </w:divBdr>
        </w:div>
        <w:div w:id="323319654">
          <w:marLeft w:val="0"/>
          <w:marRight w:val="0"/>
          <w:marTop w:val="0"/>
          <w:marBottom w:val="0"/>
          <w:divBdr>
            <w:top w:val="none" w:sz="0" w:space="0" w:color="auto"/>
            <w:left w:val="none" w:sz="0" w:space="0" w:color="auto"/>
            <w:bottom w:val="none" w:sz="0" w:space="0" w:color="auto"/>
            <w:right w:val="none" w:sz="0" w:space="0" w:color="auto"/>
          </w:divBdr>
        </w:div>
        <w:div w:id="833566995">
          <w:marLeft w:val="0"/>
          <w:marRight w:val="0"/>
          <w:marTop w:val="0"/>
          <w:marBottom w:val="0"/>
          <w:divBdr>
            <w:top w:val="none" w:sz="0" w:space="0" w:color="auto"/>
            <w:left w:val="none" w:sz="0" w:space="0" w:color="auto"/>
            <w:bottom w:val="none" w:sz="0" w:space="0" w:color="auto"/>
            <w:right w:val="none" w:sz="0" w:space="0" w:color="auto"/>
          </w:divBdr>
        </w:div>
        <w:div w:id="750854539">
          <w:marLeft w:val="0"/>
          <w:marRight w:val="0"/>
          <w:marTop w:val="0"/>
          <w:marBottom w:val="0"/>
          <w:divBdr>
            <w:top w:val="none" w:sz="0" w:space="0" w:color="auto"/>
            <w:left w:val="none" w:sz="0" w:space="0" w:color="auto"/>
            <w:bottom w:val="none" w:sz="0" w:space="0" w:color="auto"/>
            <w:right w:val="none" w:sz="0" w:space="0" w:color="auto"/>
          </w:divBdr>
        </w:div>
        <w:div w:id="1806662157">
          <w:marLeft w:val="0"/>
          <w:marRight w:val="0"/>
          <w:marTop w:val="0"/>
          <w:marBottom w:val="0"/>
          <w:divBdr>
            <w:top w:val="none" w:sz="0" w:space="0" w:color="auto"/>
            <w:left w:val="none" w:sz="0" w:space="0" w:color="auto"/>
            <w:bottom w:val="none" w:sz="0" w:space="0" w:color="auto"/>
            <w:right w:val="none" w:sz="0" w:space="0" w:color="auto"/>
          </w:divBdr>
        </w:div>
        <w:div w:id="2098594524">
          <w:marLeft w:val="0"/>
          <w:marRight w:val="0"/>
          <w:marTop w:val="0"/>
          <w:marBottom w:val="0"/>
          <w:divBdr>
            <w:top w:val="none" w:sz="0" w:space="0" w:color="auto"/>
            <w:left w:val="none" w:sz="0" w:space="0" w:color="auto"/>
            <w:bottom w:val="none" w:sz="0" w:space="0" w:color="auto"/>
            <w:right w:val="none" w:sz="0" w:space="0" w:color="auto"/>
          </w:divBdr>
        </w:div>
        <w:div w:id="1264341501">
          <w:marLeft w:val="0"/>
          <w:marRight w:val="0"/>
          <w:marTop w:val="0"/>
          <w:marBottom w:val="0"/>
          <w:divBdr>
            <w:top w:val="none" w:sz="0" w:space="0" w:color="auto"/>
            <w:left w:val="none" w:sz="0" w:space="0" w:color="auto"/>
            <w:bottom w:val="none" w:sz="0" w:space="0" w:color="auto"/>
            <w:right w:val="none" w:sz="0" w:space="0" w:color="auto"/>
          </w:divBdr>
        </w:div>
        <w:div w:id="1819371913">
          <w:marLeft w:val="0"/>
          <w:marRight w:val="0"/>
          <w:marTop w:val="0"/>
          <w:marBottom w:val="0"/>
          <w:divBdr>
            <w:top w:val="none" w:sz="0" w:space="0" w:color="auto"/>
            <w:left w:val="none" w:sz="0" w:space="0" w:color="auto"/>
            <w:bottom w:val="none" w:sz="0" w:space="0" w:color="auto"/>
            <w:right w:val="none" w:sz="0" w:space="0" w:color="auto"/>
          </w:divBdr>
        </w:div>
        <w:div w:id="1671517048">
          <w:marLeft w:val="0"/>
          <w:marRight w:val="0"/>
          <w:marTop w:val="0"/>
          <w:marBottom w:val="0"/>
          <w:divBdr>
            <w:top w:val="none" w:sz="0" w:space="0" w:color="auto"/>
            <w:left w:val="none" w:sz="0" w:space="0" w:color="auto"/>
            <w:bottom w:val="none" w:sz="0" w:space="0" w:color="auto"/>
            <w:right w:val="none" w:sz="0" w:space="0" w:color="auto"/>
          </w:divBdr>
        </w:div>
        <w:div w:id="1208374423">
          <w:marLeft w:val="0"/>
          <w:marRight w:val="0"/>
          <w:marTop w:val="0"/>
          <w:marBottom w:val="0"/>
          <w:divBdr>
            <w:top w:val="none" w:sz="0" w:space="0" w:color="auto"/>
            <w:left w:val="none" w:sz="0" w:space="0" w:color="auto"/>
            <w:bottom w:val="none" w:sz="0" w:space="0" w:color="auto"/>
            <w:right w:val="none" w:sz="0" w:space="0" w:color="auto"/>
          </w:divBdr>
        </w:div>
        <w:div w:id="1035157232">
          <w:marLeft w:val="0"/>
          <w:marRight w:val="0"/>
          <w:marTop w:val="0"/>
          <w:marBottom w:val="0"/>
          <w:divBdr>
            <w:top w:val="none" w:sz="0" w:space="0" w:color="auto"/>
            <w:left w:val="none" w:sz="0" w:space="0" w:color="auto"/>
            <w:bottom w:val="none" w:sz="0" w:space="0" w:color="auto"/>
            <w:right w:val="none" w:sz="0" w:space="0" w:color="auto"/>
          </w:divBdr>
        </w:div>
        <w:div w:id="411053677">
          <w:marLeft w:val="0"/>
          <w:marRight w:val="0"/>
          <w:marTop w:val="0"/>
          <w:marBottom w:val="0"/>
          <w:divBdr>
            <w:top w:val="none" w:sz="0" w:space="0" w:color="auto"/>
            <w:left w:val="none" w:sz="0" w:space="0" w:color="auto"/>
            <w:bottom w:val="none" w:sz="0" w:space="0" w:color="auto"/>
            <w:right w:val="none" w:sz="0" w:space="0" w:color="auto"/>
          </w:divBdr>
        </w:div>
        <w:div w:id="456795491">
          <w:marLeft w:val="0"/>
          <w:marRight w:val="0"/>
          <w:marTop w:val="0"/>
          <w:marBottom w:val="0"/>
          <w:divBdr>
            <w:top w:val="none" w:sz="0" w:space="0" w:color="auto"/>
            <w:left w:val="none" w:sz="0" w:space="0" w:color="auto"/>
            <w:bottom w:val="none" w:sz="0" w:space="0" w:color="auto"/>
            <w:right w:val="none" w:sz="0" w:space="0" w:color="auto"/>
          </w:divBdr>
        </w:div>
        <w:div w:id="1297755542">
          <w:marLeft w:val="0"/>
          <w:marRight w:val="0"/>
          <w:marTop w:val="0"/>
          <w:marBottom w:val="0"/>
          <w:divBdr>
            <w:top w:val="none" w:sz="0" w:space="0" w:color="auto"/>
            <w:left w:val="none" w:sz="0" w:space="0" w:color="auto"/>
            <w:bottom w:val="none" w:sz="0" w:space="0" w:color="auto"/>
            <w:right w:val="none" w:sz="0" w:space="0" w:color="auto"/>
          </w:divBdr>
        </w:div>
        <w:div w:id="1906408290">
          <w:marLeft w:val="0"/>
          <w:marRight w:val="0"/>
          <w:marTop w:val="0"/>
          <w:marBottom w:val="0"/>
          <w:divBdr>
            <w:top w:val="none" w:sz="0" w:space="0" w:color="auto"/>
            <w:left w:val="none" w:sz="0" w:space="0" w:color="auto"/>
            <w:bottom w:val="none" w:sz="0" w:space="0" w:color="auto"/>
            <w:right w:val="none" w:sz="0" w:space="0" w:color="auto"/>
          </w:divBdr>
        </w:div>
        <w:div w:id="401291716">
          <w:marLeft w:val="0"/>
          <w:marRight w:val="0"/>
          <w:marTop w:val="0"/>
          <w:marBottom w:val="0"/>
          <w:divBdr>
            <w:top w:val="none" w:sz="0" w:space="0" w:color="auto"/>
            <w:left w:val="none" w:sz="0" w:space="0" w:color="auto"/>
            <w:bottom w:val="none" w:sz="0" w:space="0" w:color="auto"/>
            <w:right w:val="none" w:sz="0" w:space="0" w:color="auto"/>
          </w:divBdr>
        </w:div>
        <w:div w:id="500698150">
          <w:marLeft w:val="0"/>
          <w:marRight w:val="0"/>
          <w:marTop w:val="0"/>
          <w:marBottom w:val="0"/>
          <w:divBdr>
            <w:top w:val="none" w:sz="0" w:space="0" w:color="auto"/>
            <w:left w:val="none" w:sz="0" w:space="0" w:color="auto"/>
            <w:bottom w:val="none" w:sz="0" w:space="0" w:color="auto"/>
            <w:right w:val="none" w:sz="0" w:space="0" w:color="auto"/>
          </w:divBdr>
        </w:div>
        <w:div w:id="405998606">
          <w:marLeft w:val="0"/>
          <w:marRight w:val="0"/>
          <w:marTop w:val="0"/>
          <w:marBottom w:val="0"/>
          <w:divBdr>
            <w:top w:val="none" w:sz="0" w:space="0" w:color="auto"/>
            <w:left w:val="none" w:sz="0" w:space="0" w:color="auto"/>
            <w:bottom w:val="none" w:sz="0" w:space="0" w:color="auto"/>
            <w:right w:val="none" w:sz="0" w:space="0" w:color="auto"/>
          </w:divBdr>
        </w:div>
        <w:div w:id="84502928">
          <w:marLeft w:val="0"/>
          <w:marRight w:val="0"/>
          <w:marTop w:val="0"/>
          <w:marBottom w:val="0"/>
          <w:divBdr>
            <w:top w:val="none" w:sz="0" w:space="0" w:color="auto"/>
            <w:left w:val="none" w:sz="0" w:space="0" w:color="auto"/>
            <w:bottom w:val="none" w:sz="0" w:space="0" w:color="auto"/>
            <w:right w:val="none" w:sz="0" w:space="0" w:color="auto"/>
          </w:divBdr>
        </w:div>
        <w:div w:id="1663701885">
          <w:marLeft w:val="0"/>
          <w:marRight w:val="0"/>
          <w:marTop w:val="0"/>
          <w:marBottom w:val="0"/>
          <w:divBdr>
            <w:top w:val="none" w:sz="0" w:space="0" w:color="auto"/>
            <w:left w:val="none" w:sz="0" w:space="0" w:color="auto"/>
            <w:bottom w:val="none" w:sz="0" w:space="0" w:color="auto"/>
            <w:right w:val="none" w:sz="0" w:space="0" w:color="auto"/>
          </w:divBdr>
        </w:div>
      </w:divsChild>
    </w:div>
    <w:div w:id="570434530">
      <w:bodyDiv w:val="1"/>
      <w:marLeft w:val="0"/>
      <w:marRight w:val="0"/>
      <w:marTop w:val="0"/>
      <w:marBottom w:val="0"/>
      <w:divBdr>
        <w:top w:val="none" w:sz="0" w:space="0" w:color="auto"/>
        <w:left w:val="none" w:sz="0" w:space="0" w:color="auto"/>
        <w:bottom w:val="none" w:sz="0" w:space="0" w:color="auto"/>
        <w:right w:val="none" w:sz="0" w:space="0" w:color="auto"/>
      </w:divBdr>
    </w:div>
    <w:div w:id="591085088">
      <w:bodyDiv w:val="1"/>
      <w:marLeft w:val="0"/>
      <w:marRight w:val="0"/>
      <w:marTop w:val="0"/>
      <w:marBottom w:val="0"/>
      <w:divBdr>
        <w:top w:val="none" w:sz="0" w:space="0" w:color="auto"/>
        <w:left w:val="none" w:sz="0" w:space="0" w:color="auto"/>
        <w:bottom w:val="none" w:sz="0" w:space="0" w:color="auto"/>
        <w:right w:val="none" w:sz="0" w:space="0" w:color="auto"/>
      </w:divBdr>
    </w:div>
    <w:div w:id="628512014">
      <w:bodyDiv w:val="1"/>
      <w:marLeft w:val="0"/>
      <w:marRight w:val="0"/>
      <w:marTop w:val="0"/>
      <w:marBottom w:val="0"/>
      <w:divBdr>
        <w:top w:val="none" w:sz="0" w:space="0" w:color="auto"/>
        <w:left w:val="none" w:sz="0" w:space="0" w:color="auto"/>
        <w:bottom w:val="none" w:sz="0" w:space="0" w:color="auto"/>
        <w:right w:val="none" w:sz="0" w:space="0" w:color="auto"/>
      </w:divBdr>
    </w:div>
    <w:div w:id="636573551">
      <w:bodyDiv w:val="1"/>
      <w:marLeft w:val="0"/>
      <w:marRight w:val="0"/>
      <w:marTop w:val="0"/>
      <w:marBottom w:val="0"/>
      <w:divBdr>
        <w:top w:val="none" w:sz="0" w:space="0" w:color="auto"/>
        <w:left w:val="none" w:sz="0" w:space="0" w:color="auto"/>
        <w:bottom w:val="none" w:sz="0" w:space="0" w:color="auto"/>
        <w:right w:val="none" w:sz="0" w:space="0" w:color="auto"/>
      </w:divBdr>
    </w:div>
    <w:div w:id="649947206">
      <w:bodyDiv w:val="1"/>
      <w:marLeft w:val="0"/>
      <w:marRight w:val="0"/>
      <w:marTop w:val="0"/>
      <w:marBottom w:val="0"/>
      <w:divBdr>
        <w:top w:val="none" w:sz="0" w:space="0" w:color="auto"/>
        <w:left w:val="none" w:sz="0" w:space="0" w:color="auto"/>
        <w:bottom w:val="none" w:sz="0" w:space="0" w:color="auto"/>
        <w:right w:val="none" w:sz="0" w:space="0" w:color="auto"/>
      </w:divBdr>
    </w:div>
    <w:div w:id="689137738">
      <w:bodyDiv w:val="1"/>
      <w:marLeft w:val="0"/>
      <w:marRight w:val="0"/>
      <w:marTop w:val="0"/>
      <w:marBottom w:val="0"/>
      <w:divBdr>
        <w:top w:val="none" w:sz="0" w:space="0" w:color="auto"/>
        <w:left w:val="none" w:sz="0" w:space="0" w:color="auto"/>
        <w:bottom w:val="none" w:sz="0" w:space="0" w:color="auto"/>
        <w:right w:val="none" w:sz="0" w:space="0" w:color="auto"/>
      </w:divBdr>
    </w:div>
    <w:div w:id="689645564">
      <w:bodyDiv w:val="1"/>
      <w:marLeft w:val="0"/>
      <w:marRight w:val="0"/>
      <w:marTop w:val="0"/>
      <w:marBottom w:val="0"/>
      <w:divBdr>
        <w:top w:val="none" w:sz="0" w:space="0" w:color="auto"/>
        <w:left w:val="none" w:sz="0" w:space="0" w:color="auto"/>
        <w:bottom w:val="none" w:sz="0" w:space="0" w:color="auto"/>
        <w:right w:val="none" w:sz="0" w:space="0" w:color="auto"/>
      </w:divBdr>
    </w:div>
    <w:div w:id="745801412">
      <w:bodyDiv w:val="1"/>
      <w:marLeft w:val="0"/>
      <w:marRight w:val="0"/>
      <w:marTop w:val="0"/>
      <w:marBottom w:val="0"/>
      <w:divBdr>
        <w:top w:val="none" w:sz="0" w:space="0" w:color="auto"/>
        <w:left w:val="none" w:sz="0" w:space="0" w:color="auto"/>
        <w:bottom w:val="none" w:sz="0" w:space="0" w:color="auto"/>
        <w:right w:val="none" w:sz="0" w:space="0" w:color="auto"/>
      </w:divBdr>
    </w:div>
    <w:div w:id="754202575">
      <w:bodyDiv w:val="1"/>
      <w:marLeft w:val="0"/>
      <w:marRight w:val="0"/>
      <w:marTop w:val="0"/>
      <w:marBottom w:val="0"/>
      <w:divBdr>
        <w:top w:val="none" w:sz="0" w:space="0" w:color="auto"/>
        <w:left w:val="none" w:sz="0" w:space="0" w:color="auto"/>
        <w:bottom w:val="none" w:sz="0" w:space="0" w:color="auto"/>
        <w:right w:val="none" w:sz="0" w:space="0" w:color="auto"/>
      </w:divBdr>
    </w:div>
    <w:div w:id="754207957">
      <w:bodyDiv w:val="1"/>
      <w:marLeft w:val="0"/>
      <w:marRight w:val="0"/>
      <w:marTop w:val="0"/>
      <w:marBottom w:val="0"/>
      <w:divBdr>
        <w:top w:val="none" w:sz="0" w:space="0" w:color="auto"/>
        <w:left w:val="none" w:sz="0" w:space="0" w:color="auto"/>
        <w:bottom w:val="none" w:sz="0" w:space="0" w:color="auto"/>
        <w:right w:val="none" w:sz="0" w:space="0" w:color="auto"/>
      </w:divBdr>
    </w:div>
    <w:div w:id="781537591">
      <w:bodyDiv w:val="1"/>
      <w:marLeft w:val="0"/>
      <w:marRight w:val="0"/>
      <w:marTop w:val="0"/>
      <w:marBottom w:val="0"/>
      <w:divBdr>
        <w:top w:val="none" w:sz="0" w:space="0" w:color="auto"/>
        <w:left w:val="none" w:sz="0" w:space="0" w:color="auto"/>
        <w:bottom w:val="none" w:sz="0" w:space="0" w:color="auto"/>
        <w:right w:val="none" w:sz="0" w:space="0" w:color="auto"/>
      </w:divBdr>
    </w:div>
    <w:div w:id="790711976">
      <w:bodyDiv w:val="1"/>
      <w:marLeft w:val="0"/>
      <w:marRight w:val="0"/>
      <w:marTop w:val="0"/>
      <w:marBottom w:val="0"/>
      <w:divBdr>
        <w:top w:val="none" w:sz="0" w:space="0" w:color="auto"/>
        <w:left w:val="none" w:sz="0" w:space="0" w:color="auto"/>
        <w:bottom w:val="none" w:sz="0" w:space="0" w:color="auto"/>
        <w:right w:val="none" w:sz="0" w:space="0" w:color="auto"/>
      </w:divBdr>
    </w:div>
    <w:div w:id="830415005">
      <w:bodyDiv w:val="1"/>
      <w:marLeft w:val="0"/>
      <w:marRight w:val="0"/>
      <w:marTop w:val="0"/>
      <w:marBottom w:val="0"/>
      <w:divBdr>
        <w:top w:val="none" w:sz="0" w:space="0" w:color="auto"/>
        <w:left w:val="none" w:sz="0" w:space="0" w:color="auto"/>
        <w:bottom w:val="none" w:sz="0" w:space="0" w:color="auto"/>
        <w:right w:val="none" w:sz="0" w:space="0" w:color="auto"/>
      </w:divBdr>
      <w:divsChild>
        <w:div w:id="1303804090">
          <w:marLeft w:val="0"/>
          <w:marRight w:val="0"/>
          <w:marTop w:val="0"/>
          <w:marBottom w:val="0"/>
          <w:divBdr>
            <w:top w:val="none" w:sz="0" w:space="0" w:color="auto"/>
            <w:left w:val="none" w:sz="0" w:space="0" w:color="auto"/>
            <w:bottom w:val="none" w:sz="0" w:space="0" w:color="auto"/>
            <w:right w:val="none" w:sz="0" w:space="0" w:color="auto"/>
          </w:divBdr>
          <w:divsChild>
            <w:div w:id="972442144">
              <w:marLeft w:val="0"/>
              <w:marRight w:val="0"/>
              <w:marTop w:val="0"/>
              <w:marBottom w:val="0"/>
              <w:divBdr>
                <w:top w:val="none" w:sz="0" w:space="0" w:color="auto"/>
                <w:left w:val="none" w:sz="0" w:space="0" w:color="auto"/>
                <w:bottom w:val="none" w:sz="0" w:space="0" w:color="auto"/>
                <w:right w:val="none" w:sz="0" w:space="0" w:color="auto"/>
              </w:divBdr>
              <w:divsChild>
                <w:div w:id="1722901139">
                  <w:marLeft w:val="0"/>
                  <w:marRight w:val="0"/>
                  <w:marTop w:val="0"/>
                  <w:marBottom w:val="0"/>
                  <w:divBdr>
                    <w:top w:val="none" w:sz="0" w:space="0" w:color="auto"/>
                    <w:left w:val="none" w:sz="0" w:space="0" w:color="auto"/>
                    <w:bottom w:val="none" w:sz="0" w:space="0" w:color="auto"/>
                    <w:right w:val="none" w:sz="0" w:space="0" w:color="auto"/>
                  </w:divBdr>
                  <w:divsChild>
                    <w:div w:id="1183934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1876374">
      <w:bodyDiv w:val="1"/>
      <w:marLeft w:val="0"/>
      <w:marRight w:val="0"/>
      <w:marTop w:val="0"/>
      <w:marBottom w:val="0"/>
      <w:divBdr>
        <w:top w:val="none" w:sz="0" w:space="0" w:color="auto"/>
        <w:left w:val="none" w:sz="0" w:space="0" w:color="auto"/>
        <w:bottom w:val="none" w:sz="0" w:space="0" w:color="auto"/>
        <w:right w:val="none" w:sz="0" w:space="0" w:color="auto"/>
      </w:divBdr>
    </w:div>
    <w:div w:id="832767781">
      <w:bodyDiv w:val="1"/>
      <w:marLeft w:val="0"/>
      <w:marRight w:val="0"/>
      <w:marTop w:val="0"/>
      <w:marBottom w:val="0"/>
      <w:divBdr>
        <w:top w:val="none" w:sz="0" w:space="0" w:color="auto"/>
        <w:left w:val="none" w:sz="0" w:space="0" w:color="auto"/>
        <w:bottom w:val="none" w:sz="0" w:space="0" w:color="auto"/>
        <w:right w:val="none" w:sz="0" w:space="0" w:color="auto"/>
      </w:divBdr>
    </w:div>
    <w:div w:id="888762674">
      <w:bodyDiv w:val="1"/>
      <w:marLeft w:val="0"/>
      <w:marRight w:val="0"/>
      <w:marTop w:val="0"/>
      <w:marBottom w:val="0"/>
      <w:divBdr>
        <w:top w:val="none" w:sz="0" w:space="0" w:color="auto"/>
        <w:left w:val="none" w:sz="0" w:space="0" w:color="auto"/>
        <w:bottom w:val="none" w:sz="0" w:space="0" w:color="auto"/>
        <w:right w:val="none" w:sz="0" w:space="0" w:color="auto"/>
      </w:divBdr>
    </w:div>
    <w:div w:id="906964146">
      <w:bodyDiv w:val="1"/>
      <w:marLeft w:val="0"/>
      <w:marRight w:val="0"/>
      <w:marTop w:val="0"/>
      <w:marBottom w:val="0"/>
      <w:divBdr>
        <w:top w:val="none" w:sz="0" w:space="0" w:color="auto"/>
        <w:left w:val="none" w:sz="0" w:space="0" w:color="auto"/>
        <w:bottom w:val="none" w:sz="0" w:space="0" w:color="auto"/>
        <w:right w:val="none" w:sz="0" w:space="0" w:color="auto"/>
      </w:divBdr>
    </w:div>
    <w:div w:id="915552862">
      <w:bodyDiv w:val="1"/>
      <w:marLeft w:val="0"/>
      <w:marRight w:val="0"/>
      <w:marTop w:val="0"/>
      <w:marBottom w:val="0"/>
      <w:divBdr>
        <w:top w:val="none" w:sz="0" w:space="0" w:color="auto"/>
        <w:left w:val="none" w:sz="0" w:space="0" w:color="auto"/>
        <w:bottom w:val="none" w:sz="0" w:space="0" w:color="auto"/>
        <w:right w:val="none" w:sz="0" w:space="0" w:color="auto"/>
      </w:divBdr>
    </w:div>
    <w:div w:id="922301578">
      <w:bodyDiv w:val="1"/>
      <w:marLeft w:val="0"/>
      <w:marRight w:val="0"/>
      <w:marTop w:val="0"/>
      <w:marBottom w:val="0"/>
      <w:divBdr>
        <w:top w:val="none" w:sz="0" w:space="0" w:color="auto"/>
        <w:left w:val="none" w:sz="0" w:space="0" w:color="auto"/>
        <w:bottom w:val="none" w:sz="0" w:space="0" w:color="auto"/>
        <w:right w:val="none" w:sz="0" w:space="0" w:color="auto"/>
      </w:divBdr>
    </w:div>
    <w:div w:id="923879132">
      <w:bodyDiv w:val="1"/>
      <w:marLeft w:val="0"/>
      <w:marRight w:val="0"/>
      <w:marTop w:val="0"/>
      <w:marBottom w:val="0"/>
      <w:divBdr>
        <w:top w:val="none" w:sz="0" w:space="0" w:color="auto"/>
        <w:left w:val="none" w:sz="0" w:space="0" w:color="auto"/>
        <w:bottom w:val="none" w:sz="0" w:space="0" w:color="auto"/>
        <w:right w:val="none" w:sz="0" w:space="0" w:color="auto"/>
      </w:divBdr>
    </w:div>
    <w:div w:id="931662628">
      <w:bodyDiv w:val="1"/>
      <w:marLeft w:val="0"/>
      <w:marRight w:val="0"/>
      <w:marTop w:val="0"/>
      <w:marBottom w:val="0"/>
      <w:divBdr>
        <w:top w:val="none" w:sz="0" w:space="0" w:color="auto"/>
        <w:left w:val="none" w:sz="0" w:space="0" w:color="auto"/>
        <w:bottom w:val="none" w:sz="0" w:space="0" w:color="auto"/>
        <w:right w:val="none" w:sz="0" w:space="0" w:color="auto"/>
      </w:divBdr>
    </w:div>
    <w:div w:id="948390226">
      <w:bodyDiv w:val="1"/>
      <w:marLeft w:val="0"/>
      <w:marRight w:val="0"/>
      <w:marTop w:val="0"/>
      <w:marBottom w:val="0"/>
      <w:divBdr>
        <w:top w:val="none" w:sz="0" w:space="0" w:color="auto"/>
        <w:left w:val="none" w:sz="0" w:space="0" w:color="auto"/>
        <w:bottom w:val="none" w:sz="0" w:space="0" w:color="auto"/>
        <w:right w:val="none" w:sz="0" w:space="0" w:color="auto"/>
      </w:divBdr>
    </w:div>
    <w:div w:id="956568781">
      <w:bodyDiv w:val="1"/>
      <w:marLeft w:val="0"/>
      <w:marRight w:val="0"/>
      <w:marTop w:val="0"/>
      <w:marBottom w:val="0"/>
      <w:divBdr>
        <w:top w:val="none" w:sz="0" w:space="0" w:color="auto"/>
        <w:left w:val="none" w:sz="0" w:space="0" w:color="auto"/>
        <w:bottom w:val="none" w:sz="0" w:space="0" w:color="auto"/>
        <w:right w:val="none" w:sz="0" w:space="0" w:color="auto"/>
      </w:divBdr>
      <w:divsChild>
        <w:div w:id="1012142509">
          <w:marLeft w:val="0"/>
          <w:marRight w:val="0"/>
          <w:marTop w:val="0"/>
          <w:marBottom w:val="0"/>
          <w:divBdr>
            <w:top w:val="none" w:sz="0" w:space="0" w:color="auto"/>
            <w:left w:val="none" w:sz="0" w:space="0" w:color="auto"/>
            <w:bottom w:val="none" w:sz="0" w:space="0" w:color="auto"/>
            <w:right w:val="none" w:sz="0" w:space="0" w:color="auto"/>
          </w:divBdr>
          <w:divsChild>
            <w:div w:id="1969167166">
              <w:marLeft w:val="0"/>
              <w:marRight w:val="0"/>
              <w:marTop w:val="0"/>
              <w:marBottom w:val="0"/>
              <w:divBdr>
                <w:top w:val="none" w:sz="0" w:space="0" w:color="auto"/>
                <w:left w:val="none" w:sz="0" w:space="0" w:color="auto"/>
                <w:bottom w:val="none" w:sz="0" w:space="0" w:color="auto"/>
                <w:right w:val="none" w:sz="0" w:space="0" w:color="auto"/>
              </w:divBdr>
              <w:divsChild>
                <w:div w:id="57193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268938">
      <w:bodyDiv w:val="1"/>
      <w:marLeft w:val="0"/>
      <w:marRight w:val="0"/>
      <w:marTop w:val="0"/>
      <w:marBottom w:val="0"/>
      <w:divBdr>
        <w:top w:val="none" w:sz="0" w:space="0" w:color="auto"/>
        <w:left w:val="none" w:sz="0" w:space="0" w:color="auto"/>
        <w:bottom w:val="none" w:sz="0" w:space="0" w:color="auto"/>
        <w:right w:val="none" w:sz="0" w:space="0" w:color="auto"/>
      </w:divBdr>
    </w:div>
    <w:div w:id="961961671">
      <w:bodyDiv w:val="1"/>
      <w:marLeft w:val="0"/>
      <w:marRight w:val="0"/>
      <w:marTop w:val="0"/>
      <w:marBottom w:val="0"/>
      <w:divBdr>
        <w:top w:val="none" w:sz="0" w:space="0" w:color="auto"/>
        <w:left w:val="none" w:sz="0" w:space="0" w:color="auto"/>
        <w:bottom w:val="none" w:sz="0" w:space="0" w:color="auto"/>
        <w:right w:val="none" w:sz="0" w:space="0" w:color="auto"/>
      </w:divBdr>
    </w:div>
    <w:div w:id="1007749987">
      <w:bodyDiv w:val="1"/>
      <w:marLeft w:val="0"/>
      <w:marRight w:val="0"/>
      <w:marTop w:val="0"/>
      <w:marBottom w:val="0"/>
      <w:divBdr>
        <w:top w:val="none" w:sz="0" w:space="0" w:color="auto"/>
        <w:left w:val="none" w:sz="0" w:space="0" w:color="auto"/>
        <w:bottom w:val="none" w:sz="0" w:space="0" w:color="auto"/>
        <w:right w:val="none" w:sz="0" w:space="0" w:color="auto"/>
      </w:divBdr>
    </w:div>
    <w:div w:id="1020617959">
      <w:bodyDiv w:val="1"/>
      <w:marLeft w:val="0"/>
      <w:marRight w:val="0"/>
      <w:marTop w:val="0"/>
      <w:marBottom w:val="0"/>
      <w:divBdr>
        <w:top w:val="none" w:sz="0" w:space="0" w:color="auto"/>
        <w:left w:val="none" w:sz="0" w:space="0" w:color="auto"/>
        <w:bottom w:val="none" w:sz="0" w:space="0" w:color="auto"/>
        <w:right w:val="none" w:sz="0" w:space="0" w:color="auto"/>
      </w:divBdr>
    </w:div>
    <w:div w:id="1023048495">
      <w:bodyDiv w:val="1"/>
      <w:marLeft w:val="0"/>
      <w:marRight w:val="0"/>
      <w:marTop w:val="0"/>
      <w:marBottom w:val="0"/>
      <w:divBdr>
        <w:top w:val="none" w:sz="0" w:space="0" w:color="auto"/>
        <w:left w:val="none" w:sz="0" w:space="0" w:color="auto"/>
        <w:bottom w:val="none" w:sz="0" w:space="0" w:color="auto"/>
        <w:right w:val="none" w:sz="0" w:space="0" w:color="auto"/>
      </w:divBdr>
    </w:div>
    <w:div w:id="1033195609">
      <w:bodyDiv w:val="1"/>
      <w:marLeft w:val="0"/>
      <w:marRight w:val="0"/>
      <w:marTop w:val="0"/>
      <w:marBottom w:val="0"/>
      <w:divBdr>
        <w:top w:val="none" w:sz="0" w:space="0" w:color="auto"/>
        <w:left w:val="none" w:sz="0" w:space="0" w:color="auto"/>
        <w:bottom w:val="none" w:sz="0" w:space="0" w:color="auto"/>
        <w:right w:val="none" w:sz="0" w:space="0" w:color="auto"/>
      </w:divBdr>
    </w:div>
    <w:div w:id="1054356969">
      <w:bodyDiv w:val="1"/>
      <w:marLeft w:val="0"/>
      <w:marRight w:val="0"/>
      <w:marTop w:val="0"/>
      <w:marBottom w:val="0"/>
      <w:divBdr>
        <w:top w:val="none" w:sz="0" w:space="0" w:color="auto"/>
        <w:left w:val="none" w:sz="0" w:space="0" w:color="auto"/>
        <w:bottom w:val="none" w:sz="0" w:space="0" w:color="auto"/>
        <w:right w:val="none" w:sz="0" w:space="0" w:color="auto"/>
      </w:divBdr>
    </w:div>
    <w:div w:id="1055817317">
      <w:bodyDiv w:val="1"/>
      <w:marLeft w:val="0"/>
      <w:marRight w:val="0"/>
      <w:marTop w:val="0"/>
      <w:marBottom w:val="0"/>
      <w:divBdr>
        <w:top w:val="none" w:sz="0" w:space="0" w:color="auto"/>
        <w:left w:val="none" w:sz="0" w:space="0" w:color="auto"/>
        <w:bottom w:val="none" w:sz="0" w:space="0" w:color="auto"/>
        <w:right w:val="none" w:sz="0" w:space="0" w:color="auto"/>
      </w:divBdr>
      <w:divsChild>
        <w:div w:id="44064342">
          <w:marLeft w:val="0"/>
          <w:marRight w:val="0"/>
          <w:marTop w:val="0"/>
          <w:marBottom w:val="0"/>
          <w:divBdr>
            <w:top w:val="none" w:sz="0" w:space="0" w:color="auto"/>
            <w:left w:val="none" w:sz="0" w:space="0" w:color="auto"/>
            <w:bottom w:val="none" w:sz="0" w:space="0" w:color="auto"/>
            <w:right w:val="none" w:sz="0" w:space="0" w:color="auto"/>
          </w:divBdr>
          <w:divsChild>
            <w:div w:id="357854843">
              <w:marLeft w:val="0"/>
              <w:marRight w:val="0"/>
              <w:marTop w:val="0"/>
              <w:marBottom w:val="0"/>
              <w:divBdr>
                <w:top w:val="none" w:sz="0" w:space="0" w:color="auto"/>
                <w:left w:val="none" w:sz="0" w:space="0" w:color="auto"/>
                <w:bottom w:val="none" w:sz="0" w:space="0" w:color="auto"/>
                <w:right w:val="none" w:sz="0" w:space="0" w:color="auto"/>
              </w:divBdr>
              <w:divsChild>
                <w:div w:id="1245338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083645">
      <w:bodyDiv w:val="1"/>
      <w:marLeft w:val="0"/>
      <w:marRight w:val="0"/>
      <w:marTop w:val="0"/>
      <w:marBottom w:val="0"/>
      <w:divBdr>
        <w:top w:val="none" w:sz="0" w:space="0" w:color="auto"/>
        <w:left w:val="none" w:sz="0" w:space="0" w:color="auto"/>
        <w:bottom w:val="none" w:sz="0" w:space="0" w:color="auto"/>
        <w:right w:val="none" w:sz="0" w:space="0" w:color="auto"/>
      </w:divBdr>
    </w:div>
    <w:div w:id="1076709107">
      <w:bodyDiv w:val="1"/>
      <w:marLeft w:val="0"/>
      <w:marRight w:val="0"/>
      <w:marTop w:val="0"/>
      <w:marBottom w:val="0"/>
      <w:divBdr>
        <w:top w:val="none" w:sz="0" w:space="0" w:color="auto"/>
        <w:left w:val="none" w:sz="0" w:space="0" w:color="auto"/>
        <w:bottom w:val="none" w:sz="0" w:space="0" w:color="auto"/>
        <w:right w:val="none" w:sz="0" w:space="0" w:color="auto"/>
      </w:divBdr>
    </w:div>
    <w:div w:id="1098523406">
      <w:bodyDiv w:val="1"/>
      <w:marLeft w:val="0"/>
      <w:marRight w:val="0"/>
      <w:marTop w:val="0"/>
      <w:marBottom w:val="0"/>
      <w:divBdr>
        <w:top w:val="none" w:sz="0" w:space="0" w:color="auto"/>
        <w:left w:val="none" w:sz="0" w:space="0" w:color="auto"/>
        <w:bottom w:val="none" w:sz="0" w:space="0" w:color="auto"/>
        <w:right w:val="none" w:sz="0" w:space="0" w:color="auto"/>
      </w:divBdr>
    </w:div>
    <w:div w:id="1100220547">
      <w:bodyDiv w:val="1"/>
      <w:marLeft w:val="0"/>
      <w:marRight w:val="0"/>
      <w:marTop w:val="0"/>
      <w:marBottom w:val="0"/>
      <w:divBdr>
        <w:top w:val="none" w:sz="0" w:space="0" w:color="auto"/>
        <w:left w:val="none" w:sz="0" w:space="0" w:color="auto"/>
        <w:bottom w:val="none" w:sz="0" w:space="0" w:color="auto"/>
        <w:right w:val="none" w:sz="0" w:space="0" w:color="auto"/>
      </w:divBdr>
    </w:div>
    <w:div w:id="1110709859">
      <w:bodyDiv w:val="1"/>
      <w:marLeft w:val="0"/>
      <w:marRight w:val="0"/>
      <w:marTop w:val="0"/>
      <w:marBottom w:val="0"/>
      <w:divBdr>
        <w:top w:val="none" w:sz="0" w:space="0" w:color="auto"/>
        <w:left w:val="none" w:sz="0" w:space="0" w:color="auto"/>
        <w:bottom w:val="none" w:sz="0" w:space="0" w:color="auto"/>
        <w:right w:val="none" w:sz="0" w:space="0" w:color="auto"/>
      </w:divBdr>
    </w:div>
    <w:div w:id="1134718388">
      <w:bodyDiv w:val="1"/>
      <w:marLeft w:val="0"/>
      <w:marRight w:val="0"/>
      <w:marTop w:val="0"/>
      <w:marBottom w:val="0"/>
      <w:divBdr>
        <w:top w:val="none" w:sz="0" w:space="0" w:color="auto"/>
        <w:left w:val="none" w:sz="0" w:space="0" w:color="auto"/>
        <w:bottom w:val="none" w:sz="0" w:space="0" w:color="auto"/>
        <w:right w:val="none" w:sz="0" w:space="0" w:color="auto"/>
      </w:divBdr>
    </w:div>
    <w:div w:id="1180002047">
      <w:bodyDiv w:val="1"/>
      <w:marLeft w:val="0"/>
      <w:marRight w:val="0"/>
      <w:marTop w:val="0"/>
      <w:marBottom w:val="0"/>
      <w:divBdr>
        <w:top w:val="none" w:sz="0" w:space="0" w:color="auto"/>
        <w:left w:val="none" w:sz="0" w:space="0" w:color="auto"/>
        <w:bottom w:val="none" w:sz="0" w:space="0" w:color="auto"/>
        <w:right w:val="none" w:sz="0" w:space="0" w:color="auto"/>
      </w:divBdr>
    </w:div>
    <w:div w:id="1223374158">
      <w:bodyDiv w:val="1"/>
      <w:marLeft w:val="0"/>
      <w:marRight w:val="0"/>
      <w:marTop w:val="0"/>
      <w:marBottom w:val="0"/>
      <w:divBdr>
        <w:top w:val="none" w:sz="0" w:space="0" w:color="auto"/>
        <w:left w:val="none" w:sz="0" w:space="0" w:color="auto"/>
        <w:bottom w:val="none" w:sz="0" w:space="0" w:color="auto"/>
        <w:right w:val="none" w:sz="0" w:space="0" w:color="auto"/>
      </w:divBdr>
    </w:div>
    <w:div w:id="1236747652">
      <w:bodyDiv w:val="1"/>
      <w:marLeft w:val="0"/>
      <w:marRight w:val="0"/>
      <w:marTop w:val="0"/>
      <w:marBottom w:val="0"/>
      <w:divBdr>
        <w:top w:val="none" w:sz="0" w:space="0" w:color="auto"/>
        <w:left w:val="none" w:sz="0" w:space="0" w:color="auto"/>
        <w:bottom w:val="none" w:sz="0" w:space="0" w:color="auto"/>
        <w:right w:val="none" w:sz="0" w:space="0" w:color="auto"/>
      </w:divBdr>
    </w:div>
    <w:div w:id="1276331341">
      <w:bodyDiv w:val="1"/>
      <w:marLeft w:val="0"/>
      <w:marRight w:val="0"/>
      <w:marTop w:val="0"/>
      <w:marBottom w:val="0"/>
      <w:divBdr>
        <w:top w:val="none" w:sz="0" w:space="0" w:color="auto"/>
        <w:left w:val="none" w:sz="0" w:space="0" w:color="auto"/>
        <w:bottom w:val="none" w:sz="0" w:space="0" w:color="auto"/>
        <w:right w:val="none" w:sz="0" w:space="0" w:color="auto"/>
      </w:divBdr>
    </w:div>
    <w:div w:id="1276906075">
      <w:bodyDiv w:val="1"/>
      <w:marLeft w:val="0"/>
      <w:marRight w:val="0"/>
      <w:marTop w:val="0"/>
      <w:marBottom w:val="0"/>
      <w:divBdr>
        <w:top w:val="none" w:sz="0" w:space="0" w:color="auto"/>
        <w:left w:val="none" w:sz="0" w:space="0" w:color="auto"/>
        <w:bottom w:val="none" w:sz="0" w:space="0" w:color="auto"/>
        <w:right w:val="none" w:sz="0" w:space="0" w:color="auto"/>
      </w:divBdr>
    </w:div>
    <w:div w:id="1293827476">
      <w:bodyDiv w:val="1"/>
      <w:marLeft w:val="0"/>
      <w:marRight w:val="0"/>
      <w:marTop w:val="0"/>
      <w:marBottom w:val="0"/>
      <w:divBdr>
        <w:top w:val="none" w:sz="0" w:space="0" w:color="auto"/>
        <w:left w:val="none" w:sz="0" w:space="0" w:color="auto"/>
        <w:bottom w:val="none" w:sz="0" w:space="0" w:color="auto"/>
        <w:right w:val="none" w:sz="0" w:space="0" w:color="auto"/>
      </w:divBdr>
    </w:div>
    <w:div w:id="1299262881">
      <w:bodyDiv w:val="1"/>
      <w:marLeft w:val="0"/>
      <w:marRight w:val="0"/>
      <w:marTop w:val="0"/>
      <w:marBottom w:val="0"/>
      <w:divBdr>
        <w:top w:val="none" w:sz="0" w:space="0" w:color="auto"/>
        <w:left w:val="none" w:sz="0" w:space="0" w:color="auto"/>
        <w:bottom w:val="none" w:sz="0" w:space="0" w:color="auto"/>
        <w:right w:val="none" w:sz="0" w:space="0" w:color="auto"/>
      </w:divBdr>
    </w:div>
    <w:div w:id="1321495637">
      <w:bodyDiv w:val="1"/>
      <w:marLeft w:val="0"/>
      <w:marRight w:val="0"/>
      <w:marTop w:val="0"/>
      <w:marBottom w:val="0"/>
      <w:divBdr>
        <w:top w:val="none" w:sz="0" w:space="0" w:color="auto"/>
        <w:left w:val="none" w:sz="0" w:space="0" w:color="auto"/>
        <w:bottom w:val="none" w:sz="0" w:space="0" w:color="auto"/>
        <w:right w:val="none" w:sz="0" w:space="0" w:color="auto"/>
      </w:divBdr>
    </w:div>
    <w:div w:id="1333291930">
      <w:bodyDiv w:val="1"/>
      <w:marLeft w:val="0"/>
      <w:marRight w:val="0"/>
      <w:marTop w:val="0"/>
      <w:marBottom w:val="0"/>
      <w:divBdr>
        <w:top w:val="none" w:sz="0" w:space="0" w:color="auto"/>
        <w:left w:val="none" w:sz="0" w:space="0" w:color="auto"/>
        <w:bottom w:val="none" w:sz="0" w:space="0" w:color="auto"/>
        <w:right w:val="none" w:sz="0" w:space="0" w:color="auto"/>
      </w:divBdr>
    </w:div>
    <w:div w:id="1338340325">
      <w:bodyDiv w:val="1"/>
      <w:marLeft w:val="0"/>
      <w:marRight w:val="0"/>
      <w:marTop w:val="0"/>
      <w:marBottom w:val="0"/>
      <w:divBdr>
        <w:top w:val="none" w:sz="0" w:space="0" w:color="auto"/>
        <w:left w:val="none" w:sz="0" w:space="0" w:color="auto"/>
        <w:bottom w:val="none" w:sz="0" w:space="0" w:color="auto"/>
        <w:right w:val="none" w:sz="0" w:space="0" w:color="auto"/>
      </w:divBdr>
    </w:div>
    <w:div w:id="1353872428">
      <w:bodyDiv w:val="1"/>
      <w:marLeft w:val="0"/>
      <w:marRight w:val="0"/>
      <w:marTop w:val="0"/>
      <w:marBottom w:val="0"/>
      <w:divBdr>
        <w:top w:val="none" w:sz="0" w:space="0" w:color="auto"/>
        <w:left w:val="none" w:sz="0" w:space="0" w:color="auto"/>
        <w:bottom w:val="none" w:sz="0" w:space="0" w:color="auto"/>
        <w:right w:val="none" w:sz="0" w:space="0" w:color="auto"/>
      </w:divBdr>
    </w:div>
    <w:div w:id="1353919266">
      <w:bodyDiv w:val="1"/>
      <w:marLeft w:val="0"/>
      <w:marRight w:val="0"/>
      <w:marTop w:val="0"/>
      <w:marBottom w:val="0"/>
      <w:divBdr>
        <w:top w:val="none" w:sz="0" w:space="0" w:color="auto"/>
        <w:left w:val="none" w:sz="0" w:space="0" w:color="auto"/>
        <w:bottom w:val="none" w:sz="0" w:space="0" w:color="auto"/>
        <w:right w:val="none" w:sz="0" w:space="0" w:color="auto"/>
      </w:divBdr>
      <w:divsChild>
        <w:div w:id="1658535635">
          <w:marLeft w:val="0"/>
          <w:marRight w:val="0"/>
          <w:marTop w:val="0"/>
          <w:marBottom w:val="0"/>
          <w:divBdr>
            <w:top w:val="none" w:sz="0" w:space="0" w:color="auto"/>
            <w:left w:val="none" w:sz="0" w:space="0" w:color="auto"/>
            <w:bottom w:val="none" w:sz="0" w:space="0" w:color="auto"/>
            <w:right w:val="none" w:sz="0" w:space="0" w:color="auto"/>
          </w:divBdr>
          <w:divsChild>
            <w:div w:id="2026250115">
              <w:marLeft w:val="0"/>
              <w:marRight w:val="0"/>
              <w:marTop w:val="0"/>
              <w:marBottom w:val="0"/>
              <w:divBdr>
                <w:top w:val="none" w:sz="0" w:space="0" w:color="auto"/>
                <w:left w:val="none" w:sz="0" w:space="0" w:color="auto"/>
                <w:bottom w:val="none" w:sz="0" w:space="0" w:color="auto"/>
                <w:right w:val="none" w:sz="0" w:space="0" w:color="auto"/>
              </w:divBdr>
              <w:divsChild>
                <w:div w:id="33696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6153729">
      <w:bodyDiv w:val="1"/>
      <w:marLeft w:val="0"/>
      <w:marRight w:val="0"/>
      <w:marTop w:val="0"/>
      <w:marBottom w:val="0"/>
      <w:divBdr>
        <w:top w:val="none" w:sz="0" w:space="0" w:color="auto"/>
        <w:left w:val="none" w:sz="0" w:space="0" w:color="auto"/>
        <w:bottom w:val="none" w:sz="0" w:space="0" w:color="auto"/>
        <w:right w:val="none" w:sz="0" w:space="0" w:color="auto"/>
      </w:divBdr>
      <w:divsChild>
        <w:div w:id="1290894637">
          <w:marLeft w:val="0"/>
          <w:marRight w:val="0"/>
          <w:marTop w:val="0"/>
          <w:marBottom w:val="0"/>
          <w:divBdr>
            <w:top w:val="none" w:sz="0" w:space="0" w:color="auto"/>
            <w:left w:val="none" w:sz="0" w:space="0" w:color="auto"/>
            <w:bottom w:val="none" w:sz="0" w:space="0" w:color="auto"/>
            <w:right w:val="none" w:sz="0" w:space="0" w:color="auto"/>
          </w:divBdr>
          <w:divsChild>
            <w:div w:id="871575053">
              <w:marLeft w:val="0"/>
              <w:marRight w:val="0"/>
              <w:marTop w:val="0"/>
              <w:marBottom w:val="0"/>
              <w:divBdr>
                <w:top w:val="none" w:sz="0" w:space="0" w:color="auto"/>
                <w:left w:val="none" w:sz="0" w:space="0" w:color="auto"/>
                <w:bottom w:val="none" w:sz="0" w:space="0" w:color="auto"/>
                <w:right w:val="none" w:sz="0" w:space="0" w:color="auto"/>
              </w:divBdr>
              <w:divsChild>
                <w:div w:id="1926307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363017">
      <w:bodyDiv w:val="1"/>
      <w:marLeft w:val="0"/>
      <w:marRight w:val="0"/>
      <w:marTop w:val="0"/>
      <w:marBottom w:val="0"/>
      <w:divBdr>
        <w:top w:val="none" w:sz="0" w:space="0" w:color="auto"/>
        <w:left w:val="none" w:sz="0" w:space="0" w:color="auto"/>
        <w:bottom w:val="none" w:sz="0" w:space="0" w:color="auto"/>
        <w:right w:val="none" w:sz="0" w:space="0" w:color="auto"/>
      </w:divBdr>
    </w:div>
    <w:div w:id="1366760323">
      <w:bodyDiv w:val="1"/>
      <w:marLeft w:val="0"/>
      <w:marRight w:val="0"/>
      <w:marTop w:val="0"/>
      <w:marBottom w:val="0"/>
      <w:divBdr>
        <w:top w:val="none" w:sz="0" w:space="0" w:color="auto"/>
        <w:left w:val="none" w:sz="0" w:space="0" w:color="auto"/>
        <w:bottom w:val="none" w:sz="0" w:space="0" w:color="auto"/>
        <w:right w:val="none" w:sz="0" w:space="0" w:color="auto"/>
      </w:divBdr>
    </w:div>
    <w:div w:id="1373724858">
      <w:bodyDiv w:val="1"/>
      <w:marLeft w:val="0"/>
      <w:marRight w:val="0"/>
      <w:marTop w:val="0"/>
      <w:marBottom w:val="0"/>
      <w:divBdr>
        <w:top w:val="none" w:sz="0" w:space="0" w:color="auto"/>
        <w:left w:val="none" w:sz="0" w:space="0" w:color="auto"/>
        <w:bottom w:val="none" w:sz="0" w:space="0" w:color="auto"/>
        <w:right w:val="none" w:sz="0" w:space="0" w:color="auto"/>
      </w:divBdr>
    </w:div>
    <w:div w:id="1379629038">
      <w:bodyDiv w:val="1"/>
      <w:marLeft w:val="0"/>
      <w:marRight w:val="0"/>
      <w:marTop w:val="0"/>
      <w:marBottom w:val="0"/>
      <w:divBdr>
        <w:top w:val="none" w:sz="0" w:space="0" w:color="auto"/>
        <w:left w:val="none" w:sz="0" w:space="0" w:color="auto"/>
        <w:bottom w:val="none" w:sz="0" w:space="0" w:color="auto"/>
        <w:right w:val="none" w:sz="0" w:space="0" w:color="auto"/>
      </w:divBdr>
    </w:div>
    <w:div w:id="1383141708">
      <w:bodyDiv w:val="1"/>
      <w:marLeft w:val="0"/>
      <w:marRight w:val="0"/>
      <w:marTop w:val="0"/>
      <w:marBottom w:val="0"/>
      <w:divBdr>
        <w:top w:val="none" w:sz="0" w:space="0" w:color="auto"/>
        <w:left w:val="none" w:sz="0" w:space="0" w:color="auto"/>
        <w:bottom w:val="none" w:sz="0" w:space="0" w:color="auto"/>
        <w:right w:val="none" w:sz="0" w:space="0" w:color="auto"/>
      </w:divBdr>
    </w:div>
    <w:div w:id="1387293420">
      <w:bodyDiv w:val="1"/>
      <w:marLeft w:val="0"/>
      <w:marRight w:val="0"/>
      <w:marTop w:val="0"/>
      <w:marBottom w:val="0"/>
      <w:divBdr>
        <w:top w:val="none" w:sz="0" w:space="0" w:color="auto"/>
        <w:left w:val="none" w:sz="0" w:space="0" w:color="auto"/>
        <w:bottom w:val="none" w:sz="0" w:space="0" w:color="auto"/>
        <w:right w:val="none" w:sz="0" w:space="0" w:color="auto"/>
      </w:divBdr>
    </w:div>
    <w:div w:id="1390610468">
      <w:bodyDiv w:val="1"/>
      <w:marLeft w:val="0"/>
      <w:marRight w:val="0"/>
      <w:marTop w:val="0"/>
      <w:marBottom w:val="0"/>
      <w:divBdr>
        <w:top w:val="none" w:sz="0" w:space="0" w:color="auto"/>
        <w:left w:val="none" w:sz="0" w:space="0" w:color="auto"/>
        <w:bottom w:val="none" w:sz="0" w:space="0" w:color="auto"/>
        <w:right w:val="none" w:sz="0" w:space="0" w:color="auto"/>
      </w:divBdr>
    </w:div>
    <w:div w:id="1418555974">
      <w:bodyDiv w:val="1"/>
      <w:marLeft w:val="0"/>
      <w:marRight w:val="0"/>
      <w:marTop w:val="0"/>
      <w:marBottom w:val="0"/>
      <w:divBdr>
        <w:top w:val="none" w:sz="0" w:space="0" w:color="auto"/>
        <w:left w:val="none" w:sz="0" w:space="0" w:color="auto"/>
        <w:bottom w:val="none" w:sz="0" w:space="0" w:color="auto"/>
        <w:right w:val="none" w:sz="0" w:space="0" w:color="auto"/>
      </w:divBdr>
    </w:div>
    <w:div w:id="1427656779">
      <w:bodyDiv w:val="1"/>
      <w:marLeft w:val="0"/>
      <w:marRight w:val="0"/>
      <w:marTop w:val="0"/>
      <w:marBottom w:val="0"/>
      <w:divBdr>
        <w:top w:val="none" w:sz="0" w:space="0" w:color="auto"/>
        <w:left w:val="none" w:sz="0" w:space="0" w:color="auto"/>
        <w:bottom w:val="none" w:sz="0" w:space="0" w:color="auto"/>
        <w:right w:val="none" w:sz="0" w:space="0" w:color="auto"/>
      </w:divBdr>
    </w:div>
    <w:div w:id="1476751542">
      <w:bodyDiv w:val="1"/>
      <w:marLeft w:val="0"/>
      <w:marRight w:val="0"/>
      <w:marTop w:val="0"/>
      <w:marBottom w:val="0"/>
      <w:divBdr>
        <w:top w:val="none" w:sz="0" w:space="0" w:color="auto"/>
        <w:left w:val="none" w:sz="0" w:space="0" w:color="auto"/>
        <w:bottom w:val="none" w:sz="0" w:space="0" w:color="auto"/>
        <w:right w:val="none" w:sz="0" w:space="0" w:color="auto"/>
      </w:divBdr>
    </w:div>
    <w:div w:id="1498885962">
      <w:bodyDiv w:val="1"/>
      <w:marLeft w:val="0"/>
      <w:marRight w:val="0"/>
      <w:marTop w:val="0"/>
      <w:marBottom w:val="0"/>
      <w:divBdr>
        <w:top w:val="none" w:sz="0" w:space="0" w:color="auto"/>
        <w:left w:val="none" w:sz="0" w:space="0" w:color="auto"/>
        <w:bottom w:val="none" w:sz="0" w:space="0" w:color="auto"/>
        <w:right w:val="none" w:sz="0" w:space="0" w:color="auto"/>
      </w:divBdr>
    </w:div>
    <w:div w:id="1503164190">
      <w:bodyDiv w:val="1"/>
      <w:marLeft w:val="0"/>
      <w:marRight w:val="0"/>
      <w:marTop w:val="0"/>
      <w:marBottom w:val="0"/>
      <w:divBdr>
        <w:top w:val="none" w:sz="0" w:space="0" w:color="auto"/>
        <w:left w:val="none" w:sz="0" w:space="0" w:color="auto"/>
        <w:bottom w:val="none" w:sz="0" w:space="0" w:color="auto"/>
        <w:right w:val="none" w:sz="0" w:space="0" w:color="auto"/>
      </w:divBdr>
    </w:div>
    <w:div w:id="1520584841">
      <w:bodyDiv w:val="1"/>
      <w:marLeft w:val="0"/>
      <w:marRight w:val="0"/>
      <w:marTop w:val="0"/>
      <w:marBottom w:val="0"/>
      <w:divBdr>
        <w:top w:val="none" w:sz="0" w:space="0" w:color="auto"/>
        <w:left w:val="none" w:sz="0" w:space="0" w:color="auto"/>
        <w:bottom w:val="none" w:sz="0" w:space="0" w:color="auto"/>
        <w:right w:val="none" w:sz="0" w:space="0" w:color="auto"/>
      </w:divBdr>
    </w:div>
    <w:div w:id="1538619043">
      <w:bodyDiv w:val="1"/>
      <w:marLeft w:val="0"/>
      <w:marRight w:val="0"/>
      <w:marTop w:val="0"/>
      <w:marBottom w:val="0"/>
      <w:divBdr>
        <w:top w:val="none" w:sz="0" w:space="0" w:color="auto"/>
        <w:left w:val="none" w:sz="0" w:space="0" w:color="auto"/>
        <w:bottom w:val="none" w:sz="0" w:space="0" w:color="auto"/>
        <w:right w:val="none" w:sz="0" w:space="0" w:color="auto"/>
      </w:divBdr>
    </w:div>
    <w:div w:id="1553693224">
      <w:bodyDiv w:val="1"/>
      <w:marLeft w:val="0"/>
      <w:marRight w:val="0"/>
      <w:marTop w:val="0"/>
      <w:marBottom w:val="0"/>
      <w:divBdr>
        <w:top w:val="none" w:sz="0" w:space="0" w:color="auto"/>
        <w:left w:val="none" w:sz="0" w:space="0" w:color="auto"/>
        <w:bottom w:val="none" w:sz="0" w:space="0" w:color="auto"/>
        <w:right w:val="none" w:sz="0" w:space="0" w:color="auto"/>
      </w:divBdr>
    </w:div>
    <w:div w:id="1563128339">
      <w:bodyDiv w:val="1"/>
      <w:marLeft w:val="0"/>
      <w:marRight w:val="0"/>
      <w:marTop w:val="0"/>
      <w:marBottom w:val="0"/>
      <w:divBdr>
        <w:top w:val="none" w:sz="0" w:space="0" w:color="auto"/>
        <w:left w:val="none" w:sz="0" w:space="0" w:color="auto"/>
        <w:bottom w:val="none" w:sz="0" w:space="0" w:color="auto"/>
        <w:right w:val="none" w:sz="0" w:space="0" w:color="auto"/>
      </w:divBdr>
    </w:div>
    <w:div w:id="1591700668">
      <w:bodyDiv w:val="1"/>
      <w:marLeft w:val="0"/>
      <w:marRight w:val="0"/>
      <w:marTop w:val="0"/>
      <w:marBottom w:val="0"/>
      <w:divBdr>
        <w:top w:val="none" w:sz="0" w:space="0" w:color="auto"/>
        <w:left w:val="none" w:sz="0" w:space="0" w:color="auto"/>
        <w:bottom w:val="none" w:sz="0" w:space="0" w:color="auto"/>
        <w:right w:val="none" w:sz="0" w:space="0" w:color="auto"/>
      </w:divBdr>
    </w:div>
    <w:div w:id="1594438061">
      <w:bodyDiv w:val="1"/>
      <w:marLeft w:val="0"/>
      <w:marRight w:val="0"/>
      <w:marTop w:val="0"/>
      <w:marBottom w:val="0"/>
      <w:divBdr>
        <w:top w:val="none" w:sz="0" w:space="0" w:color="auto"/>
        <w:left w:val="none" w:sz="0" w:space="0" w:color="auto"/>
        <w:bottom w:val="none" w:sz="0" w:space="0" w:color="auto"/>
        <w:right w:val="none" w:sz="0" w:space="0" w:color="auto"/>
      </w:divBdr>
    </w:div>
    <w:div w:id="1596013746">
      <w:bodyDiv w:val="1"/>
      <w:marLeft w:val="0"/>
      <w:marRight w:val="0"/>
      <w:marTop w:val="0"/>
      <w:marBottom w:val="0"/>
      <w:divBdr>
        <w:top w:val="none" w:sz="0" w:space="0" w:color="auto"/>
        <w:left w:val="none" w:sz="0" w:space="0" w:color="auto"/>
        <w:bottom w:val="none" w:sz="0" w:space="0" w:color="auto"/>
        <w:right w:val="none" w:sz="0" w:space="0" w:color="auto"/>
      </w:divBdr>
    </w:div>
    <w:div w:id="1601134367">
      <w:bodyDiv w:val="1"/>
      <w:marLeft w:val="0"/>
      <w:marRight w:val="0"/>
      <w:marTop w:val="0"/>
      <w:marBottom w:val="0"/>
      <w:divBdr>
        <w:top w:val="none" w:sz="0" w:space="0" w:color="auto"/>
        <w:left w:val="none" w:sz="0" w:space="0" w:color="auto"/>
        <w:bottom w:val="none" w:sz="0" w:space="0" w:color="auto"/>
        <w:right w:val="none" w:sz="0" w:space="0" w:color="auto"/>
      </w:divBdr>
    </w:div>
    <w:div w:id="1602182692">
      <w:bodyDiv w:val="1"/>
      <w:marLeft w:val="0"/>
      <w:marRight w:val="0"/>
      <w:marTop w:val="0"/>
      <w:marBottom w:val="0"/>
      <w:divBdr>
        <w:top w:val="none" w:sz="0" w:space="0" w:color="auto"/>
        <w:left w:val="none" w:sz="0" w:space="0" w:color="auto"/>
        <w:bottom w:val="none" w:sz="0" w:space="0" w:color="auto"/>
        <w:right w:val="none" w:sz="0" w:space="0" w:color="auto"/>
      </w:divBdr>
    </w:div>
    <w:div w:id="1607880369">
      <w:bodyDiv w:val="1"/>
      <w:marLeft w:val="0"/>
      <w:marRight w:val="0"/>
      <w:marTop w:val="0"/>
      <w:marBottom w:val="0"/>
      <w:divBdr>
        <w:top w:val="none" w:sz="0" w:space="0" w:color="auto"/>
        <w:left w:val="none" w:sz="0" w:space="0" w:color="auto"/>
        <w:bottom w:val="none" w:sz="0" w:space="0" w:color="auto"/>
        <w:right w:val="none" w:sz="0" w:space="0" w:color="auto"/>
      </w:divBdr>
      <w:divsChild>
        <w:div w:id="66461417">
          <w:marLeft w:val="0"/>
          <w:marRight w:val="0"/>
          <w:marTop w:val="0"/>
          <w:marBottom w:val="0"/>
          <w:divBdr>
            <w:top w:val="none" w:sz="0" w:space="0" w:color="auto"/>
            <w:left w:val="none" w:sz="0" w:space="0" w:color="auto"/>
            <w:bottom w:val="none" w:sz="0" w:space="0" w:color="auto"/>
            <w:right w:val="none" w:sz="0" w:space="0" w:color="auto"/>
          </w:divBdr>
        </w:div>
        <w:div w:id="1580092923">
          <w:marLeft w:val="0"/>
          <w:marRight w:val="0"/>
          <w:marTop w:val="0"/>
          <w:marBottom w:val="0"/>
          <w:divBdr>
            <w:top w:val="none" w:sz="0" w:space="0" w:color="auto"/>
            <w:left w:val="none" w:sz="0" w:space="0" w:color="auto"/>
            <w:bottom w:val="none" w:sz="0" w:space="0" w:color="auto"/>
            <w:right w:val="none" w:sz="0" w:space="0" w:color="auto"/>
          </w:divBdr>
        </w:div>
        <w:div w:id="824200299">
          <w:marLeft w:val="0"/>
          <w:marRight w:val="0"/>
          <w:marTop w:val="0"/>
          <w:marBottom w:val="0"/>
          <w:divBdr>
            <w:top w:val="none" w:sz="0" w:space="0" w:color="auto"/>
            <w:left w:val="none" w:sz="0" w:space="0" w:color="auto"/>
            <w:bottom w:val="none" w:sz="0" w:space="0" w:color="auto"/>
            <w:right w:val="none" w:sz="0" w:space="0" w:color="auto"/>
          </w:divBdr>
        </w:div>
        <w:div w:id="961423837">
          <w:marLeft w:val="0"/>
          <w:marRight w:val="0"/>
          <w:marTop w:val="0"/>
          <w:marBottom w:val="0"/>
          <w:divBdr>
            <w:top w:val="none" w:sz="0" w:space="0" w:color="auto"/>
            <w:left w:val="none" w:sz="0" w:space="0" w:color="auto"/>
            <w:bottom w:val="none" w:sz="0" w:space="0" w:color="auto"/>
            <w:right w:val="none" w:sz="0" w:space="0" w:color="auto"/>
          </w:divBdr>
        </w:div>
        <w:div w:id="79643243">
          <w:marLeft w:val="0"/>
          <w:marRight w:val="0"/>
          <w:marTop w:val="0"/>
          <w:marBottom w:val="0"/>
          <w:divBdr>
            <w:top w:val="none" w:sz="0" w:space="0" w:color="auto"/>
            <w:left w:val="none" w:sz="0" w:space="0" w:color="auto"/>
            <w:bottom w:val="none" w:sz="0" w:space="0" w:color="auto"/>
            <w:right w:val="none" w:sz="0" w:space="0" w:color="auto"/>
          </w:divBdr>
        </w:div>
        <w:div w:id="636646119">
          <w:marLeft w:val="0"/>
          <w:marRight w:val="0"/>
          <w:marTop w:val="0"/>
          <w:marBottom w:val="0"/>
          <w:divBdr>
            <w:top w:val="none" w:sz="0" w:space="0" w:color="auto"/>
            <w:left w:val="none" w:sz="0" w:space="0" w:color="auto"/>
            <w:bottom w:val="none" w:sz="0" w:space="0" w:color="auto"/>
            <w:right w:val="none" w:sz="0" w:space="0" w:color="auto"/>
          </w:divBdr>
        </w:div>
        <w:div w:id="648828576">
          <w:marLeft w:val="0"/>
          <w:marRight w:val="0"/>
          <w:marTop w:val="0"/>
          <w:marBottom w:val="0"/>
          <w:divBdr>
            <w:top w:val="none" w:sz="0" w:space="0" w:color="auto"/>
            <w:left w:val="none" w:sz="0" w:space="0" w:color="auto"/>
            <w:bottom w:val="none" w:sz="0" w:space="0" w:color="auto"/>
            <w:right w:val="none" w:sz="0" w:space="0" w:color="auto"/>
          </w:divBdr>
        </w:div>
        <w:div w:id="1788575391">
          <w:marLeft w:val="0"/>
          <w:marRight w:val="0"/>
          <w:marTop w:val="0"/>
          <w:marBottom w:val="0"/>
          <w:divBdr>
            <w:top w:val="none" w:sz="0" w:space="0" w:color="auto"/>
            <w:left w:val="none" w:sz="0" w:space="0" w:color="auto"/>
            <w:bottom w:val="none" w:sz="0" w:space="0" w:color="auto"/>
            <w:right w:val="none" w:sz="0" w:space="0" w:color="auto"/>
          </w:divBdr>
        </w:div>
        <w:div w:id="1176577387">
          <w:marLeft w:val="0"/>
          <w:marRight w:val="0"/>
          <w:marTop w:val="0"/>
          <w:marBottom w:val="0"/>
          <w:divBdr>
            <w:top w:val="none" w:sz="0" w:space="0" w:color="auto"/>
            <w:left w:val="none" w:sz="0" w:space="0" w:color="auto"/>
            <w:bottom w:val="none" w:sz="0" w:space="0" w:color="auto"/>
            <w:right w:val="none" w:sz="0" w:space="0" w:color="auto"/>
          </w:divBdr>
        </w:div>
        <w:div w:id="507987499">
          <w:marLeft w:val="0"/>
          <w:marRight w:val="0"/>
          <w:marTop w:val="0"/>
          <w:marBottom w:val="0"/>
          <w:divBdr>
            <w:top w:val="none" w:sz="0" w:space="0" w:color="auto"/>
            <w:left w:val="none" w:sz="0" w:space="0" w:color="auto"/>
            <w:bottom w:val="none" w:sz="0" w:space="0" w:color="auto"/>
            <w:right w:val="none" w:sz="0" w:space="0" w:color="auto"/>
          </w:divBdr>
        </w:div>
        <w:div w:id="2044986620">
          <w:marLeft w:val="0"/>
          <w:marRight w:val="0"/>
          <w:marTop w:val="0"/>
          <w:marBottom w:val="0"/>
          <w:divBdr>
            <w:top w:val="none" w:sz="0" w:space="0" w:color="auto"/>
            <w:left w:val="none" w:sz="0" w:space="0" w:color="auto"/>
            <w:bottom w:val="none" w:sz="0" w:space="0" w:color="auto"/>
            <w:right w:val="none" w:sz="0" w:space="0" w:color="auto"/>
          </w:divBdr>
        </w:div>
        <w:div w:id="1291017025">
          <w:marLeft w:val="0"/>
          <w:marRight w:val="0"/>
          <w:marTop w:val="0"/>
          <w:marBottom w:val="0"/>
          <w:divBdr>
            <w:top w:val="none" w:sz="0" w:space="0" w:color="auto"/>
            <w:left w:val="none" w:sz="0" w:space="0" w:color="auto"/>
            <w:bottom w:val="none" w:sz="0" w:space="0" w:color="auto"/>
            <w:right w:val="none" w:sz="0" w:space="0" w:color="auto"/>
          </w:divBdr>
        </w:div>
      </w:divsChild>
    </w:div>
    <w:div w:id="1611669152">
      <w:bodyDiv w:val="1"/>
      <w:marLeft w:val="0"/>
      <w:marRight w:val="0"/>
      <w:marTop w:val="0"/>
      <w:marBottom w:val="0"/>
      <w:divBdr>
        <w:top w:val="none" w:sz="0" w:space="0" w:color="auto"/>
        <w:left w:val="none" w:sz="0" w:space="0" w:color="auto"/>
        <w:bottom w:val="none" w:sz="0" w:space="0" w:color="auto"/>
        <w:right w:val="none" w:sz="0" w:space="0" w:color="auto"/>
      </w:divBdr>
    </w:div>
    <w:div w:id="1614707019">
      <w:bodyDiv w:val="1"/>
      <w:marLeft w:val="0"/>
      <w:marRight w:val="0"/>
      <w:marTop w:val="0"/>
      <w:marBottom w:val="0"/>
      <w:divBdr>
        <w:top w:val="none" w:sz="0" w:space="0" w:color="auto"/>
        <w:left w:val="none" w:sz="0" w:space="0" w:color="auto"/>
        <w:bottom w:val="none" w:sz="0" w:space="0" w:color="auto"/>
        <w:right w:val="none" w:sz="0" w:space="0" w:color="auto"/>
      </w:divBdr>
    </w:div>
    <w:div w:id="1618293970">
      <w:bodyDiv w:val="1"/>
      <w:marLeft w:val="0"/>
      <w:marRight w:val="0"/>
      <w:marTop w:val="0"/>
      <w:marBottom w:val="0"/>
      <w:divBdr>
        <w:top w:val="none" w:sz="0" w:space="0" w:color="auto"/>
        <w:left w:val="none" w:sz="0" w:space="0" w:color="auto"/>
        <w:bottom w:val="none" w:sz="0" w:space="0" w:color="auto"/>
        <w:right w:val="none" w:sz="0" w:space="0" w:color="auto"/>
      </w:divBdr>
    </w:div>
    <w:div w:id="1623926428">
      <w:bodyDiv w:val="1"/>
      <w:marLeft w:val="0"/>
      <w:marRight w:val="0"/>
      <w:marTop w:val="0"/>
      <w:marBottom w:val="0"/>
      <w:divBdr>
        <w:top w:val="none" w:sz="0" w:space="0" w:color="auto"/>
        <w:left w:val="none" w:sz="0" w:space="0" w:color="auto"/>
        <w:bottom w:val="none" w:sz="0" w:space="0" w:color="auto"/>
        <w:right w:val="none" w:sz="0" w:space="0" w:color="auto"/>
      </w:divBdr>
      <w:divsChild>
        <w:div w:id="220294915">
          <w:marLeft w:val="0"/>
          <w:marRight w:val="0"/>
          <w:marTop w:val="0"/>
          <w:marBottom w:val="0"/>
          <w:divBdr>
            <w:top w:val="none" w:sz="0" w:space="0" w:color="auto"/>
            <w:left w:val="none" w:sz="0" w:space="0" w:color="auto"/>
            <w:bottom w:val="none" w:sz="0" w:space="0" w:color="auto"/>
            <w:right w:val="none" w:sz="0" w:space="0" w:color="auto"/>
          </w:divBdr>
          <w:divsChild>
            <w:div w:id="65230310">
              <w:marLeft w:val="0"/>
              <w:marRight w:val="0"/>
              <w:marTop w:val="0"/>
              <w:marBottom w:val="0"/>
              <w:divBdr>
                <w:top w:val="none" w:sz="0" w:space="0" w:color="auto"/>
                <w:left w:val="none" w:sz="0" w:space="0" w:color="auto"/>
                <w:bottom w:val="none" w:sz="0" w:space="0" w:color="auto"/>
                <w:right w:val="none" w:sz="0" w:space="0" w:color="auto"/>
              </w:divBdr>
              <w:divsChild>
                <w:div w:id="51237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4868314">
      <w:bodyDiv w:val="1"/>
      <w:marLeft w:val="0"/>
      <w:marRight w:val="0"/>
      <w:marTop w:val="0"/>
      <w:marBottom w:val="0"/>
      <w:divBdr>
        <w:top w:val="none" w:sz="0" w:space="0" w:color="auto"/>
        <w:left w:val="none" w:sz="0" w:space="0" w:color="auto"/>
        <w:bottom w:val="none" w:sz="0" w:space="0" w:color="auto"/>
        <w:right w:val="none" w:sz="0" w:space="0" w:color="auto"/>
      </w:divBdr>
      <w:divsChild>
        <w:div w:id="1129282931">
          <w:marLeft w:val="0"/>
          <w:marRight w:val="0"/>
          <w:marTop w:val="0"/>
          <w:marBottom w:val="0"/>
          <w:divBdr>
            <w:top w:val="none" w:sz="0" w:space="0" w:color="auto"/>
            <w:left w:val="none" w:sz="0" w:space="0" w:color="auto"/>
            <w:bottom w:val="none" w:sz="0" w:space="0" w:color="auto"/>
            <w:right w:val="none" w:sz="0" w:space="0" w:color="auto"/>
          </w:divBdr>
          <w:divsChild>
            <w:div w:id="2047482096">
              <w:marLeft w:val="0"/>
              <w:marRight w:val="0"/>
              <w:marTop w:val="0"/>
              <w:marBottom w:val="0"/>
              <w:divBdr>
                <w:top w:val="none" w:sz="0" w:space="0" w:color="auto"/>
                <w:left w:val="none" w:sz="0" w:space="0" w:color="auto"/>
                <w:bottom w:val="none" w:sz="0" w:space="0" w:color="auto"/>
                <w:right w:val="none" w:sz="0" w:space="0" w:color="auto"/>
              </w:divBdr>
              <w:divsChild>
                <w:div w:id="902327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764856">
      <w:bodyDiv w:val="1"/>
      <w:marLeft w:val="0"/>
      <w:marRight w:val="0"/>
      <w:marTop w:val="0"/>
      <w:marBottom w:val="0"/>
      <w:divBdr>
        <w:top w:val="none" w:sz="0" w:space="0" w:color="auto"/>
        <w:left w:val="none" w:sz="0" w:space="0" w:color="auto"/>
        <w:bottom w:val="none" w:sz="0" w:space="0" w:color="auto"/>
        <w:right w:val="none" w:sz="0" w:space="0" w:color="auto"/>
      </w:divBdr>
    </w:div>
    <w:div w:id="1672830006">
      <w:bodyDiv w:val="1"/>
      <w:marLeft w:val="0"/>
      <w:marRight w:val="0"/>
      <w:marTop w:val="0"/>
      <w:marBottom w:val="0"/>
      <w:divBdr>
        <w:top w:val="none" w:sz="0" w:space="0" w:color="auto"/>
        <w:left w:val="none" w:sz="0" w:space="0" w:color="auto"/>
        <w:bottom w:val="none" w:sz="0" w:space="0" w:color="auto"/>
        <w:right w:val="none" w:sz="0" w:space="0" w:color="auto"/>
      </w:divBdr>
    </w:div>
    <w:div w:id="1692410129">
      <w:bodyDiv w:val="1"/>
      <w:marLeft w:val="0"/>
      <w:marRight w:val="0"/>
      <w:marTop w:val="0"/>
      <w:marBottom w:val="0"/>
      <w:divBdr>
        <w:top w:val="none" w:sz="0" w:space="0" w:color="auto"/>
        <w:left w:val="none" w:sz="0" w:space="0" w:color="auto"/>
        <w:bottom w:val="none" w:sz="0" w:space="0" w:color="auto"/>
        <w:right w:val="none" w:sz="0" w:space="0" w:color="auto"/>
      </w:divBdr>
    </w:div>
    <w:div w:id="1717701794">
      <w:bodyDiv w:val="1"/>
      <w:marLeft w:val="0"/>
      <w:marRight w:val="0"/>
      <w:marTop w:val="0"/>
      <w:marBottom w:val="0"/>
      <w:divBdr>
        <w:top w:val="none" w:sz="0" w:space="0" w:color="auto"/>
        <w:left w:val="none" w:sz="0" w:space="0" w:color="auto"/>
        <w:bottom w:val="none" w:sz="0" w:space="0" w:color="auto"/>
        <w:right w:val="none" w:sz="0" w:space="0" w:color="auto"/>
      </w:divBdr>
    </w:div>
    <w:div w:id="1735082951">
      <w:bodyDiv w:val="1"/>
      <w:marLeft w:val="0"/>
      <w:marRight w:val="0"/>
      <w:marTop w:val="0"/>
      <w:marBottom w:val="0"/>
      <w:divBdr>
        <w:top w:val="none" w:sz="0" w:space="0" w:color="auto"/>
        <w:left w:val="none" w:sz="0" w:space="0" w:color="auto"/>
        <w:bottom w:val="none" w:sz="0" w:space="0" w:color="auto"/>
        <w:right w:val="none" w:sz="0" w:space="0" w:color="auto"/>
      </w:divBdr>
    </w:div>
    <w:div w:id="1746294514">
      <w:bodyDiv w:val="1"/>
      <w:marLeft w:val="0"/>
      <w:marRight w:val="0"/>
      <w:marTop w:val="0"/>
      <w:marBottom w:val="0"/>
      <w:divBdr>
        <w:top w:val="none" w:sz="0" w:space="0" w:color="auto"/>
        <w:left w:val="none" w:sz="0" w:space="0" w:color="auto"/>
        <w:bottom w:val="none" w:sz="0" w:space="0" w:color="auto"/>
        <w:right w:val="none" w:sz="0" w:space="0" w:color="auto"/>
      </w:divBdr>
      <w:divsChild>
        <w:div w:id="876897496">
          <w:marLeft w:val="0"/>
          <w:marRight w:val="0"/>
          <w:marTop w:val="0"/>
          <w:marBottom w:val="0"/>
          <w:divBdr>
            <w:top w:val="none" w:sz="0" w:space="0" w:color="auto"/>
            <w:left w:val="none" w:sz="0" w:space="0" w:color="auto"/>
            <w:bottom w:val="none" w:sz="0" w:space="0" w:color="auto"/>
            <w:right w:val="none" w:sz="0" w:space="0" w:color="auto"/>
          </w:divBdr>
          <w:divsChild>
            <w:div w:id="258104628">
              <w:marLeft w:val="0"/>
              <w:marRight w:val="0"/>
              <w:marTop w:val="0"/>
              <w:marBottom w:val="0"/>
              <w:divBdr>
                <w:top w:val="none" w:sz="0" w:space="0" w:color="auto"/>
                <w:left w:val="none" w:sz="0" w:space="0" w:color="auto"/>
                <w:bottom w:val="none" w:sz="0" w:space="0" w:color="auto"/>
                <w:right w:val="none" w:sz="0" w:space="0" w:color="auto"/>
              </w:divBdr>
              <w:divsChild>
                <w:div w:id="427702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421831">
      <w:bodyDiv w:val="1"/>
      <w:marLeft w:val="0"/>
      <w:marRight w:val="0"/>
      <w:marTop w:val="0"/>
      <w:marBottom w:val="0"/>
      <w:divBdr>
        <w:top w:val="none" w:sz="0" w:space="0" w:color="auto"/>
        <w:left w:val="none" w:sz="0" w:space="0" w:color="auto"/>
        <w:bottom w:val="none" w:sz="0" w:space="0" w:color="auto"/>
        <w:right w:val="none" w:sz="0" w:space="0" w:color="auto"/>
      </w:divBdr>
    </w:div>
    <w:div w:id="1753433706">
      <w:bodyDiv w:val="1"/>
      <w:marLeft w:val="0"/>
      <w:marRight w:val="0"/>
      <w:marTop w:val="0"/>
      <w:marBottom w:val="0"/>
      <w:divBdr>
        <w:top w:val="none" w:sz="0" w:space="0" w:color="auto"/>
        <w:left w:val="none" w:sz="0" w:space="0" w:color="auto"/>
        <w:bottom w:val="none" w:sz="0" w:space="0" w:color="auto"/>
        <w:right w:val="none" w:sz="0" w:space="0" w:color="auto"/>
      </w:divBdr>
    </w:div>
    <w:div w:id="1756247717">
      <w:bodyDiv w:val="1"/>
      <w:marLeft w:val="0"/>
      <w:marRight w:val="0"/>
      <w:marTop w:val="0"/>
      <w:marBottom w:val="0"/>
      <w:divBdr>
        <w:top w:val="none" w:sz="0" w:space="0" w:color="auto"/>
        <w:left w:val="none" w:sz="0" w:space="0" w:color="auto"/>
        <w:bottom w:val="none" w:sz="0" w:space="0" w:color="auto"/>
        <w:right w:val="none" w:sz="0" w:space="0" w:color="auto"/>
      </w:divBdr>
      <w:divsChild>
        <w:div w:id="1311785311">
          <w:marLeft w:val="0"/>
          <w:marRight w:val="0"/>
          <w:marTop w:val="0"/>
          <w:marBottom w:val="0"/>
          <w:divBdr>
            <w:top w:val="none" w:sz="0" w:space="0" w:color="auto"/>
            <w:left w:val="none" w:sz="0" w:space="0" w:color="auto"/>
            <w:bottom w:val="none" w:sz="0" w:space="0" w:color="auto"/>
            <w:right w:val="none" w:sz="0" w:space="0" w:color="auto"/>
          </w:divBdr>
          <w:divsChild>
            <w:div w:id="1473407572">
              <w:marLeft w:val="0"/>
              <w:marRight w:val="0"/>
              <w:marTop w:val="0"/>
              <w:marBottom w:val="0"/>
              <w:divBdr>
                <w:top w:val="none" w:sz="0" w:space="0" w:color="auto"/>
                <w:left w:val="none" w:sz="0" w:space="0" w:color="auto"/>
                <w:bottom w:val="none" w:sz="0" w:space="0" w:color="auto"/>
                <w:right w:val="none" w:sz="0" w:space="0" w:color="auto"/>
              </w:divBdr>
              <w:divsChild>
                <w:div w:id="646786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7246938">
      <w:bodyDiv w:val="1"/>
      <w:marLeft w:val="0"/>
      <w:marRight w:val="0"/>
      <w:marTop w:val="0"/>
      <w:marBottom w:val="0"/>
      <w:divBdr>
        <w:top w:val="none" w:sz="0" w:space="0" w:color="auto"/>
        <w:left w:val="none" w:sz="0" w:space="0" w:color="auto"/>
        <w:bottom w:val="none" w:sz="0" w:space="0" w:color="auto"/>
        <w:right w:val="none" w:sz="0" w:space="0" w:color="auto"/>
      </w:divBdr>
    </w:div>
    <w:div w:id="1800800106">
      <w:bodyDiv w:val="1"/>
      <w:marLeft w:val="0"/>
      <w:marRight w:val="0"/>
      <w:marTop w:val="0"/>
      <w:marBottom w:val="0"/>
      <w:divBdr>
        <w:top w:val="none" w:sz="0" w:space="0" w:color="auto"/>
        <w:left w:val="none" w:sz="0" w:space="0" w:color="auto"/>
        <w:bottom w:val="none" w:sz="0" w:space="0" w:color="auto"/>
        <w:right w:val="none" w:sz="0" w:space="0" w:color="auto"/>
      </w:divBdr>
    </w:div>
    <w:div w:id="1809857920">
      <w:bodyDiv w:val="1"/>
      <w:marLeft w:val="0"/>
      <w:marRight w:val="0"/>
      <w:marTop w:val="0"/>
      <w:marBottom w:val="0"/>
      <w:divBdr>
        <w:top w:val="none" w:sz="0" w:space="0" w:color="auto"/>
        <w:left w:val="none" w:sz="0" w:space="0" w:color="auto"/>
        <w:bottom w:val="none" w:sz="0" w:space="0" w:color="auto"/>
        <w:right w:val="none" w:sz="0" w:space="0" w:color="auto"/>
      </w:divBdr>
    </w:div>
    <w:div w:id="1814058881">
      <w:bodyDiv w:val="1"/>
      <w:marLeft w:val="0"/>
      <w:marRight w:val="0"/>
      <w:marTop w:val="0"/>
      <w:marBottom w:val="0"/>
      <w:divBdr>
        <w:top w:val="none" w:sz="0" w:space="0" w:color="auto"/>
        <w:left w:val="none" w:sz="0" w:space="0" w:color="auto"/>
        <w:bottom w:val="none" w:sz="0" w:space="0" w:color="auto"/>
        <w:right w:val="none" w:sz="0" w:space="0" w:color="auto"/>
      </w:divBdr>
    </w:div>
    <w:div w:id="1836410770">
      <w:bodyDiv w:val="1"/>
      <w:marLeft w:val="0"/>
      <w:marRight w:val="0"/>
      <w:marTop w:val="0"/>
      <w:marBottom w:val="0"/>
      <w:divBdr>
        <w:top w:val="none" w:sz="0" w:space="0" w:color="auto"/>
        <w:left w:val="none" w:sz="0" w:space="0" w:color="auto"/>
        <w:bottom w:val="none" w:sz="0" w:space="0" w:color="auto"/>
        <w:right w:val="none" w:sz="0" w:space="0" w:color="auto"/>
      </w:divBdr>
      <w:divsChild>
        <w:div w:id="1276987655">
          <w:marLeft w:val="0"/>
          <w:marRight w:val="0"/>
          <w:marTop w:val="0"/>
          <w:marBottom w:val="0"/>
          <w:divBdr>
            <w:top w:val="none" w:sz="0" w:space="0" w:color="auto"/>
            <w:left w:val="none" w:sz="0" w:space="0" w:color="auto"/>
            <w:bottom w:val="none" w:sz="0" w:space="0" w:color="auto"/>
            <w:right w:val="none" w:sz="0" w:space="0" w:color="auto"/>
          </w:divBdr>
        </w:div>
        <w:div w:id="557976040">
          <w:marLeft w:val="0"/>
          <w:marRight w:val="0"/>
          <w:marTop w:val="0"/>
          <w:marBottom w:val="0"/>
          <w:divBdr>
            <w:top w:val="none" w:sz="0" w:space="0" w:color="auto"/>
            <w:left w:val="none" w:sz="0" w:space="0" w:color="auto"/>
            <w:bottom w:val="none" w:sz="0" w:space="0" w:color="auto"/>
            <w:right w:val="none" w:sz="0" w:space="0" w:color="auto"/>
          </w:divBdr>
        </w:div>
        <w:div w:id="256794341">
          <w:marLeft w:val="0"/>
          <w:marRight w:val="0"/>
          <w:marTop w:val="0"/>
          <w:marBottom w:val="0"/>
          <w:divBdr>
            <w:top w:val="none" w:sz="0" w:space="0" w:color="auto"/>
            <w:left w:val="none" w:sz="0" w:space="0" w:color="auto"/>
            <w:bottom w:val="none" w:sz="0" w:space="0" w:color="auto"/>
            <w:right w:val="none" w:sz="0" w:space="0" w:color="auto"/>
          </w:divBdr>
        </w:div>
        <w:div w:id="665204312">
          <w:marLeft w:val="0"/>
          <w:marRight w:val="0"/>
          <w:marTop w:val="0"/>
          <w:marBottom w:val="0"/>
          <w:divBdr>
            <w:top w:val="none" w:sz="0" w:space="0" w:color="auto"/>
            <w:left w:val="none" w:sz="0" w:space="0" w:color="auto"/>
            <w:bottom w:val="none" w:sz="0" w:space="0" w:color="auto"/>
            <w:right w:val="none" w:sz="0" w:space="0" w:color="auto"/>
          </w:divBdr>
        </w:div>
        <w:div w:id="1481459671">
          <w:marLeft w:val="0"/>
          <w:marRight w:val="0"/>
          <w:marTop w:val="0"/>
          <w:marBottom w:val="0"/>
          <w:divBdr>
            <w:top w:val="none" w:sz="0" w:space="0" w:color="auto"/>
            <w:left w:val="none" w:sz="0" w:space="0" w:color="auto"/>
            <w:bottom w:val="none" w:sz="0" w:space="0" w:color="auto"/>
            <w:right w:val="none" w:sz="0" w:space="0" w:color="auto"/>
          </w:divBdr>
        </w:div>
        <w:div w:id="391075771">
          <w:marLeft w:val="0"/>
          <w:marRight w:val="0"/>
          <w:marTop w:val="0"/>
          <w:marBottom w:val="0"/>
          <w:divBdr>
            <w:top w:val="none" w:sz="0" w:space="0" w:color="auto"/>
            <w:left w:val="none" w:sz="0" w:space="0" w:color="auto"/>
            <w:bottom w:val="none" w:sz="0" w:space="0" w:color="auto"/>
            <w:right w:val="none" w:sz="0" w:space="0" w:color="auto"/>
          </w:divBdr>
        </w:div>
        <w:div w:id="1272512640">
          <w:marLeft w:val="0"/>
          <w:marRight w:val="0"/>
          <w:marTop w:val="0"/>
          <w:marBottom w:val="0"/>
          <w:divBdr>
            <w:top w:val="none" w:sz="0" w:space="0" w:color="auto"/>
            <w:left w:val="none" w:sz="0" w:space="0" w:color="auto"/>
            <w:bottom w:val="none" w:sz="0" w:space="0" w:color="auto"/>
            <w:right w:val="none" w:sz="0" w:space="0" w:color="auto"/>
          </w:divBdr>
        </w:div>
        <w:div w:id="724566296">
          <w:marLeft w:val="0"/>
          <w:marRight w:val="0"/>
          <w:marTop w:val="0"/>
          <w:marBottom w:val="0"/>
          <w:divBdr>
            <w:top w:val="none" w:sz="0" w:space="0" w:color="auto"/>
            <w:left w:val="none" w:sz="0" w:space="0" w:color="auto"/>
            <w:bottom w:val="none" w:sz="0" w:space="0" w:color="auto"/>
            <w:right w:val="none" w:sz="0" w:space="0" w:color="auto"/>
          </w:divBdr>
        </w:div>
        <w:div w:id="234630352">
          <w:marLeft w:val="0"/>
          <w:marRight w:val="0"/>
          <w:marTop w:val="0"/>
          <w:marBottom w:val="0"/>
          <w:divBdr>
            <w:top w:val="none" w:sz="0" w:space="0" w:color="auto"/>
            <w:left w:val="none" w:sz="0" w:space="0" w:color="auto"/>
            <w:bottom w:val="none" w:sz="0" w:space="0" w:color="auto"/>
            <w:right w:val="none" w:sz="0" w:space="0" w:color="auto"/>
          </w:divBdr>
        </w:div>
        <w:div w:id="783306042">
          <w:marLeft w:val="0"/>
          <w:marRight w:val="0"/>
          <w:marTop w:val="0"/>
          <w:marBottom w:val="0"/>
          <w:divBdr>
            <w:top w:val="none" w:sz="0" w:space="0" w:color="auto"/>
            <w:left w:val="none" w:sz="0" w:space="0" w:color="auto"/>
            <w:bottom w:val="none" w:sz="0" w:space="0" w:color="auto"/>
            <w:right w:val="none" w:sz="0" w:space="0" w:color="auto"/>
          </w:divBdr>
        </w:div>
        <w:div w:id="1413505023">
          <w:marLeft w:val="0"/>
          <w:marRight w:val="0"/>
          <w:marTop w:val="0"/>
          <w:marBottom w:val="0"/>
          <w:divBdr>
            <w:top w:val="none" w:sz="0" w:space="0" w:color="auto"/>
            <w:left w:val="none" w:sz="0" w:space="0" w:color="auto"/>
            <w:bottom w:val="none" w:sz="0" w:space="0" w:color="auto"/>
            <w:right w:val="none" w:sz="0" w:space="0" w:color="auto"/>
          </w:divBdr>
        </w:div>
        <w:div w:id="1714890571">
          <w:marLeft w:val="0"/>
          <w:marRight w:val="0"/>
          <w:marTop w:val="0"/>
          <w:marBottom w:val="0"/>
          <w:divBdr>
            <w:top w:val="none" w:sz="0" w:space="0" w:color="auto"/>
            <w:left w:val="none" w:sz="0" w:space="0" w:color="auto"/>
            <w:bottom w:val="none" w:sz="0" w:space="0" w:color="auto"/>
            <w:right w:val="none" w:sz="0" w:space="0" w:color="auto"/>
          </w:divBdr>
        </w:div>
      </w:divsChild>
    </w:div>
    <w:div w:id="1876769009">
      <w:bodyDiv w:val="1"/>
      <w:marLeft w:val="0"/>
      <w:marRight w:val="0"/>
      <w:marTop w:val="0"/>
      <w:marBottom w:val="0"/>
      <w:divBdr>
        <w:top w:val="none" w:sz="0" w:space="0" w:color="auto"/>
        <w:left w:val="none" w:sz="0" w:space="0" w:color="auto"/>
        <w:bottom w:val="none" w:sz="0" w:space="0" w:color="auto"/>
        <w:right w:val="none" w:sz="0" w:space="0" w:color="auto"/>
      </w:divBdr>
    </w:div>
    <w:div w:id="1881163672">
      <w:bodyDiv w:val="1"/>
      <w:marLeft w:val="0"/>
      <w:marRight w:val="0"/>
      <w:marTop w:val="0"/>
      <w:marBottom w:val="0"/>
      <w:divBdr>
        <w:top w:val="none" w:sz="0" w:space="0" w:color="auto"/>
        <w:left w:val="none" w:sz="0" w:space="0" w:color="auto"/>
        <w:bottom w:val="none" w:sz="0" w:space="0" w:color="auto"/>
        <w:right w:val="none" w:sz="0" w:space="0" w:color="auto"/>
      </w:divBdr>
    </w:div>
    <w:div w:id="1891107470">
      <w:bodyDiv w:val="1"/>
      <w:marLeft w:val="0"/>
      <w:marRight w:val="0"/>
      <w:marTop w:val="0"/>
      <w:marBottom w:val="0"/>
      <w:divBdr>
        <w:top w:val="none" w:sz="0" w:space="0" w:color="auto"/>
        <w:left w:val="none" w:sz="0" w:space="0" w:color="auto"/>
        <w:bottom w:val="none" w:sz="0" w:space="0" w:color="auto"/>
        <w:right w:val="none" w:sz="0" w:space="0" w:color="auto"/>
      </w:divBdr>
    </w:div>
    <w:div w:id="1892880581">
      <w:bodyDiv w:val="1"/>
      <w:marLeft w:val="0"/>
      <w:marRight w:val="0"/>
      <w:marTop w:val="0"/>
      <w:marBottom w:val="0"/>
      <w:divBdr>
        <w:top w:val="none" w:sz="0" w:space="0" w:color="auto"/>
        <w:left w:val="none" w:sz="0" w:space="0" w:color="auto"/>
        <w:bottom w:val="none" w:sz="0" w:space="0" w:color="auto"/>
        <w:right w:val="none" w:sz="0" w:space="0" w:color="auto"/>
      </w:divBdr>
    </w:div>
    <w:div w:id="1895585425">
      <w:bodyDiv w:val="1"/>
      <w:marLeft w:val="0"/>
      <w:marRight w:val="0"/>
      <w:marTop w:val="0"/>
      <w:marBottom w:val="0"/>
      <w:divBdr>
        <w:top w:val="none" w:sz="0" w:space="0" w:color="auto"/>
        <w:left w:val="none" w:sz="0" w:space="0" w:color="auto"/>
        <w:bottom w:val="none" w:sz="0" w:space="0" w:color="auto"/>
        <w:right w:val="none" w:sz="0" w:space="0" w:color="auto"/>
      </w:divBdr>
    </w:div>
    <w:div w:id="1913075200">
      <w:bodyDiv w:val="1"/>
      <w:marLeft w:val="0"/>
      <w:marRight w:val="0"/>
      <w:marTop w:val="0"/>
      <w:marBottom w:val="0"/>
      <w:divBdr>
        <w:top w:val="none" w:sz="0" w:space="0" w:color="auto"/>
        <w:left w:val="none" w:sz="0" w:space="0" w:color="auto"/>
        <w:bottom w:val="none" w:sz="0" w:space="0" w:color="auto"/>
        <w:right w:val="none" w:sz="0" w:space="0" w:color="auto"/>
      </w:divBdr>
      <w:divsChild>
        <w:div w:id="1510413111">
          <w:marLeft w:val="0"/>
          <w:marRight w:val="0"/>
          <w:marTop w:val="0"/>
          <w:marBottom w:val="0"/>
          <w:divBdr>
            <w:top w:val="none" w:sz="0" w:space="0" w:color="auto"/>
            <w:left w:val="none" w:sz="0" w:space="0" w:color="auto"/>
            <w:bottom w:val="none" w:sz="0" w:space="0" w:color="auto"/>
            <w:right w:val="none" w:sz="0" w:space="0" w:color="auto"/>
          </w:divBdr>
        </w:div>
        <w:div w:id="1062172127">
          <w:marLeft w:val="0"/>
          <w:marRight w:val="0"/>
          <w:marTop w:val="0"/>
          <w:marBottom w:val="0"/>
          <w:divBdr>
            <w:top w:val="none" w:sz="0" w:space="0" w:color="auto"/>
            <w:left w:val="none" w:sz="0" w:space="0" w:color="auto"/>
            <w:bottom w:val="none" w:sz="0" w:space="0" w:color="auto"/>
            <w:right w:val="none" w:sz="0" w:space="0" w:color="auto"/>
          </w:divBdr>
        </w:div>
        <w:div w:id="74666046">
          <w:marLeft w:val="0"/>
          <w:marRight w:val="0"/>
          <w:marTop w:val="0"/>
          <w:marBottom w:val="0"/>
          <w:divBdr>
            <w:top w:val="none" w:sz="0" w:space="0" w:color="auto"/>
            <w:left w:val="none" w:sz="0" w:space="0" w:color="auto"/>
            <w:bottom w:val="none" w:sz="0" w:space="0" w:color="auto"/>
            <w:right w:val="none" w:sz="0" w:space="0" w:color="auto"/>
          </w:divBdr>
        </w:div>
        <w:div w:id="24870313">
          <w:marLeft w:val="0"/>
          <w:marRight w:val="0"/>
          <w:marTop w:val="0"/>
          <w:marBottom w:val="0"/>
          <w:divBdr>
            <w:top w:val="none" w:sz="0" w:space="0" w:color="auto"/>
            <w:left w:val="none" w:sz="0" w:space="0" w:color="auto"/>
            <w:bottom w:val="none" w:sz="0" w:space="0" w:color="auto"/>
            <w:right w:val="none" w:sz="0" w:space="0" w:color="auto"/>
          </w:divBdr>
        </w:div>
        <w:div w:id="1546018956">
          <w:marLeft w:val="0"/>
          <w:marRight w:val="0"/>
          <w:marTop w:val="0"/>
          <w:marBottom w:val="0"/>
          <w:divBdr>
            <w:top w:val="none" w:sz="0" w:space="0" w:color="auto"/>
            <w:left w:val="none" w:sz="0" w:space="0" w:color="auto"/>
            <w:bottom w:val="none" w:sz="0" w:space="0" w:color="auto"/>
            <w:right w:val="none" w:sz="0" w:space="0" w:color="auto"/>
          </w:divBdr>
        </w:div>
      </w:divsChild>
    </w:div>
    <w:div w:id="1960910622">
      <w:bodyDiv w:val="1"/>
      <w:marLeft w:val="0"/>
      <w:marRight w:val="0"/>
      <w:marTop w:val="0"/>
      <w:marBottom w:val="0"/>
      <w:divBdr>
        <w:top w:val="none" w:sz="0" w:space="0" w:color="auto"/>
        <w:left w:val="none" w:sz="0" w:space="0" w:color="auto"/>
        <w:bottom w:val="none" w:sz="0" w:space="0" w:color="auto"/>
        <w:right w:val="none" w:sz="0" w:space="0" w:color="auto"/>
      </w:divBdr>
      <w:divsChild>
        <w:div w:id="1645045906">
          <w:marLeft w:val="0"/>
          <w:marRight w:val="0"/>
          <w:marTop w:val="0"/>
          <w:marBottom w:val="0"/>
          <w:divBdr>
            <w:top w:val="none" w:sz="0" w:space="0" w:color="auto"/>
            <w:left w:val="none" w:sz="0" w:space="0" w:color="auto"/>
            <w:bottom w:val="none" w:sz="0" w:space="0" w:color="auto"/>
            <w:right w:val="none" w:sz="0" w:space="0" w:color="auto"/>
          </w:divBdr>
        </w:div>
        <w:div w:id="1601376594">
          <w:marLeft w:val="0"/>
          <w:marRight w:val="0"/>
          <w:marTop w:val="0"/>
          <w:marBottom w:val="0"/>
          <w:divBdr>
            <w:top w:val="none" w:sz="0" w:space="0" w:color="auto"/>
            <w:left w:val="none" w:sz="0" w:space="0" w:color="auto"/>
            <w:bottom w:val="none" w:sz="0" w:space="0" w:color="auto"/>
            <w:right w:val="none" w:sz="0" w:space="0" w:color="auto"/>
          </w:divBdr>
        </w:div>
      </w:divsChild>
    </w:div>
    <w:div w:id="1981185404">
      <w:bodyDiv w:val="1"/>
      <w:marLeft w:val="0"/>
      <w:marRight w:val="0"/>
      <w:marTop w:val="0"/>
      <w:marBottom w:val="0"/>
      <w:divBdr>
        <w:top w:val="none" w:sz="0" w:space="0" w:color="auto"/>
        <w:left w:val="none" w:sz="0" w:space="0" w:color="auto"/>
        <w:bottom w:val="none" w:sz="0" w:space="0" w:color="auto"/>
        <w:right w:val="none" w:sz="0" w:space="0" w:color="auto"/>
      </w:divBdr>
    </w:div>
    <w:div w:id="1987854712">
      <w:bodyDiv w:val="1"/>
      <w:marLeft w:val="0"/>
      <w:marRight w:val="0"/>
      <w:marTop w:val="0"/>
      <w:marBottom w:val="0"/>
      <w:divBdr>
        <w:top w:val="none" w:sz="0" w:space="0" w:color="auto"/>
        <w:left w:val="none" w:sz="0" w:space="0" w:color="auto"/>
        <w:bottom w:val="none" w:sz="0" w:space="0" w:color="auto"/>
        <w:right w:val="none" w:sz="0" w:space="0" w:color="auto"/>
      </w:divBdr>
      <w:divsChild>
        <w:div w:id="609507974">
          <w:marLeft w:val="0"/>
          <w:marRight w:val="0"/>
          <w:marTop w:val="0"/>
          <w:marBottom w:val="0"/>
          <w:divBdr>
            <w:top w:val="none" w:sz="0" w:space="0" w:color="auto"/>
            <w:left w:val="none" w:sz="0" w:space="0" w:color="auto"/>
            <w:bottom w:val="none" w:sz="0" w:space="0" w:color="auto"/>
            <w:right w:val="none" w:sz="0" w:space="0" w:color="auto"/>
          </w:divBdr>
          <w:divsChild>
            <w:div w:id="457259997">
              <w:marLeft w:val="0"/>
              <w:marRight w:val="0"/>
              <w:marTop w:val="0"/>
              <w:marBottom w:val="0"/>
              <w:divBdr>
                <w:top w:val="none" w:sz="0" w:space="0" w:color="auto"/>
                <w:left w:val="none" w:sz="0" w:space="0" w:color="auto"/>
                <w:bottom w:val="none" w:sz="0" w:space="0" w:color="auto"/>
                <w:right w:val="none" w:sz="0" w:space="0" w:color="auto"/>
              </w:divBdr>
              <w:divsChild>
                <w:div w:id="1740900029">
                  <w:marLeft w:val="0"/>
                  <w:marRight w:val="0"/>
                  <w:marTop w:val="0"/>
                  <w:marBottom w:val="0"/>
                  <w:divBdr>
                    <w:top w:val="none" w:sz="0" w:space="0" w:color="auto"/>
                    <w:left w:val="none" w:sz="0" w:space="0" w:color="auto"/>
                    <w:bottom w:val="none" w:sz="0" w:space="0" w:color="auto"/>
                    <w:right w:val="none" w:sz="0" w:space="0" w:color="auto"/>
                  </w:divBdr>
                  <w:divsChild>
                    <w:div w:id="126530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2658013">
      <w:bodyDiv w:val="1"/>
      <w:marLeft w:val="0"/>
      <w:marRight w:val="0"/>
      <w:marTop w:val="0"/>
      <w:marBottom w:val="0"/>
      <w:divBdr>
        <w:top w:val="none" w:sz="0" w:space="0" w:color="auto"/>
        <w:left w:val="none" w:sz="0" w:space="0" w:color="auto"/>
        <w:bottom w:val="none" w:sz="0" w:space="0" w:color="auto"/>
        <w:right w:val="none" w:sz="0" w:space="0" w:color="auto"/>
      </w:divBdr>
    </w:div>
    <w:div w:id="2029989971">
      <w:bodyDiv w:val="1"/>
      <w:marLeft w:val="0"/>
      <w:marRight w:val="0"/>
      <w:marTop w:val="0"/>
      <w:marBottom w:val="0"/>
      <w:divBdr>
        <w:top w:val="none" w:sz="0" w:space="0" w:color="auto"/>
        <w:left w:val="none" w:sz="0" w:space="0" w:color="auto"/>
        <w:bottom w:val="none" w:sz="0" w:space="0" w:color="auto"/>
        <w:right w:val="none" w:sz="0" w:space="0" w:color="auto"/>
      </w:divBdr>
    </w:div>
    <w:div w:id="2031174451">
      <w:bodyDiv w:val="1"/>
      <w:marLeft w:val="0"/>
      <w:marRight w:val="0"/>
      <w:marTop w:val="0"/>
      <w:marBottom w:val="0"/>
      <w:divBdr>
        <w:top w:val="none" w:sz="0" w:space="0" w:color="auto"/>
        <w:left w:val="none" w:sz="0" w:space="0" w:color="auto"/>
        <w:bottom w:val="none" w:sz="0" w:space="0" w:color="auto"/>
        <w:right w:val="none" w:sz="0" w:space="0" w:color="auto"/>
      </w:divBdr>
      <w:divsChild>
        <w:div w:id="26486700">
          <w:marLeft w:val="0"/>
          <w:marRight w:val="0"/>
          <w:marTop w:val="0"/>
          <w:marBottom w:val="0"/>
          <w:divBdr>
            <w:top w:val="none" w:sz="0" w:space="0" w:color="auto"/>
            <w:left w:val="none" w:sz="0" w:space="0" w:color="auto"/>
            <w:bottom w:val="none" w:sz="0" w:space="0" w:color="auto"/>
            <w:right w:val="none" w:sz="0" w:space="0" w:color="auto"/>
          </w:divBdr>
          <w:divsChild>
            <w:div w:id="2031837471">
              <w:marLeft w:val="0"/>
              <w:marRight w:val="0"/>
              <w:marTop w:val="0"/>
              <w:marBottom w:val="0"/>
              <w:divBdr>
                <w:top w:val="none" w:sz="0" w:space="0" w:color="auto"/>
                <w:left w:val="none" w:sz="0" w:space="0" w:color="auto"/>
                <w:bottom w:val="none" w:sz="0" w:space="0" w:color="auto"/>
                <w:right w:val="none" w:sz="0" w:space="0" w:color="auto"/>
              </w:divBdr>
              <w:divsChild>
                <w:div w:id="586769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607082">
      <w:bodyDiv w:val="1"/>
      <w:marLeft w:val="0"/>
      <w:marRight w:val="0"/>
      <w:marTop w:val="0"/>
      <w:marBottom w:val="0"/>
      <w:divBdr>
        <w:top w:val="none" w:sz="0" w:space="0" w:color="auto"/>
        <w:left w:val="none" w:sz="0" w:space="0" w:color="auto"/>
        <w:bottom w:val="none" w:sz="0" w:space="0" w:color="auto"/>
        <w:right w:val="none" w:sz="0" w:space="0" w:color="auto"/>
      </w:divBdr>
    </w:div>
    <w:div w:id="2038264061">
      <w:bodyDiv w:val="1"/>
      <w:marLeft w:val="0"/>
      <w:marRight w:val="0"/>
      <w:marTop w:val="0"/>
      <w:marBottom w:val="0"/>
      <w:divBdr>
        <w:top w:val="none" w:sz="0" w:space="0" w:color="auto"/>
        <w:left w:val="none" w:sz="0" w:space="0" w:color="auto"/>
        <w:bottom w:val="none" w:sz="0" w:space="0" w:color="auto"/>
        <w:right w:val="none" w:sz="0" w:space="0" w:color="auto"/>
      </w:divBdr>
      <w:divsChild>
        <w:div w:id="1974752795">
          <w:marLeft w:val="0"/>
          <w:marRight w:val="0"/>
          <w:marTop w:val="0"/>
          <w:marBottom w:val="0"/>
          <w:divBdr>
            <w:top w:val="none" w:sz="0" w:space="0" w:color="auto"/>
            <w:left w:val="none" w:sz="0" w:space="0" w:color="auto"/>
            <w:bottom w:val="none" w:sz="0" w:space="0" w:color="auto"/>
            <w:right w:val="none" w:sz="0" w:space="0" w:color="auto"/>
          </w:divBdr>
          <w:divsChild>
            <w:div w:id="1390346643">
              <w:marLeft w:val="0"/>
              <w:marRight w:val="0"/>
              <w:marTop w:val="0"/>
              <w:marBottom w:val="0"/>
              <w:divBdr>
                <w:top w:val="none" w:sz="0" w:space="0" w:color="auto"/>
                <w:left w:val="none" w:sz="0" w:space="0" w:color="auto"/>
                <w:bottom w:val="none" w:sz="0" w:space="0" w:color="auto"/>
                <w:right w:val="none" w:sz="0" w:space="0" w:color="auto"/>
              </w:divBdr>
              <w:divsChild>
                <w:div w:id="1912541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3337991">
      <w:bodyDiv w:val="1"/>
      <w:marLeft w:val="0"/>
      <w:marRight w:val="0"/>
      <w:marTop w:val="0"/>
      <w:marBottom w:val="0"/>
      <w:divBdr>
        <w:top w:val="none" w:sz="0" w:space="0" w:color="auto"/>
        <w:left w:val="none" w:sz="0" w:space="0" w:color="auto"/>
        <w:bottom w:val="none" w:sz="0" w:space="0" w:color="auto"/>
        <w:right w:val="none" w:sz="0" w:space="0" w:color="auto"/>
      </w:divBdr>
    </w:div>
    <w:div w:id="2075006521">
      <w:bodyDiv w:val="1"/>
      <w:marLeft w:val="0"/>
      <w:marRight w:val="0"/>
      <w:marTop w:val="0"/>
      <w:marBottom w:val="0"/>
      <w:divBdr>
        <w:top w:val="none" w:sz="0" w:space="0" w:color="auto"/>
        <w:left w:val="none" w:sz="0" w:space="0" w:color="auto"/>
        <w:bottom w:val="none" w:sz="0" w:space="0" w:color="auto"/>
        <w:right w:val="none" w:sz="0" w:space="0" w:color="auto"/>
      </w:divBdr>
    </w:div>
    <w:div w:id="2077582854">
      <w:bodyDiv w:val="1"/>
      <w:marLeft w:val="0"/>
      <w:marRight w:val="0"/>
      <w:marTop w:val="0"/>
      <w:marBottom w:val="0"/>
      <w:divBdr>
        <w:top w:val="none" w:sz="0" w:space="0" w:color="auto"/>
        <w:left w:val="none" w:sz="0" w:space="0" w:color="auto"/>
        <w:bottom w:val="none" w:sz="0" w:space="0" w:color="auto"/>
        <w:right w:val="none" w:sz="0" w:space="0" w:color="auto"/>
      </w:divBdr>
    </w:div>
    <w:div w:id="2086105983">
      <w:bodyDiv w:val="1"/>
      <w:marLeft w:val="0"/>
      <w:marRight w:val="0"/>
      <w:marTop w:val="0"/>
      <w:marBottom w:val="0"/>
      <w:divBdr>
        <w:top w:val="none" w:sz="0" w:space="0" w:color="auto"/>
        <w:left w:val="none" w:sz="0" w:space="0" w:color="auto"/>
        <w:bottom w:val="none" w:sz="0" w:space="0" w:color="auto"/>
        <w:right w:val="none" w:sz="0" w:space="0" w:color="auto"/>
      </w:divBdr>
    </w:div>
    <w:div w:id="2087411302">
      <w:bodyDiv w:val="1"/>
      <w:marLeft w:val="0"/>
      <w:marRight w:val="0"/>
      <w:marTop w:val="0"/>
      <w:marBottom w:val="0"/>
      <w:divBdr>
        <w:top w:val="none" w:sz="0" w:space="0" w:color="auto"/>
        <w:left w:val="none" w:sz="0" w:space="0" w:color="auto"/>
        <w:bottom w:val="none" w:sz="0" w:space="0" w:color="auto"/>
        <w:right w:val="none" w:sz="0" w:space="0" w:color="auto"/>
      </w:divBdr>
    </w:div>
    <w:div w:id="2092192958">
      <w:bodyDiv w:val="1"/>
      <w:marLeft w:val="0"/>
      <w:marRight w:val="0"/>
      <w:marTop w:val="0"/>
      <w:marBottom w:val="0"/>
      <w:divBdr>
        <w:top w:val="none" w:sz="0" w:space="0" w:color="auto"/>
        <w:left w:val="none" w:sz="0" w:space="0" w:color="auto"/>
        <w:bottom w:val="none" w:sz="0" w:space="0" w:color="auto"/>
        <w:right w:val="none" w:sz="0" w:space="0" w:color="auto"/>
      </w:divBdr>
    </w:div>
    <w:div w:id="2107840333">
      <w:bodyDiv w:val="1"/>
      <w:marLeft w:val="0"/>
      <w:marRight w:val="0"/>
      <w:marTop w:val="0"/>
      <w:marBottom w:val="0"/>
      <w:divBdr>
        <w:top w:val="none" w:sz="0" w:space="0" w:color="auto"/>
        <w:left w:val="none" w:sz="0" w:space="0" w:color="auto"/>
        <w:bottom w:val="none" w:sz="0" w:space="0" w:color="auto"/>
        <w:right w:val="none" w:sz="0" w:space="0" w:color="auto"/>
      </w:divBdr>
    </w:div>
    <w:div w:id="2116629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18" Type="http://schemas.openxmlformats.org/officeDocument/2006/relationships/hyperlink" Target="https://www.acnur.org/fileadmin/Documentos/Publicaciones/2012/8441.pdf" TargetMode="External"/><Relationship Id="rId3" Type="http://schemas.openxmlformats.org/officeDocument/2006/relationships/styles" Target="styles.xml"/><Relationship Id="rId21" Type="http://schemas.openxmlformats.org/officeDocument/2006/relationships/hyperlink" Target="https://asfadec.org/wp-content/uploads/2021/02/estadisticas_ene_dic_2020.pdf" TargetMode="Externa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yperlink" Target="https://www.te.gob.mx/ccje/Archivos/Control_de_Convencionalidad.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corteidh.or.cr/tablas/r36284.pdf" TargetMode="External"/><Relationship Id="rId20" Type="http://schemas.openxmlformats.org/officeDocument/2006/relationships/hyperlink" Target="https://www.corteidh.or.cr/tablas/r36283.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1590/S1808-24322013000200015" TargetMode="External"/><Relationship Id="rId23" Type="http://schemas.openxmlformats.org/officeDocument/2006/relationships/hyperlink" Target="https://www.corteidh.or.cr/tablas/r36284.pdf" TargetMode="External"/><Relationship Id="rId10" Type="http://schemas.openxmlformats.org/officeDocument/2006/relationships/footer" Target="footer3.xml"/><Relationship Id="rId19" Type="http://schemas.openxmlformats.org/officeDocument/2006/relationships/hyperlink" Target="https://bit.ly/2qBeANO"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jpeg"/><Relationship Id="rId22" Type="http://schemas.openxmlformats.org/officeDocument/2006/relationships/hyperlink" Target="https://dialnet.unirioja.es/servlet/articulo?codigo=6480429"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Mar07</b:Tag>
    <b:SourceType>Book</b:SourceType>
    <b:Guid>{52C81480-E0C0-4385-9376-C998CA672385}</b:Guid>
    <b:Title>Ensayos de teoría constitucional y derecho internacional </b:Title>
    <b:Year>2007</b:Year>
    <b:Author>
      <b:Author>
        <b:NameList>
          <b:Person>
            <b:Last>Monroy</b:Last>
            <b:First>Marco</b:First>
          </b:Person>
        </b:NameList>
      </b:Author>
    </b:Author>
    <b:City>Bogotá</b:City>
    <b:Publisher>Editorial Universidad de Rosario</b:Publisher>
    <b:RefOrder>15</b:RefOrder>
  </b:Source>
  <b:Source>
    <b:Tag>Jua15</b:Tag>
    <b:SourceType>JournalArticle</b:SourceType>
    <b:Guid>{1B930642-8558-40DA-B10B-E1388566D0AE}</b:Guid>
    <b:Author>
      <b:Author>
        <b:NameList>
          <b:Person>
            <b:Last>Silva</b:Last>
            <b:First>Juan</b:First>
          </b:Person>
        </b:NameList>
      </b:Author>
    </b:Author>
    <b:Title>La Internacionalizacion de los Derechos Humanos. El Turno de la justicia Mexicana </b:Title>
    <b:JournalName>Insituto de Investigaciones Jurídicoas </b:JournalName>
    <b:Year>2015</b:Year>
    <b:Pages>453-477</b:Pages>
    <b:RefOrder>16</b:RefOrder>
  </b:Source>
  <b:Source>
    <b:Tag>OEA79</b:Tag>
    <b:SourceType>Book</b:SourceType>
    <b:Guid>{F6D8B558-5C42-4EF0-A432-AFC82A646CFA}</b:Guid>
    <b:Author>
      <b:Author>
        <b:Corporate>OEA </b:Corporate>
      </b:Author>
    </b:Author>
    <b:Title>Estatuto de la Corte IDH</b:Title>
    <b:Year>1979 </b:Year>
    <b:RefOrder>17</b:RefOrder>
  </b:Source>
  <b:Source>
    <b:Tag>ONU13</b:Tag>
    <b:SourceType>Book</b:SourceType>
    <b:Guid>{84C698AC-4F5B-49FC-BC40-7C3D82FA5A91}</b:Guid>
    <b:Author>
      <b:Author>
        <b:Corporate>CEPAL</b:Corporate>
      </b:Author>
    </b:Author>
    <b:Title>Tercera Reunión de los Puntos Focales Designados por los Gobiernos de los Países Signatarios de la Declaración sobre la aplicación del principio 10 de la Declaración de Río sobre el Medio Ambiente y el Desarrollo en América Latina y el Caribe</b:Title>
    <b:Year>2013</b:Year>
    <b:City>Lima</b:City>
    <b:URL>https://www.cepal.org/rio20/noticias/noticias/1/50791/2013-861_PR10_Tipologia_instrumentos.pdf</b:URL>
    <b:RefOrder>18</b:RefOrder>
  </b:Source>
  <b:Source>
    <b:Tag>Mal14</b:Tag>
    <b:SourceType>Book</b:SourceType>
    <b:Guid>{9F335413-642B-4E2F-8F53-CC653D124E48}</b:Guid>
    <b:Author>
      <b:Author>
        <b:NameList>
          <b:Person>
            <b:Last>Maldonado</b:Last>
            <b:First>Erick</b:First>
          </b:Person>
        </b:NameList>
      </b:Author>
    </b:Author>
    <b:Title>Derecho internacional público: nociones generales, sus fuentes y un estudio especial de los actos unilaterales de voluntad de los estados como una de sus fuentes principales</b:Title>
    <b:Year>2014</b:Year>
    <b:City>Guatemala</b:City>
    <b:Publisher>Instituto de Investigaciones Jurídicas</b:Publisher>
    <b:URL>http://recursosbiblio.url.edu.gt/publicjlg/url/IIJ/cuadren_estu129.pdf</b:URL>
    <b:RefOrder>19</b:RefOrder>
  </b:Source>
  <b:Source>
    <b:Tag>Eri13</b:Tag>
    <b:SourceType>Book</b:SourceType>
    <b:Guid>{FD0B4B0A-44DE-47BC-B950-957D1ACE7767}</b:Guid>
    <b:Author>
      <b:Author>
        <b:NameList>
          <b:Person>
            <b:Last>Maldonado</b:Last>
            <b:First>Erick</b:First>
          </b:Person>
        </b:NameList>
      </b:Author>
    </b:Author>
    <b:Title> Derecho guatemalteco de los tratados internacionales</b:Title>
    <b:Year>2013</b:Year>
    <b:City>Guatemala </b:City>
    <b:Publisher>Instituto de Investigaciones Jurídicas </b:Publisher>
    <b:RefOrder>20</b:RefOrder>
  </b:Source>
  <b:Source>
    <b:Tag>Man04</b:Tag>
    <b:SourceType>Book</b:SourceType>
    <b:Guid>{C1FF98A9-25DC-4790-A94F-B513DE7B0225}</b:Guid>
    <b:Title>Diccionario de ciencias jurídicas, políticas y sociales</b:Title>
    <b:Year>2004</b:Year>
    <b:Publisher>Heliasta</b:Publisher>
    <b:Author>
      <b:Author>
        <b:NameList>
          <b:Person>
            <b:Last>Ossorio</b:Last>
            <b:First>Manuel</b:First>
          </b:Person>
        </b:NameList>
      </b:Author>
    </b:Author>
    <b:CountryRegion>Argentina</b:CountryRegion>
    <b:RefOrder>21</b:RefOrder>
  </b:Source>
  <b:Source>
    <b:Tag>Sán19</b:Tag>
    <b:SourceType>JournalArticle</b:SourceType>
    <b:Guid>{4A10713A-268A-435C-9A84-B1691B271C26}</b:Guid>
    <b:Author>
      <b:Author>
        <b:NameList>
          <b:Person>
            <b:Last>Sánchez</b:Last>
            <b:First>Luis</b:First>
          </b:Person>
        </b:NameList>
      </b:Author>
    </b:Author>
    <b:Title>El sistema de Hard Law en relacion con la defensa de los derechos fundamentales, la igualdad y la no discriminación</b:Title>
    <b:Year>2019</b:Year>
    <b:JournalName>Cuadernos Electrónicos de Filosofía del Derecho</b:JournalName>
    <b:RefOrder>22</b:RefOrder>
  </b:Source>
  <b:Source>
    <b:Tag>Ecu19</b:Tag>
    <b:SourceType>Report</b:SourceType>
    <b:Guid>{6EF1C039-B0C8-4B09-9EA5-E7B1A6AA15A2}</b:Guid>
    <b:Title>Estadísticas Históricas</b:Title>
    <b:Year>2019</b:Year>
    <b:Author>
      <b:Author>
        <b:Corporate>Ministerio de Gobierno del Ecuador</b:Corporate>
      </b:Author>
    </b:Author>
    <b:URL>https://asfadec.org/wp-content/uploads/2020/07/estadisticas_junio_2019.pdf</b:URL>
    <b:RefOrder>2</b:RefOrder>
  </b:Source>
  <b:Source>
    <b:Tag>Est12</b:Tag>
    <b:SourceType>Book</b:SourceType>
    <b:Guid>{4D5CFE41-E784-4C4B-85D0-97818F19A392}</b:Guid>
    <b:Title>La desaparición a diario, sociedad, prensa y dictadura (1975-1978)</b:Title>
    <b:Year>2012</b:Year>
    <b:Author>
      <b:Author>
        <b:NameList>
          <b:Person>
            <b:Last>Schindel</b:Last>
            <b:First>Estela</b:First>
          </b:Person>
        </b:NameList>
      </b:Author>
    </b:Author>
    <b:RefOrder>3</b:RefOrder>
  </b:Source>
  <b:Source>
    <b:Tag>Com092</b:Tag>
    <b:SourceType>Book</b:SourceType>
    <b:Guid>{7EDBD3A2-37B4-45C0-A2B3-1C80FA9B4B87}</b:Guid>
    <b:Author>
      <b:Author>
        <b:Corporate>Comité Internacional de la Cruz Roja</b:Corporate>
      </b:Author>
    </b:Author>
    <b:Title>Guía para Parlamentarios, Las personas desaparecidas.</b:Title>
    <b:Year>2009</b:Year>
    <b:URL>https://www.acnur.org/fileadmin/Documentos/Publicaciones/2012/8441.pdf</b:URL>
    <b:RefOrder>4</b:RefOrder>
  </b:Source>
  <b:Source>
    <b:Tag>Seb15</b:Tag>
    <b:SourceType>Report</b:SourceType>
    <b:Guid>{FAFC3921-EC21-40A3-AF76-C63F61001579}</b:Guid>
    <b:Title>Informe temático sobre las personas desaparecidas en el Ecuador: Análisis de respuestas estatales, estadísticas, acceso a la justicia y contexto socio cultural de la problemática 2013-2014</b:Title>
    <b:Year>2015</b:Year>
    <b:Publisher>Defensoría del Pueblo Ecuador</b:Publisher>
    <b:Author>
      <b:Author>
        <b:Corporate> Insuasti, Álvarez, Sánchez,  Nasimba</b:Corporate>
      </b:Author>
    </b:Author>
    <b:RefOrder>23</b:RefOrder>
  </b:Source>
  <b:Source>
    <b:Tag>ElT14</b:Tag>
    <b:SourceType>Interview</b:SourceType>
    <b:Guid>{F548AC2B-7F6F-4869-AA2F-2F0233EFC6BA}</b:Guid>
    <b:Title>91% de las personas desaparecidas se alejan voluntariamente de su entorno familiar </b:Title>
    <b:Year>2014</b:Year>
    <b:PeriodicalTitle>El telégrafo</b:PeriodicalTitle>
    <b:Month>Agosto</b:Month>
    <b:Day>4</b:Day>
    <b:Author>
      <b:Author>
        <b:Corporate>Dirección Nacional </b:Corporate>
      </b:Author>
      <b:Interviewee>
        <b:NameList>
          <b:Person>
            <b:Last>Alulema</b:Last>
            <b:First>Carlos</b:First>
          </b:Person>
        </b:NameList>
      </b:Interviewee>
      <b:Interviewer>
        <b:NameList>
          <b:Person>
            <b:Last>Ecuavisa</b:Last>
          </b:Person>
        </b:NameList>
      </b:Interviewer>
    </b:Author>
    <b:URL>https://www.eltelegrafo.com.ec/noticias/judicial/1/el-91-de-las-desapariciones-es-voluntaria</b:URL>
    <b:RefOrder>5</b:RefOrder>
  </b:Source>
  <b:Source>
    <b:Tag>Sfe19</b:Tag>
    <b:SourceType>JournalArticle</b:SourceType>
    <b:Guid>{0A2EB645-6EBF-4CF6-AD98-AD56C53C9867}</b:Guid>
    <b:Author>
      <b:Author>
        <b:NameList>
          <b:Person>
            <b:Last>Sferrazza</b:Last>
            <b:First>Pietro</b:First>
          </b:Person>
        </b:NameList>
      </b:Author>
    </b:Author>
    <b:Title>La definición de la desaparición forzada en el derecho internacional</b:Title>
    <b:Year>2019</b:Year>
    <b:JournalName>Revista Ius et Praxis</b:JournalName>
    <b:Pages>131-194</b:Pages>
    <b:URL>https://scielo.conicyt.cl/pdf/iusetp/v25n1/0718-0012-iusetp-25-01-131.pdf</b:URL>
    <b:RefOrder>7</b:RefOrder>
  </b:Source>
  <b:Source>
    <b:Tag>Com03</b:Tag>
    <b:SourceType>Report</b:SourceType>
    <b:Guid>{BEB26F4E-311A-4834-BE36-3E8D18F0C9BE}</b:Guid>
    <b:Title>Los derechos civiles y políticos, en particular la cuestión relacionada con las desapariciones forzadas o involuntarias.</b:Title>
    <b:Year>2003</b:Year>
    <b:Author>
      <b:Author>
        <b:Corporate>Comisión de Derechos Humanos</b:Corporate>
      </b:Author>
    </b:Author>
    <b:RefOrder>6</b:RefOrder>
  </b:Source>
  <b:Source>
    <b:Tag>Amu11</b:Tag>
    <b:SourceType>JournalArticle</b:SourceType>
    <b:Guid>{9D608F05-B7A7-446C-9AD2-523313E40E24}</b:Guid>
    <b:Title>EL DELITO DE DESAPARICION FORZADA DE PERSONAS Y LA POSIBLE AFECTACION DEL PRINCIPIO DE LEGALIDAD: UNA MIRADA INTEGRADORA</b:Title>
    <b:JournalName>Revista de la Facultad: Universidad de Córdoba</b:JournalName>
    <b:Year>2011</b:Year>
    <b:Author>
      <b:Author>
        <b:NameList>
          <b:Person>
            <b:Last> Amuchástegui</b:Last>
            <b:First>Sebastian</b:First>
          </b:Person>
        </b:NameList>
      </b:Author>
    </b:Author>
    <b:URL>https://revistas.unc.edu.ar/index.php/recordip/article/view/276</b:URL>
    <b:RefOrder>24</b:RefOrder>
  </b:Source>
  <b:Source>
    <b:Tag>CEJ10</b:Tag>
    <b:SourceType>Book</b:SourceType>
    <b:Guid>{98505740-6325-4AAB-B6F1-6BA59B73FFE6}</b:Guid>
    <b:Author>
      <b:Author>
        <b:Corporate>CEJIL</b:Corporate>
      </b:Author>
    </b:Author>
    <b:Title>Debida Diligencia en la Investigacion de Graves Violaciones a Derechos Humanos</b:Title>
    <b:Year>2010</b:Year>
    <b:City>Buenos Aires</b:City>
    <b:RefOrder>9</b:RefOrder>
  </b:Source>
  <b:Source>
    <b:Tag>Com031</b:Tag>
    <b:SourceType>Book</b:SourceType>
    <b:Guid>{6010C596-015D-4AD6-A710-3A4F0EECA42D}</b:Guid>
    <b:Author>
      <b:Author>
        <b:Corporate>Comité Internacional de la Cruz Roja</b:Corporate>
      </b:Author>
    </b:Author>
    <b:Title>Las personas desaparecidas y sus familiares. Observaciones y recomendaciones</b:Title>
    <b:Year>2003</b:Year>
    <b:RefOrder>8</b:RefOrder>
  </b:Source>
  <b:Source>
    <b:Tag>INR18</b:Tag>
    <b:SourceType>Book</b:SourceType>
    <b:Guid>{D3151DF3-327C-4661-B394-A411AFF25CFC}</b:Guid>
    <b:Author>
      <b:Author>
        <b:Corporate>INREDH</b:Corporate>
      </b:Author>
    </b:Author>
    <b:Title>Una Luz en el Olvido </b:Title>
    <b:Year>2018</b:Year>
    <b:City>Quito</b:City>
    <b:RefOrder>10</b:RefOrder>
  </b:Source>
  <b:Source>
    <b:Tag>ElT11</b:Tag>
    <b:SourceType>ArticleInAPeriodical</b:SourceType>
    <b:Guid>{48B1ACB9-164E-4F5E-B847-02F90035BF63}</b:Guid>
    <b:Title>SIC 10 sería la unidad que desapareció a los hermanos restrepo</b:Title>
    <b:Year>2011</b:Year>
    <b:Author>
      <b:Author>
        <b:Corporate>El Telégrafo</b:Corporate>
      </b:Author>
    </b:Author>
    <b:PeriodicalTitle>El Telégrafo</b:PeriodicalTitle>
    <b:Month>noviembre</b:Month>
    <b:Day>01</b:Day>
    <b:URL>https://bit.ly/2qBeANO</b:URL>
    <b:RefOrder>11</b:RefOrder>
  </b:Source>
  <b:Source>
    <b:Tag>Com10</b:Tag>
    <b:SourceType>Report</b:SourceType>
    <b:Guid>{22C52FA2-5DE7-4D8F-8B5B-6AA9C6035343}</b:Guid>
    <b:Title>Informe de la Comisión de la Verdad 2010 N.-232297</b:Title>
    <b:Year>2010</b:Year>
    <b:Author>
      <b:Author>
        <b:Corporate>Comisión de la Verdad</b:Corporate>
      </b:Author>
    </b:Author>
    <b:RefOrder>12</b:RefOrder>
  </b:Source>
  <b:Source>
    <b:Tag>Asf18</b:Tag>
    <b:SourceType>Report</b:SourceType>
    <b:Guid>{03046A4C-BDC7-4FE2-BF94-4E994BE1BB02}</b:Guid>
    <b:Author>
      <b:Author>
        <b:Corporate>Asfadec</b:Corporate>
      </b:Author>
    </b:Author>
    <b:Title>Informe sobre las inconsistencias de las cifras oficiales de las personas desaparecidas en Ecuador. Perdiodo (2013-2017)</b:Title>
    <b:Year>2018</b:Year>
    <b:City>Quito</b:City>
    <b:URL>https://drive.google.com/file/d/1BCbWjSjsoyM9OCTSimlDlSu_GhE22K0c/view</b:URL>
    <b:RefOrder>13</b:RefOrder>
  </b:Source>
  <b:Source>
    <b:Tag>FGE12</b:Tag>
    <b:SourceType>Book</b:SourceType>
    <b:Guid>{F6E26C92-4A7B-4414-8F20-DACCB1803F7F}</b:Guid>
    <b:Title>Estatuto Orgánico por Procesos de la Fiscalía General del Estado</b:Title>
    <b:Year>2012</b:Year>
    <b:Author>
      <b:Author>
        <b:NameList>
          <b:Person>
            <b:Last>FGE</b:Last>
          </b:Person>
        </b:NameList>
      </b:Author>
    </b:Author>
    <b:City>Quito</b:City>
    <b:RefOrder>14</b:RefOrder>
  </b:Source>
  <b:Source>
    <b:Tag>Jua09</b:Tag>
    <b:SourceType>Book</b:SourceType>
    <b:Guid>{8483A6D7-F6DE-4364-B5B0-773FD2F4CFCF}</b:Guid>
    <b:Title>La desaparición forzada de personas en el sistema interamericano de derechos humanos</b:Title>
    <b:Year>2009</b:Year>
    <b:Publisher>Temis </b:Publisher>
    <b:City>Bogotá </b:City>
    <b:Author>
      <b:Author>
        <b:NameList>
          <b:Person>
            <b:Last>Monodell</b:Last>
            <b:First>Juan</b:First>
          </b:Person>
        </b:NameList>
      </b:Author>
    </b:Author>
    <b:RefOrder>25</b:RefOrder>
  </b:Source>
  <b:Source>
    <b:Tag>Fed01</b:Tag>
    <b:SourceType>JournalArticle</b:SourceType>
    <b:Guid>{68F04A1F-E1E5-4920-944B-DA23BECBCE6E}</b:Guid>
    <b:Author>
      <b:Author>
        <b:NameList>
          <b:Person>
            <b:Last>Andreu-Guzman</b:Last>
            <b:First>Federico</b:First>
          </b:Person>
        </b:NameList>
      </b:Author>
    </b:Author>
    <b:Title>The Draft International Convention on the Protection of All Persons from Forced Disapparance</b:Title>
    <b:Year>2001</b:Year>
    <b:Pages>73-106</b:Pages>
    <b:JournalName>The Review (International Commission of Jurist</b:JournalName>
    <b:RefOrder>26</b:RefOrder>
  </b:Source>
  <b:Source>
    <b:Tag>Kai09</b:Tag>
    <b:SourceType>JournalArticle</b:SourceType>
    <b:Guid>{14D44552-206D-4288-A3A1-FC2600803472}</b:Guid>
    <b:Author>
      <b:Author>
        <b:NameList>
          <b:Person>
            <b:Last>Ambos </b:Last>
            <b:First>Kai</b:First>
          </b:Person>
          <b:Person>
            <b:Last>Bohm</b:Last>
            <b:First>María</b:First>
          </b:Person>
        </b:NameList>
      </b:Author>
    </b:Author>
    <b:Title>“La desaparición forzada de personas como tipo penal autónomo. Análisis comparado internacional y propuesta legislativa</b:Title>
    <b:JournalName>Desapariciones forzadas de personas. Análisis comparado e internacional</b:JournalName>
    <b:Year>2009</b:Year>
    <b:Pages>195-255</b:Pages>
    <b:RefOrder>27</b:RefOrder>
  </b:Source>
  <b:Source>
    <b:Tag>Cal13</b:Tag>
    <b:SourceType>Book</b:SourceType>
    <b:Guid>{AF9463B5-F84A-4008-BAB7-94439EF57299}</b:Guid>
    <b:Title>La evolución de la "reparación integral" en la jurisprudencia de la Corte Interamericana de Derechos Humanos</b:Title>
    <b:Year>2013</b:Year>
    <b:City>México</b:City>
    <b:Author>
      <b:Author>
        <b:NameList>
          <b:Person>
            <b:Last>Calderón</b:Last>
            <b:First>Jorge</b:First>
          </b:Person>
        </b:NameList>
      </b:Author>
    </b:Author>
    <b:URL>https://www.corteidh.or.cr/tablas/r31914.pdf</b:URL>
    <b:RefOrder>28</b:RefOrder>
  </b:Source>
  <b:Source>
    <b:Tag>Org69</b:Tag>
    <b:SourceType>Book</b:SourceType>
    <b:Guid>{35E9FC53-FEDC-47C3-9403-EE67A8DE503E}</b:Guid>
    <b:Title>CADH</b:Title>
    <b:Year>1969</b:Year>
    <b:Author>
      <b:Author>
        <b:Corporate>Organización de Estados Americanos</b:Corporate>
      </b:Author>
    </b:Author>
    <b:RefOrder>29</b:RefOrder>
  </b:Source>
  <b:Source>
    <b:Tag>Mar04</b:Tag>
    <b:SourceType>Book</b:SourceType>
    <b:Guid>{D7CF00C6-7763-4725-A088-254B29A6A0DB}</b:Guid>
    <b:Title>Joint criminal enterprise and contemporary international criminal</b:Title>
    <b:Year>2004</b:Year>
    <b:Author>
      <b:Author>
        <b:NameList>
          <b:Person>
            <b:Last>Mars ton Donner</b:Last>
            <b:First>Allison</b:First>
          </b:Person>
        </b:NameList>
      </b:Author>
    </b:Author>
    <b:RefOrder>30</b:RefOrder>
  </b:Source>
  <b:Source>
    <b:Tag>Sch88</b:Tag>
    <b:SourceType>Book</b:SourceType>
    <b:Guid>{0B128DFD-26E9-B740-A133-D3DCE94D623B}</b:Guid>
    <b:Author>
      <b:Author>
        <b:NameList>
          <b:Person>
            <b:Last>Schmitt</b:Last>
            <b:First>Carl</b:First>
          </b:Person>
        </b:NameList>
      </b:Author>
    </b:Author>
    <b:Title>La Defensa de la Constitución</b:Title>
    <b:City>Madrid</b:City>
    <b:Publisher>Tecnos</b:Publisher>
    <b:Year>1988</b:Year>
    <b:RefOrder>31</b:RefOrder>
  </b:Source>
  <b:Source>
    <b:Tag>Han95</b:Tag>
    <b:SourceType>Book</b:SourceType>
    <b:Guid>{5513C76E-165D-6B4D-9A2A-01F88D121740}</b:Guid>
    <b:Author>
      <b:Author>
        <b:NameList>
          <b:Person>
            <b:Last>Kelsen</b:Last>
            <b:First>Hans</b:First>
          </b:Person>
        </b:NameList>
      </b:Author>
    </b:Author>
    <b:Title>¿Quién debe ser el defensor de la Constitución?</b:Title>
    <b:City>Madrid</b:City>
    <b:Publisher>Tecnos</b:Publisher>
    <b:Year>1995</b:Year>
    <b:RefOrder>32</b:RefOrder>
  </b:Source>
  <b:Source>
    <b:Tag>Man94</b:Tag>
    <b:SourceType>Book</b:SourceType>
    <b:Guid>{4A5FF800-31CB-4A49-8A3B-1E86C9A99CEB}</b:Guid>
    <b:Author>
      <b:Author>
        <b:NameList>
          <b:Person>
            <b:Last>Diez de Velasco</b:Last>
            <b:First>Manuel</b:First>
          </b:Person>
        </b:NameList>
      </b:Author>
    </b:Author>
    <b:Title>Instituciones de Derecho Internacional Público</b:Title>
    <b:Year>1994</b:Year>
    <b:City>Madrid</b:City>
    <b:Publisher>Tecnos</b:Publisher>
    <b:RefOrder>33</b:RefOrder>
  </b:Source>
  <b:Source>
    <b:Tag>Fis</b:Tag>
    <b:SourceType>Report</b:SourceType>
    <b:Guid>{FA8EB4E0-0373-DA42-AD54-197F96B3EEDB}</b:Guid>
    <b:Author>
      <b:Author>
        <b:Corporate>Fiscalía General del Estado</b:Corporate>
      </b:Author>
    </b:Author>
    <b:Title>Solicitud de Informacion</b:Title>
    <b:Year>2018</b:Year>
    <b:RefOrder>1</b:RefOrder>
  </b:Source>
  <b:Source>
    <b:Tag>Cer15</b:Tag>
    <b:SourceType>JournalArticle</b:SourceType>
    <b:Guid>{9397D518-23C9-B040-81FE-AE2F7F19C708}</b:Guid>
    <b:Author>
      <b:Author>
        <b:NameList>
          <b:Person>
            <b:Last>Cervantes</b:Last>
            <b:First>María</b:First>
          </b:Person>
        </b:NameList>
      </b:Author>
    </b:Author>
    <b:Title>La participación social en familias víctimas de desaparición involuntaria</b:Title>
    <b:Year>2015</b:Year>
    <b:JournalName>Revista Iberoamericana de las Ciencias Sociales y Humanísticas </b:JournalName>
    <b:RefOrder>34</b:RefOrder>
  </b:Source>
  <b:Source>
    <b:Tag>Dic</b:Tag>
    <b:SourceType>InternetSite</b:SourceType>
    <b:Guid>{A1A42808-F0F5-A648-8552-667F52EF2106}</b:Guid>
    <b:Author>
      <b:Author>
        <b:Corporate>Diccionario panhispánico del español jurídico</b:Corporate>
      </b:Author>
    </b:Author>
    <b:URL>https://dpej.rae.es/lema/ex-officio#:~:text=Can.,actuación%20a%20instancia%20de%20parte.</b:URL>
    <b:Year>2020</b:Year>
    <b:RefOrder>35</b:RefOrder>
  </b:Source>
</b:Sources>
</file>

<file path=customXml/itemProps1.xml><?xml version="1.0" encoding="utf-8"?>
<ds:datastoreItem xmlns:ds="http://schemas.openxmlformats.org/officeDocument/2006/customXml" ds:itemID="{D01A28C0-A487-C24B-8AE8-7BD8210DB5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102</Pages>
  <Words>29982</Words>
  <Characters>170898</Characters>
  <Application>Microsoft Office Word</Application>
  <DocSecurity>0</DocSecurity>
  <Lines>1424</Lines>
  <Paragraphs>400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200480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Sepúlveda V</dc:creator>
  <cp:keywords/>
  <dc:description/>
  <cp:lastModifiedBy>Mario Melo</cp:lastModifiedBy>
  <cp:revision>3</cp:revision>
  <dcterms:created xsi:type="dcterms:W3CDTF">2021-04-16T22:24:00Z</dcterms:created>
  <dcterms:modified xsi:type="dcterms:W3CDTF">2021-04-17T20:39:00Z</dcterms:modified>
</cp:coreProperties>
</file>